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104775</wp:posOffset>
            </wp:positionH>
            <wp:positionV relativeFrom="page">
              <wp:posOffset>61595</wp:posOffset>
            </wp:positionV>
            <wp:extent cx="734187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41870" cy="3873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338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338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66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34187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41870" cy="45085"/>
                    </a:xfrm>
                    <a:prstGeom prst="rect">
                      <a:avLst/>
                    </a:prstGeom>
                    <a:noFill/>
                  </pic:spPr>
                </pic:pic>
              </a:graphicData>
            </a:graphic>
          </wp:anchor>
        </w:drawing>
      </w:r>
    </w:p>
    <w:p>
      <w:pPr>
        <w:sectPr>
          <w:pgSz w:w="11900" w:h="16838" w:orient="portrait"/>
          <w:cols w:equalWidth="0" w:num="1">
            <w:col w:w="11560"/>
          </w:cols>
          <w:pgMar w:left="160" w:top="437" w:right="1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66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4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92"/>
              </w:rPr>
              <w:t>Page 2 of 9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660" w:type="dxa"/>
            <w:vAlign w:val="bottom"/>
            <w:tcBorders>
              <w:right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2"/>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72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Management LP</w:t>
            </w: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7200" w:type="dxa"/>
            <w:vAlign w:val="bottom"/>
            <w:gridSpan w:val="4"/>
            <w:vMerge w:val="continue"/>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gridSpan w:val="2"/>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2"/>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gridSpan w:val="2"/>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8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40" w:type="dxa"/>
            <w:vAlign w:val="bottom"/>
            <w:tcBorders>
              <w:right w:val="single" w:sz="8" w:color="auto"/>
            </w:tcBorders>
            <w:gridSpan w:val="2"/>
            <w:vMerge w:val="continue"/>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80" w:type="dxa"/>
            <w:vAlign w:val="bottom"/>
            <w:gridSpan w:val="2"/>
            <w:vMerge w:val="continue"/>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vMerge w:val="continue"/>
          </w:tcPr>
          <w:p>
            <w:pPr>
              <w:spacing w:after="0"/>
              <w:rPr>
                <w:sz w:val="18"/>
                <w:szCs w:val="18"/>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2,140,187</w:t>
            </w: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right w:val="single" w:sz="8" w:color="auto"/>
            </w:tcBorders>
          </w:tcPr>
          <w:p>
            <w:pPr>
              <w:spacing w:after="0"/>
              <w:rPr>
                <w:sz w:val="19"/>
                <w:szCs w:val="19"/>
                <w:color w:val="auto"/>
              </w:rPr>
            </w:pPr>
          </w:p>
        </w:tc>
        <w:tc>
          <w:tcPr>
            <w:tcW w:w="4880" w:type="dxa"/>
            <w:vAlign w:val="bottom"/>
            <w:tcBorders>
              <w:bottom w:val="single" w:sz="8" w:color="auto"/>
            </w:tcBorders>
            <w:gridSpan w:val="2"/>
            <w:vMerge w:val="continue"/>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right w:val="single" w:sz="8" w:color="auto"/>
            </w:tcBorders>
          </w:tcPr>
          <w:p>
            <w:pPr>
              <w:jc w:val="center"/>
              <w:ind w:right="850"/>
              <w:spacing w:after="0" w:line="202" w:lineRule="exact"/>
              <w:rPr>
                <w:sz w:val="20"/>
                <w:szCs w:val="20"/>
                <w:color w:val="auto"/>
              </w:rPr>
            </w:pPr>
            <w:r>
              <w:rPr>
                <w:rFonts w:ascii="Arial" w:cs="Arial" w:eastAsia="Arial" w:hAnsi="Arial"/>
                <w:sz w:val="18"/>
                <w:szCs w:val="18"/>
                <w:color w:val="auto"/>
                <w:w w:val="95"/>
              </w:rPr>
              <w:t>EACH</w:t>
            </w: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66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rPr>
              <w:t>WITH</w:t>
            </w:r>
          </w:p>
        </w:tc>
        <w:tc>
          <w:tcPr>
            <w:tcW w:w="90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3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3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continue"/>
          </w:tcPr>
          <w:p>
            <w:pPr>
              <w:spacing w:after="0"/>
              <w:rPr>
                <w:sz w:val="23"/>
                <w:szCs w:val="23"/>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2,140,187</w:t>
            </w: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4880" w:type="dxa"/>
            <w:vAlign w:val="bottom"/>
            <w:gridSpan w:val="2"/>
            <w:vMerge w:val="continue"/>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tcBorders>
            <w:gridSpan w:val="2"/>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2,140,187</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7200" w:type="dxa"/>
            <w:vAlign w:val="bottom"/>
            <w:tcBorders>
              <w:bottom w:val="single" w:sz="8" w:color="auto"/>
            </w:tcBorders>
            <w:gridSpan w:val="4"/>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40" w:type="dxa"/>
            <w:vAlign w:val="bottom"/>
            <w:tcBorders>
              <w:right w:val="single" w:sz="8" w:color="auto"/>
            </w:tcBorders>
          </w:tcPr>
          <w:p>
            <w:pPr>
              <w:ind w:left="3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7200" w:type="dxa"/>
            <w:vAlign w:val="bottom"/>
            <w:tcBorders>
              <w:bottom w:val="single" w:sz="8" w:color="auto"/>
            </w:tcBorders>
            <w:gridSpan w:val="4"/>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3.44%</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7200" w:type="dxa"/>
            <w:vAlign w:val="bottom"/>
            <w:tcBorders>
              <w:bottom w:val="single" w:sz="8" w:color="auto"/>
            </w:tcBorders>
            <w:gridSpan w:val="4"/>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90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660" w:type="dxa"/>
            <w:vAlign w:val="bottom"/>
            <w:tcBorders>
              <w:right w:val="single" w:sz="8" w:color="808080"/>
            </w:tcBorders>
            <w:shd w:val="clear" w:color="auto" w:fill="808080"/>
          </w:tcPr>
          <w:p>
            <w:pPr>
              <w:spacing w:after="0"/>
              <w:rPr>
                <w:sz w:val="6"/>
                <w:szCs w:val="6"/>
                <w:color w:val="auto"/>
              </w:rPr>
            </w:pPr>
          </w:p>
        </w:tc>
        <w:tc>
          <w:tcPr>
            <w:tcW w:w="344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610" w:right="1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66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4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92"/>
              </w:rPr>
              <w:t>Page 3 of 9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660" w:type="dxa"/>
            <w:vAlign w:val="bottom"/>
            <w:tcBorders>
              <w:right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2"/>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72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LLC</w:t>
            </w: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7200" w:type="dxa"/>
            <w:vAlign w:val="bottom"/>
            <w:gridSpan w:val="4"/>
            <w:vMerge w:val="continue"/>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gridSpan w:val="2"/>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2"/>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gridSpan w:val="2"/>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8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40" w:type="dxa"/>
            <w:vAlign w:val="bottom"/>
            <w:tcBorders>
              <w:right w:val="single" w:sz="8" w:color="auto"/>
            </w:tcBorders>
            <w:gridSpan w:val="2"/>
            <w:vMerge w:val="continue"/>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80" w:type="dxa"/>
            <w:vAlign w:val="bottom"/>
            <w:gridSpan w:val="2"/>
            <w:vMerge w:val="continue"/>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vMerge w:val="continue"/>
          </w:tcPr>
          <w:p>
            <w:pPr>
              <w:spacing w:after="0"/>
              <w:rPr>
                <w:sz w:val="18"/>
                <w:szCs w:val="18"/>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2,140,187</w:t>
            </w: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right w:val="single" w:sz="8" w:color="auto"/>
            </w:tcBorders>
          </w:tcPr>
          <w:p>
            <w:pPr>
              <w:spacing w:after="0"/>
              <w:rPr>
                <w:sz w:val="19"/>
                <w:szCs w:val="19"/>
                <w:color w:val="auto"/>
              </w:rPr>
            </w:pPr>
          </w:p>
        </w:tc>
        <w:tc>
          <w:tcPr>
            <w:tcW w:w="4880" w:type="dxa"/>
            <w:vAlign w:val="bottom"/>
            <w:tcBorders>
              <w:bottom w:val="single" w:sz="8" w:color="auto"/>
            </w:tcBorders>
            <w:gridSpan w:val="2"/>
            <w:vMerge w:val="continue"/>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right w:val="single" w:sz="8" w:color="auto"/>
            </w:tcBorders>
          </w:tcPr>
          <w:p>
            <w:pPr>
              <w:jc w:val="center"/>
              <w:ind w:right="850"/>
              <w:spacing w:after="0" w:line="202" w:lineRule="exact"/>
              <w:rPr>
                <w:sz w:val="20"/>
                <w:szCs w:val="20"/>
                <w:color w:val="auto"/>
              </w:rPr>
            </w:pPr>
            <w:r>
              <w:rPr>
                <w:rFonts w:ascii="Arial" w:cs="Arial" w:eastAsia="Arial" w:hAnsi="Arial"/>
                <w:sz w:val="18"/>
                <w:szCs w:val="18"/>
                <w:color w:val="auto"/>
                <w:w w:val="95"/>
              </w:rPr>
              <w:t>EACH</w:t>
            </w: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66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rPr>
              <w:t>WITH</w:t>
            </w:r>
          </w:p>
        </w:tc>
        <w:tc>
          <w:tcPr>
            <w:tcW w:w="90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3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3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continue"/>
          </w:tcPr>
          <w:p>
            <w:pPr>
              <w:spacing w:after="0"/>
              <w:rPr>
                <w:sz w:val="23"/>
                <w:szCs w:val="23"/>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2,140,187</w:t>
            </w: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4880" w:type="dxa"/>
            <w:vAlign w:val="bottom"/>
            <w:gridSpan w:val="2"/>
            <w:vMerge w:val="continue"/>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tcBorders>
            <w:gridSpan w:val="2"/>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2,140,187</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7200" w:type="dxa"/>
            <w:vAlign w:val="bottom"/>
            <w:tcBorders>
              <w:bottom w:val="single" w:sz="8" w:color="auto"/>
            </w:tcBorders>
            <w:gridSpan w:val="4"/>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40" w:type="dxa"/>
            <w:vAlign w:val="bottom"/>
            <w:tcBorders>
              <w:right w:val="single" w:sz="8" w:color="auto"/>
            </w:tcBorders>
          </w:tcPr>
          <w:p>
            <w:pPr>
              <w:ind w:left="3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7200" w:type="dxa"/>
            <w:vAlign w:val="bottom"/>
            <w:tcBorders>
              <w:bottom w:val="single" w:sz="8" w:color="auto"/>
            </w:tcBorders>
            <w:gridSpan w:val="4"/>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3.44%</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7200" w:type="dxa"/>
            <w:vAlign w:val="bottom"/>
            <w:tcBorders>
              <w:bottom w:val="single" w:sz="8" w:color="auto"/>
            </w:tcBorders>
            <w:gridSpan w:val="4"/>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90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660" w:type="dxa"/>
            <w:vAlign w:val="bottom"/>
            <w:tcBorders>
              <w:right w:val="single" w:sz="8" w:color="808080"/>
            </w:tcBorders>
            <w:shd w:val="clear" w:color="auto" w:fill="808080"/>
          </w:tcPr>
          <w:p>
            <w:pPr>
              <w:spacing w:after="0"/>
              <w:rPr>
                <w:sz w:val="6"/>
                <w:szCs w:val="6"/>
                <w:color w:val="auto"/>
              </w:rPr>
            </w:pPr>
          </w:p>
        </w:tc>
        <w:tc>
          <w:tcPr>
            <w:tcW w:w="344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610" w:right="1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2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66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4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92"/>
              </w:rPr>
              <w:t>Page 4 of 9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660" w:type="dxa"/>
            <w:vAlign w:val="bottom"/>
            <w:tcBorders>
              <w:right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2"/>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72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Master Fund LP</w:t>
            </w: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7200" w:type="dxa"/>
            <w:vAlign w:val="bottom"/>
            <w:gridSpan w:val="4"/>
            <w:vMerge w:val="continue"/>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gridSpan w:val="2"/>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2"/>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Cayman Islands</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gridSpan w:val="2"/>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8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40" w:type="dxa"/>
            <w:vAlign w:val="bottom"/>
            <w:tcBorders>
              <w:right w:val="single" w:sz="8" w:color="auto"/>
            </w:tcBorders>
            <w:gridSpan w:val="2"/>
            <w:vMerge w:val="continue"/>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80" w:type="dxa"/>
            <w:vAlign w:val="bottom"/>
            <w:gridSpan w:val="2"/>
            <w:vMerge w:val="continue"/>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vMerge w:val="continue"/>
          </w:tcPr>
          <w:p>
            <w:pPr>
              <w:spacing w:after="0"/>
              <w:rPr>
                <w:sz w:val="18"/>
                <w:szCs w:val="18"/>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2,140,187</w:t>
            </w: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right w:val="single" w:sz="8" w:color="auto"/>
            </w:tcBorders>
          </w:tcPr>
          <w:p>
            <w:pPr>
              <w:spacing w:after="0"/>
              <w:rPr>
                <w:sz w:val="19"/>
                <w:szCs w:val="19"/>
                <w:color w:val="auto"/>
              </w:rPr>
            </w:pPr>
          </w:p>
        </w:tc>
        <w:tc>
          <w:tcPr>
            <w:tcW w:w="4880" w:type="dxa"/>
            <w:vAlign w:val="bottom"/>
            <w:tcBorders>
              <w:bottom w:val="single" w:sz="8" w:color="auto"/>
            </w:tcBorders>
            <w:gridSpan w:val="2"/>
            <w:vMerge w:val="continue"/>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right w:val="single" w:sz="8" w:color="auto"/>
            </w:tcBorders>
          </w:tcPr>
          <w:p>
            <w:pPr>
              <w:jc w:val="center"/>
              <w:ind w:right="850"/>
              <w:spacing w:after="0" w:line="202" w:lineRule="exact"/>
              <w:rPr>
                <w:sz w:val="20"/>
                <w:szCs w:val="20"/>
                <w:color w:val="auto"/>
              </w:rPr>
            </w:pPr>
            <w:r>
              <w:rPr>
                <w:rFonts w:ascii="Arial" w:cs="Arial" w:eastAsia="Arial" w:hAnsi="Arial"/>
                <w:sz w:val="18"/>
                <w:szCs w:val="18"/>
                <w:color w:val="auto"/>
                <w:w w:val="95"/>
              </w:rPr>
              <w:t>EACH</w:t>
            </w: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660" w:type="dxa"/>
            <w:vAlign w:val="bottom"/>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rPr>
              <w:t>WITH</w:t>
            </w:r>
          </w:p>
        </w:tc>
        <w:tc>
          <w:tcPr>
            <w:tcW w:w="90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3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3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continue"/>
          </w:tcPr>
          <w:p>
            <w:pPr>
              <w:spacing w:after="0"/>
              <w:rPr>
                <w:sz w:val="23"/>
                <w:szCs w:val="23"/>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8"/>
                <w:szCs w:val="18"/>
                <w:color w:val="auto"/>
              </w:rPr>
              <w:t>2,140,187</w:t>
            </w: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4880" w:type="dxa"/>
            <w:vAlign w:val="bottom"/>
            <w:gridSpan w:val="2"/>
            <w:vMerge w:val="continue"/>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tcBorders>
            <w:gridSpan w:val="2"/>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2,140,187</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7200" w:type="dxa"/>
            <w:vAlign w:val="bottom"/>
            <w:tcBorders>
              <w:bottom w:val="single" w:sz="8" w:color="auto"/>
            </w:tcBorders>
            <w:gridSpan w:val="4"/>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40" w:type="dxa"/>
            <w:vAlign w:val="bottom"/>
            <w:tcBorders>
              <w:right w:val="single" w:sz="8" w:color="auto"/>
            </w:tcBorders>
          </w:tcPr>
          <w:p>
            <w:pPr>
              <w:ind w:left="3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7200" w:type="dxa"/>
            <w:vAlign w:val="bottom"/>
            <w:tcBorders>
              <w:bottom w:val="single" w:sz="8" w:color="auto"/>
            </w:tcBorders>
            <w:gridSpan w:val="4"/>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8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3.44%</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7200" w:type="dxa"/>
            <w:vAlign w:val="bottom"/>
            <w:tcBorders>
              <w:bottom w:val="single" w:sz="8" w:color="auto"/>
            </w:tcBorders>
            <w:gridSpan w:val="4"/>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20" w:type="dxa"/>
            <w:vAlign w:val="bottom"/>
            <w:tcBorders>
              <w:right w:val="single" w:sz="8" w:color="auto"/>
            </w:tcBorders>
          </w:tcPr>
          <w:p>
            <w:pPr>
              <w:spacing w:after="0"/>
              <w:rPr>
                <w:sz w:val="22"/>
                <w:szCs w:val="22"/>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610" w:right="17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66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91"/>
              </w:rPr>
              <w:t>Page 5 of 9 Pages</w:t>
            </w:r>
          </w:p>
        </w:tc>
      </w:tr>
      <w:tr>
        <w:trPr>
          <w:trHeight w:val="111"/>
        </w:trPr>
        <w:tc>
          <w:tcPr>
            <w:tcW w:w="3460" w:type="dxa"/>
            <w:vAlign w:val="bottom"/>
            <w:tcBorders>
              <w:left w:val="single" w:sz="8" w:color="auto"/>
              <w:bottom w:val="single" w:sz="8" w:color="auto"/>
              <w:right w:val="single" w:sz="8" w:color="auto"/>
            </w:tcBorders>
          </w:tcPr>
          <w:p>
            <w:pPr>
              <w:spacing w:after="0"/>
              <w:rPr>
                <w:sz w:val="9"/>
                <w:szCs w:val="9"/>
                <w:color w:val="auto"/>
              </w:rPr>
            </w:pPr>
          </w:p>
        </w:tc>
        <w:tc>
          <w:tcPr>
            <w:tcW w:w="466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Ardelyx, Inc. (the “Issuer”)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34175 Ardenwood Blvd., Suite 200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Fremont, CA 94555</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Rock Springs Capital Management LP (“RSCM”);</w:t>
      </w:r>
    </w:p>
    <w:p>
      <w:pPr>
        <w:spacing w:after="0" w:line="23" w:lineRule="exact"/>
        <w:rPr>
          <w:sz w:val="20"/>
          <w:szCs w:val="20"/>
          <w:color w:val="auto"/>
        </w:rPr>
      </w:pPr>
    </w:p>
    <w:p>
      <w:pPr>
        <w:ind w:left="980" w:hanging="180"/>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LLC (“RSC”); and</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Master Fund LP (“Master Fund”).</w:t>
      </w:r>
    </w:p>
    <w:p>
      <w:pPr>
        <w:spacing w:after="0" w:line="103" w:lineRule="exact"/>
        <w:rPr>
          <w:sz w:val="20"/>
          <w:szCs w:val="20"/>
          <w:color w:val="auto"/>
        </w:rPr>
      </w:pPr>
    </w:p>
    <w:p>
      <w:pPr>
        <w:jc w:val="both"/>
        <w:ind w:left="400" w:firstLine="396"/>
        <w:spacing w:after="0" w:line="263" w:lineRule="auto"/>
        <w:rPr>
          <w:sz w:val="20"/>
          <w:szCs w:val="20"/>
          <w:color w:val="auto"/>
        </w:rPr>
      </w:pPr>
      <w:r>
        <w:rPr>
          <w:rFonts w:ascii="Arial" w:cs="Arial" w:eastAsia="Arial" w:hAnsi="Arial"/>
          <w:sz w:val="18"/>
          <w:szCs w:val="18"/>
          <w:color w:val="auto"/>
        </w:rPr>
        <w:t>This Statement relates to Shares (as defined herein) held directly by the Master Fund, which is a Cayman Island exempted limited partnership, and indirectly held by RSCM, a Delaware limited partnership, and RSC, a Delaware limited liability company. RSCM serves as the investment manager to the Master Fund. RSC is the general partner of RSCM.</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 and Rock Springs Capital LLC</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George Town, Grand Cayman, KY1-9008,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 -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 (the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039697107</w:t>
      </w:r>
    </w:p>
    <w:p>
      <w:pPr>
        <w:sectPr>
          <w:pgSz w:w="11900" w:h="16838" w:orient="portrait"/>
          <w:cols w:equalWidth="0" w:num="1">
            <w:col w:w="11560"/>
          </w:cols>
          <w:pgMar w:left="160" w:top="610" w:right="17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66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91"/>
              </w:rPr>
              <w:t>Page 6 of 9 Pages</w:t>
            </w:r>
          </w:p>
        </w:tc>
      </w:tr>
      <w:tr>
        <w:trPr>
          <w:trHeight w:val="111"/>
        </w:trPr>
        <w:tc>
          <w:tcPr>
            <w:tcW w:w="3460" w:type="dxa"/>
            <w:vAlign w:val="bottom"/>
            <w:tcBorders>
              <w:left w:val="single" w:sz="8" w:color="auto"/>
              <w:bottom w:val="single" w:sz="8" w:color="auto"/>
              <w:right w:val="single" w:sz="8" w:color="auto"/>
            </w:tcBorders>
          </w:tcPr>
          <w:p>
            <w:pPr>
              <w:spacing w:after="0"/>
              <w:rPr>
                <w:sz w:val="9"/>
                <w:szCs w:val="9"/>
                <w:color w:val="auto"/>
              </w:rPr>
            </w:pPr>
          </w:p>
        </w:tc>
        <w:tc>
          <w:tcPr>
            <w:tcW w:w="466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4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22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-24765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560"/>
          </w:cols>
          <w:pgMar w:left="160" w:top="610" w:right="17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66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91"/>
              </w:rPr>
              <w:t>Page 7 of 9 Pages</w:t>
            </w:r>
          </w:p>
        </w:tc>
      </w:tr>
      <w:tr>
        <w:trPr>
          <w:trHeight w:val="112"/>
        </w:trPr>
        <w:tc>
          <w:tcPr>
            <w:tcW w:w="3460" w:type="dxa"/>
            <w:vAlign w:val="bottom"/>
            <w:tcBorders>
              <w:left w:val="single" w:sz="8" w:color="auto"/>
              <w:bottom w:val="single" w:sz="8" w:color="auto"/>
              <w:right w:val="single" w:sz="8" w:color="auto"/>
            </w:tcBorders>
          </w:tcPr>
          <w:p>
            <w:pPr>
              <w:spacing w:after="0"/>
              <w:rPr>
                <w:sz w:val="9"/>
                <w:szCs w:val="9"/>
                <w:color w:val="auto"/>
              </w:rPr>
            </w:pPr>
          </w:p>
        </w:tc>
        <w:tc>
          <w:tcPr>
            <w:tcW w:w="466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jc w:val="both"/>
        <w:ind w:firstLine="792"/>
        <w:spacing w:after="0" w:line="259" w:lineRule="auto"/>
        <w:rPr>
          <w:sz w:val="20"/>
          <w:szCs w:val="20"/>
          <w:color w:val="auto"/>
        </w:rPr>
      </w:pPr>
      <w:r>
        <w:rPr>
          <w:rFonts w:ascii="Arial" w:cs="Arial" w:eastAsia="Arial" w:hAnsi="Arial"/>
          <w:sz w:val="18"/>
          <w:szCs w:val="18"/>
          <w:color w:val="auto"/>
        </w:rPr>
        <w:t>As of the date of this filing, the Reporting Persons may be deemed beneficial owners of 2,140,187 shares of Common Stock. The Reporting Persons hold 2,000,000 shares of Common Stock and 140,187 warrants to purchase Common Stock. The percent of class is based on a total of 62,274,717 shares of Common Stock outstanding, which is the sum of: (1) 62,134,530 shares outstanding as of November 1, 2018; and (ii) 140,187 shares of Common Stock that the Reporting Persons have the right to acquire upon exercise of the warrants.</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2,140,187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2,140,187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2,140,187</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3.44%</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3.44%</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3.44%</w:t>
      </w:r>
    </w:p>
    <w:p>
      <w:pPr>
        <w:spacing w:after="0" w:line="207"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b w:val="1"/>
          <w:bCs w:val="1"/>
          <w:color w:val="auto"/>
        </w:rPr>
      </w:pPr>
    </w:p>
    <w:p>
      <w:pPr>
        <w:ind w:left="1800" w:right="6740" w:hanging="208"/>
        <w:spacing w:after="0" w:line="289" w:lineRule="auto"/>
        <w:tabs>
          <w:tab w:leader="none" w:pos="18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Rock Springs Capital Management LP: 0 Rock Springs Capital LLC: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6180" w:hanging="208"/>
        <w:spacing w:after="0" w:line="289" w:lineRule="auto"/>
        <w:tabs>
          <w:tab w:leader="none" w:pos="186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Rock Springs Capital Management LP: 2,140,187 Rock Springs Capital LLC: 2,140,187</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2,140,187</w:t>
      </w:r>
    </w:p>
    <w:p>
      <w:pPr>
        <w:spacing w:after="0" w:line="206" w:lineRule="exact"/>
        <w:rPr>
          <w:rFonts w:ascii="Arial" w:cs="Arial" w:eastAsia="Arial" w:hAnsi="Arial"/>
          <w:sz w:val="16"/>
          <w:szCs w:val="16"/>
          <w:b w:val="1"/>
          <w:bCs w:val="1"/>
          <w:color w:val="auto"/>
        </w:rPr>
      </w:pPr>
    </w:p>
    <w:p>
      <w:pPr>
        <w:ind w:left="1800" w:right="5700" w:hanging="208"/>
        <w:spacing w:after="0" w:line="293" w:lineRule="auto"/>
        <w:tabs>
          <w:tab w:leader="none" w:pos="19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480" w:hanging="208"/>
        <w:spacing w:after="0" w:line="293" w:lineRule="auto"/>
        <w:tabs>
          <w:tab w:leader="none" w:pos="190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Rock Springs Capital Management LP: 2,140,187</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2,140,187</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2,140,187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jc w:val="center"/>
        <w:ind w:right="6640"/>
        <w:spacing w:after="0"/>
        <w:rPr>
          <w:sz w:val="20"/>
          <w:szCs w:val="20"/>
          <w:color w:val="auto"/>
        </w:rPr>
      </w:pPr>
      <w:r>
        <w:rPr>
          <w:rFonts w:ascii="Arial" w:cs="Arial" w:eastAsia="Arial" w:hAnsi="Arial"/>
          <w:sz w:val="18"/>
          <w:szCs w:val="18"/>
          <w:color w:val="auto"/>
        </w:rPr>
        <w:t>Not Applicable. Please see response to Item 2.</w:t>
      </w:r>
    </w:p>
    <w:p>
      <w:pPr>
        <w:spacing w:after="0" w:line="113" w:lineRule="exact"/>
        <w:rPr>
          <w:sz w:val="20"/>
          <w:szCs w:val="20"/>
          <w:color w:val="auto"/>
        </w:rPr>
      </w:pPr>
    </w:p>
    <w:p>
      <w:pPr>
        <w:jc w:val="center"/>
        <w:ind w:right="6680"/>
        <w:spacing w:after="0"/>
        <w:rPr>
          <w:sz w:val="20"/>
          <w:szCs w:val="20"/>
          <w:color w:val="auto"/>
        </w:rPr>
      </w:pPr>
      <w:r>
        <w:rPr>
          <w:rFonts w:ascii="Arial" w:cs="Arial" w:eastAsia="Arial" w:hAnsi="Arial"/>
          <w:sz w:val="15"/>
          <w:szCs w:val="15"/>
          <w:b w:val="1"/>
          <w:bCs w:val="1"/>
          <w:color w:val="auto"/>
        </w:rPr>
        <w:t>Item 8. Identification and Classification of Members of the Group</w:t>
      </w:r>
    </w:p>
    <w:p>
      <w:pPr>
        <w:spacing w:after="0" w:line="26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560"/>
          </w:cols>
          <w:pgMar w:left="160" w:top="826" w:right="179" w:bottom="569"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660" w:type="dxa"/>
            <w:vAlign w:val="bottom"/>
            <w:tcBorders>
              <w:right w:val="single" w:sz="8" w:color="auto"/>
            </w:tcBorders>
          </w:tcPr>
          <w:p>
            <w:pPr>
              <w:ind w:left="158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w w:val="88"/>
              </w:rPr>
              <w:t>Page 8 of 9 Pages</w:t>
            </w:r>
          </w:p>
        </w:tc>
      </w:tr>
      <w:tr>
        <w:trPr>
          <w:trHeight w:val="111"/>
        </w:trPr>
        <w:tc>
          <w:tcPr>
            <w:tcW w:w="3460" w:type="dxa"/>
            <w:vAlign w:val="bottom"/>
            <w:tcBorders>
              <w:left w:val="single" w:sz="8" w:color="auto"/>
              <w:bottom w:val="single" w:sz="8" w:color="auto"/>
              <w:right w:val="single" w:sz="8" w:color="auto"/>
            </w:tcBorders>
          </w:tcPr>
          <w:p>
            <w:pPr>
              <w:spacing w:after="0"/>
              <w:rPr>
                <w:sz w:val="9"/>
                <w:szCs w:val="9"/>
                <w:color w:val="auto"/>
              </w:rPr>
            </w:pPr>
          </w:p>
        </w:tc>
        <w:tc>
          <w:tcPr>
            <w:tcW w:w="466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Rock Springs Capital Management LP</w:t>
      </w:r>
    </w:p>
    <w:p>
      <w:pPr>
        <w:spacing w:after="0" w:line="225"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42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Rock Springs Capital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Rock Springs Capital Management LP</w:t>
      </w:r>
    </w:p>
    <w:p>
      <w:pPr>
        <w:spacing w:after="0" w:line="211"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429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Rock Springs Capital Management LP</w:t>
      </w:r>
    </w:p>
    <w:p>
      <w:pPr>
        <w:spacing w:after="0" w:line="211"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ectPr>
          <w:pgSz w:w="11900" w:h="16838" w:orient="portrait"/>
          <w:cols w:equalWidth="0" w:num="1">
            <w:col w:w="11560"/>
          </w:cols>
          <w:pgMar w:left="160" w:top="394" w:right="17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660" w:type="dxa"/>
            <w:vAlign w:val="bottom"/>
            <w:tcBorders>
              <w:right w:val="single" w:sz="8" w:color="auto"/>
            </w:tcBorders>
          </w:tcPr>
          <w:p>
            <w:pPr>
              <w:ind w:left="158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w w:val="88"/>
              </w:rPr>
              <w:t>Page 9 of 9 Pages</w:t>
            </w:r>
          </w:p>
        </w:tc>
      </w:tr>
      <w:tr>
        <w:trPr>
          <w:trHeight w:val="111"/>
        </w:trPr>
        <w:tc>
          <w:tcPr>
            <w:tcW w:w="3460" w:type="dxa"/>
            <w:vAlign w:val="bottom"/>
            <w:tcBorders>
              <w:left w:val="single" w:sz="8" w:color="auto"/>
              <w:bottom w:val="single" w:sz="8" w:color="auto"/>
              <w:right w:val="single" w:sz="8" w:color="auto"/>
            </w:tcBorders>
          </w:tcPr>
          <w:p>
            <w:pPr>
              <w:spacing w:after="0"/>
              <w:rPr>
                <w:sz w:val="9"/>
                <w:szCs w:val="9"/>
                <w:color w:val="auto"/>
              </w:rPr>
            </w:pPr>
          </w:p>
        </w:tc>
        <w:tc>
          <w:tcPr>
            <w:tcW w:w="466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Rock Springs Capital Management LP</w:t>
      </w:r>
    </w:p>
    <w:p>
      <w:pPr>
        <w:spacing w:after="0" w:line="225"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429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Rock Springs Capital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Rock Springs Capital Management LP</w:t>
      </w:r>
    </w:p>
    <w:p>
      <w:pPr>
        <w:spacing w:after="0" w:line="211"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429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Rock Springs Capital Management LP</w:t>
      </w:r>
    </w:p>
    <w:p>
      <w:pPr>
        <w:spacing w:after="0" w:line="211"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429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sectPr>
      <w:pgSz w:w="11900" w:h="16838" w:orient="portrait"/>
      <w:cols w:equalWidth="0" w:num="1">
        <w:col w:w="11560"/>
      </w:cols>
      <w:pgMar w:left="160" w:top="394"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2019-11-24T04:56:28Z</dcterms:created>
  <dcterms:modified xsi:type="dcterms:W3CDTF">2019-11-24T04:56:28Z</dcterms:modified>
</cp:coreProperties>
</file>