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66122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375285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UNITED STATES</w:t>
      </w:r>
    </w:p>
    <w:p>
      <w:pPr>
        <w:jc w:val="center"/>
        <w:ind w:right="-8"/>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8"/>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55880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48"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75565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45" w:lineRule="exact"/>
        <w:rPr>
          <w:sz w:val="24"/>
          <w:szCs w:val="24"/>
          <w:color w:val="auto"/>
        </w:rPr>
      </w:pPr>
    </w:p>
    <w:p>
      <w:pPr>
        <w:ind w:left="9"/>
        <w:spacing w:after="0"/>
        <w:rPr>
          <w:sz w:val="20"/>
          <w:szCs w:val="20"/>
          <w:color w:val="auto"/>
        </w:rPr>
      </w:pPr>
      <w:r>
        <w:rPr>
          <w:rFonts w:ascii="Arial" w:cs="Arial" w:eastAsia="Arial" w:hAnsi="Arial"/>
          <w:sz w:val="18"/>
          <w:szCs w:val="18"/>
          <w:color w:val="auto"/>
        </w:rPr>
        <w:t>(Mark One)</w:t>
      </w:r>
    </w:p>
    <w:p>
      <w:pPr>
        <w:ind w:left="449" w:right="160" w:hanging="449"/>
        <w:spacing w:after="0" w:line="227" w:lineRule="auto"/>
        <w:tabs>
          <w:tab w:leader="none" w:pos="62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6"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449" w:right="140" w:hanging="449"/>
        <w:spacing w:after="0" w:line="235" w:lineRule="auto"/>
        <w:tabs>
          <w:tab w:leader="none" w:pos="629"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069"/>
        <w:spacing w:after="0"/>
        <w:tabs>
          <w:tab w:leader="none" w:pos="7048"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48" w:lineRule="exact"/>
        <w:rPr>
          <w:sz w:val="24"/>
          <w:szCs w:val="24"/>
          <w:color w:val="auto"/>
        </w:rPr>
      </w:pPr>
    </w:p>
    <w:p>
      <w:pPr>
        <w:jc w:val="center"/>
        <w:ind w:right="-8"/>
        <w:spacing w:after="0" w:line="207" w:lineRule="exact"/>
        <w:rPr>
          <w:sz w:val="20"/>
          <w:szCs w:val="20"/>
          <w:color w:val="auto"/>
        </w:rPr>
      </w:pPr>
      <w:r>
        <w:rPr>
          <w:rFonts w:ascii="Arial" w:cs="Arial" w:eastAsia="Arial" w:hAnsi="Arial"/>
          <w:sz w:val="18"/>
          <w:szCs w:val="18"/>
          <w:b w:val="1"/>
          <w:bCs w:val="1"/>
          <w:color w:val="auto"/>
        </w:rPr>
        <w:t>COMMISSION FILE NUMBER: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68580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48" w:lineRule="exact"/>
        <w:rPr>
          <w:sz w:val="24"/>
          <w:szCs w:val="24"/>
          <w:color w:val="auto"/>
        </w:rPr>
      </w:pPr>
    </w:p>
    <w:p>
      <w:pPr>
        <w:jc w:val="center"/>
        <w:ind w:right="-8"/>
        <w:spacing w:after="0"/>
        <w:rPr>
          <w:sz w:val="20"/>
          <w:szCs w:val="20"/>
          <w:color w:val="auto"/>
        </w:rPr>
      </w:pPr>
      <w:r>
        <w:rPr>
          <w:rFonts w:ascii="Arial" w:cs="Arial" w:eastAsia="Arial" w:hAnsi="Arial"/>
          <w:sz w:val="29"/>
          <w:szCs w:val="29"/>
          <w:b w:val="1"/>
          <w:bCs w:val="1"/>
          <w:color w:val="auto"/>
        </w:rPr>
        <w:t>ARDELYX, INC.</w:t>
      </w:r>
    </w:p>
    <w:p>
      <w:pPr>
        <w:jc w:val="center"/>
        <w:ind w:right="-8"/>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55880</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26" w:lineRule="exact"/>
        <w:rPr>
          <w:sz w:val="24"/>
          <w:szCs w:val="24"/>
          <w:color w:val="auto"/>
        </w:rPr>
      </w:pPr>
    </w:p>
    <w:tbl>
      <w:tblPr>
        <w:tblLayout w:type="fixed"/>
        <w:tblInd w:w="929" w:type="dxa"/>
        <w:tblCellMar>
          <w:top w:w="0" w:type="dxa"/>
          <w:left w:w="0" w:type="dxa"/>
          <w:bottom w:w="0" w:type="dxa"/>
          <w:right w:w="0" w:type="dxa"/>
        </w:tblCellMar>
      </w:tblPr>
      <w:tr>
        <w:trPr>
          <w:trHeight w:val="207"/>
        </w:trPr>
        <w:tc>
          <w:tcPr>
            <w:tcW w:w="46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8"/>
              </w:rPr>
              <w:t>DELAWARE</w:t>
            </w:r>
          </w:p>
        </w:tc>
        <w:tc>
          <w:tcPr>
            <w:tcW w:w="3460" w:type="dxa"/>
            <w:vAlign w:val="bottom"/>
          </w:tcPr>
          <w:p>
            <w:pPr>
              <w:jc w:val="center"/>
              <w:ind w:left="1070"/>
              <w:spacing w:after="0" w:line="207" w:lineRule="exact"/>
              <w:rPr>
                <w:sz w:val="20"/>
                <w:szCs w:val="20"/>
                <w:color w:val="auto"/>
              </w:rPr>
            </w:pPr>
            <w:r>
              <w:rPr>
                <w:rFonts w:ascii="Arial" w:cs="Arial" w:eastAsia="Arial" w:hAnsi="Arial"/>
                <w:sz w:val="18"/>
                <w:szCs w:val="18"/>
                <w:b w:val="1"/>
                <w:bCs w:val="1"/>
                <w:color w:val="auto"/>
                <w:w w:val="89"/>
              </w:rPr>
              <w:t>26</w:t>
            </w:r>
            <w:r>
              <w:rPr>
                <w:rFonts w:ascii="MS PGothic" w:cs="MS PGothic" w:eastAsia="MS PGothic" w:hAnsi="MS PGothic"/>
                <w:sz w:val="18"/>
                <w:szCs w:val="18"/>
                <w:b w:val="1"/>
                <w:bCs w:val="1"/>
                <w:color w:val="auto"/>
                <w:w w:val="89"/>
              </w:rPr>
              <w:t>‑</w:t>
            </w:r>
            <w:r>
              <w:rPr>
                <w:rFonts w:ascii="Arial" w:cs="Arial" w:eastAsia="Arial" w:hAnsi="Arial"/>
                <w:sz w:val="18"/>
                <w:szCs w:val="18"/>
                <w:b w:val="1"/>
                <w:bCs w:val="1"/>
                <w:color w:val="auto"/>
                <w:w w:val="89"/>
              </w:rPr>
              <w:t>1303944</w:t>
            </w:r>
          </w:p>
        </w:tc>
      </w:tr>
      <w:tr>
        <w:trPr>
          <w:trHeight w:val="176"/>
        </w:trPr>
        <w:tc>
          <w:tcPr>
            <w:tcW w:w="4620" w:type="dxa"/>
            <w:vAlign w:val="bottom"/>
          </w:tcPr>
          <w:p>
            <w:pPr>
              <w:jc w:val="center"/>
              <w:ind w:right="1070"/>
              <w:spacing w:after="0" w:line="176" w:lineRule="exact"/>
              <w:rPr>
                <w:sz w:val="20"/>
                <w:szCs w:val="20"/>
                <w:color w:val="auto"/>
              </w:rPr>
            </w:pPr>
            <w:r>
              <w:rPr>
                <w:rFonts w:ascii="Arial" w:cs="Arial" w:eastAsia="Arial" w:hAnsi="Arial"/>
                <w:sz w:val="18"/>
                <w:szCs w:val="18"/>
                <w:color w:val="auto"/>
                <w:w w:val="94"/>
              </w:rPr>
              <w:t>(STATE OR OTHER JURISDICTION</w:t>
            </w:r>
          </w:p>
        </w:tc>
        <w:tc>
          <w:tcPr>
            <w:tcW w:w="3460" w:type="dxa"/>
            <w:vAlign w:val="bottom"/>
          </w:tcPr>
          <w:p>
            <w:pPr>
              <w:jc w:val="center"/>
              <w:ind w:left="1070"/>
              <w:spacing w:after="0" w:line="176" w:lineRule="exact"/>
              <w:rPr>
                <w:sz w:val="20"/>
                <w:szCs w:val="20"/>
                <w:color w:val="auto"/>
              </w:rPr>
            </w:pPr>
            <w:r>
              <w:rPr>
                <w:rFonts w:ascii="Arial" w:cs="Arial" w:eastAsia="Arial" w:hAnsi="Arial"/>
                <w:sz w:val="18"/>
                <w:szCs w:val="18"/>
                <w:color w:val="auto"/>
                <w:w w:val="96"/>
              </w:rPr>
              <w:t>(I.R.S. EMPLOYER</w:t>
            </w:r>
          </w:p>
        </w:tc>
      </w:tr>
      <w:tr>
        <w:trPr>
          <w:trHeight w:val="230"/>
        </w:trPr>
        <w:tc>
          <w:tcPr>
            <w:tcW w:w="4620" w:type="dxa"/>
            <w:vAlign w:val="bottom"/>
          </w:tcPr>
          <w:p>
            <w:pPr>
              <w:jc w:val="center"/>
              <w:ind w:right="1070"/>
              <w:spacing w:after="0"/>
              <w:rPr>
                <w:sz w:val="20"/>
                <w:szCs w:val="20"/>
                <w:color w:val="auto"/>
              </w:rPr>
            </w:pPr>
            <w:r>
              <w:rPr>
                <w:rFonts w:ascii="Arial" w:cs="Arial" w:eastAsia="Arial" w:hAnsi="Arial"/>
                <w:sz w:val="18"/>
                <w:szCs w:val="18"/>
                <w:color w:val="auto"/>
                <w:w w:val="95"/>
              </w:rPr>
              <w:t>OF INCORPORATION OR ORGANIZATION)</w:t>
            </w:r>
          </w:p>
        </w:tc>
        <w:tc>
          <w:tcPr>
            <w:tcW w:w="3460" w:type="dxa"/>
            <w:vAlign w:val="bottom"/>
          </w:tcPr>
          <w:p>
            <w:pPr>
              <w:jc w:val="center"/>
              <w:ind w:left="1070"/>
              <w:spacing w:after="0"/>
              <w:rPr>
                <w:sz w:val="20"/>
                <w:szCs w:val="20"/>
                <w:color w:val="auto"/>
              </w:rPr>
            </w:pPr>
            <w:r>
              <w:rPr>
                <w:rFonts w:ascii="Arial" w:cs="Arial" w:eastAsia="Arial" w:hAnsi="Arial"/>
                <w:sz w:val="18"/>
                <w:szCs w:val="18"/>
                <w:color w:val="auto"/>
                <w:w w:val="99"/>
              </w:rPr>
              <w:t>IDENTIFICATION NUMBER)</w:t>
            </w:r>
          </w:p>
        </w:tc>
      </w:tr>
    </w:tbl>
    <w:p>
      <w:pPr>
        <w:spacing w:after="0" w:line="10"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34175 Ardenwood Boulevard,</w:t>
      </w:r>
    </w:p>
    <w:p>
      <w:pPr>
        <w:jc w:val="center"/>
        <w:ind w:right="-8"/>
        <w:spacing w:after="0" w:line="203" w:lineRule="auto"/>
        <w:rPr>
          <w:sz w:val="20"/>
          <w:szCs w:val="20"/>
          <w:color w:val="auto"/>
        </w:rPr>
      </w:pPr>
      <w:r>
        <w:rPr>
          <w:rFonts w:ascii="Arial" w:cs="Arial" w:eastAsia="Arial" w:hAnsi="Arial"/>
          <w:sz w:val="18"/>
          <w:szCs w:val="18"/>
          <w:b w:val="1"/>
          <w:bCs w:val="1"/>
          <w:color w:val="auto"/>
        </w:rPr>
        <w:t>Fremont, California 94555</w:t>
      </w:r>
    </w:p>
    <w:p>
      <w:pPr>
        <w:jc w:val="center"/>
        <w:ind w:right="-8"/>
        <w:spacing w:after="0"/>
        <w:rPr>
          <w:sz w:val="20"/>
          <w:szCs w:val="20"/>
          <w:color w:val="auto"/>
        </w:rPr>
      </w:pPr>
      <w:r>
        <w:rPr>
          <w:rFonts w:ascii="Arial" w:cs="Arial" w:eastAsia="Arial" w:hAnsi="Arial"/>
          <w:sz w:val="18"/>
          <w:szCs w:val="18"/>
          <w:color w:val="auto"/>
        </w:rPr>
        <w:t>(ADDRESS OF PRINCIPAL EXECUTIVE OFFICES, INCLUDING ZIPCODE)</w:t>
      </w:r>
    </w:p>
    <w:p>
      <w:pPr>
        <w:spacing w:after="0" w:line="18" w:lineRule="exact"/>
        <w:rPr>
          <w:sz w:val="24"/>
          <w:szCs w:val="24"/>
          <w:color w:val="auto"/>
        </w:rPr>
      </w:pPr>
    </w:p>
    <w:p>
      <w:pPr>
        <w:jc w:val="center"/>
        <w:ind w:right="-8"/>
        <w:spacing w:after="0" w:line="207" w:lineRule="exact"/>
        <w:rPr>
          <w:sz w:val="20"/>
          <w:szCs w:val="20"/>
          <w:color w:val="auto"/>
        </w:rPr>
      </w:pPr>
      <w:r>
        <w:rPr>
          <w:rFonts w:ascii="Arial" w:cs="Arial" w:eastAsia="Arial" w:hAnsi="Arial"/>
          <w:sz w:val="18"/>
          <w:szCs w:val="18"/>
          <w:b w:val="1"/>
          <w:bCs w:val="1"/>
          <w:color w:val="auto"/>
        </w:rPr>
        <w:t>(510) 745</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1700</w:t>
      </w:r>
    </w:p>
    <w:p>
      <w:pPr>
        <w:jc w:val="center"/>
        <w:ind w:right="-8"/>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55880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12" w:lineRule="exact"/>
        <w:rPr>
          <w:sz w:val="24"/>
          <w:szCs w:val="24"/>
          <w:color w:val="auto"/>
        </w:rPr>
      </w:pPr>
    </w:p>
    <w:tbl>
      <w:tblPr>
        <w:tblLayout w:type="fixed"/>
        <w:tblInd w:w="9" w:type="dxa"/>
        <w:tblCellMar>
          <w:top w:w="0" w:type="dxa"/>
          <w:left w:w="0" w:type="dxa"/>
          <w:bottom w:w="0" w:type="dxa"/>
          <w:right w:w="0" w:type="dxa"/>
        </w:tblCellMar>
      </w:tblPr>
      <w:tr>
        <w:trPr>
          <w:trHeight w:val="182"/>
        </w:trPr>
        <w:tc>
          <w:tcPr>
            <w:tcW w:w="3420" w:type="dxa"/>
            <w:vAlign w:val="bottom"/>
            <w:gridSpan w:val="3"/>
          </w:tcPr>
          <w:p>
            <w:pPr>
              <w:spacing w:after="0"/>
              <w:rPr>
                <w:sz w:val="20"/>
                <w:szCs w:val="20"/>
                <w:color w:val="auto"/>
              </w:rPr>
            </w:pPr>
            <w:r>
              <w:rPr>
                <w:rFonts w:ascii="Arial" w:cs="Arial" w:eastAsia="Arial" w:hAnsi="Arial"/>
                <w:sz w:val="14"/>
                <w:szCs w:val="14"/>
                <w:color w:val="auto"/>
                <w:w w:val="95"/>
              </w:rPr>
              <w:t>Securities registered pursuant to Section 12(b) of the Act:</w:t>
            </w:r>
          </w:p>
        </w:tc>
        <w:tc>
          <w:tcPr>
            <w:tcW w:w="2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Title of each class</w:t>
            </w:r>
          </w:p>
        </w:tc>
        <w:tc>
          <w:tcPr>
            <w:tcW w:w="2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Trading Symbol(s)</w:t>
            </w: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320" w:type="dxa"/>
            <w:vAlign w:val="bottom"/>
            <w:vMerge w:val="restart"/>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80" w:type="dxa"/>
            <w:vAlign w:val="bottom"/>
          </w:tcPr>
          <w:p>
            <w:pPr>
              <w:jc w:val="center"/>
              <w:spacing w:after="0"/>
              <w:rPr>
                <w:sz w:val="20"/>
                <w:szCs w:val="20"/>
                <w:color w:val="auto"/>
              </w:rPr>
            </w:pPr>
            <w:r>
              <w:rPr>
                <w:rFonts w:ascii="Arial" w:cs="Arial" w:eastAsia="Arial" w:hAnsi="Arial"/>
                <w:sz w:val="14"/>
                <w:szCs w:val="14"/>
                <w:color w:val="auto"/>
                <w:w w:val="93"/>
              </w:rPr>
              <w:t>Common Stock, par value $0.0001</w:t>
            </w:r>
          </w:p>
        </w:tc>
        <w:tc>
          <w:tcPr>
            <w:tcW w:w="320" w:type="dxa"/>
            <w:vAlign w:val="bottom"/>
            <w:vMerge w:val="continue"/>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rPr>
              <w:t>ARDX</w:t>
            </w:r>
          </w:p>
        </w:tc>
        <w:tc>
          <w:tcPr>
            <w:tcW w:w="300" w:type="dxa"/>
            <w:vAlign w:val="bottom"/>
            <w:vMerge w:val="continue"/>
          </w:tcPr>
          <w:p>
            <w:pPr>
              <w:spacing w:after="0"/>
              <w:rPr>
                <w:sz w:val="15"/>
                <w:szCs w:val="15"/>
                <w:color w:val="auto"/>
              </w:rPr>
            </w:pPr>
          </w:p>
        </w:tc>
        <w:tc>
          <w:tcPr>
            <w:tcW w:w="4000" w:type="dxa"/>
            <w:vAlign w:val="bottom"/>
          </w:tcPr>
          <w:p>
            <w:pPr>
              <w:jc w:val="center"/>
              <w:spacing w:after="0"/>
              <w:rPr>
                <w:sz w:val="20"/>
                <w:szCs w:val="20"/>
                <w:color w:val="auto"/>
              </w:rPr>
            </w:pPr>
            <w:r>
              <w:rPr>
                <w:rFonts w:ascii="Arial" w:cs="Arial" w:eastAsia="Arial" w:hAnsi="Arial"/>
                <w:sz w:val="14"/>
                <w:szCs w:val="14"/>
                <w:color w:val="auto"/>
                <w:w w:val="94"/>
              </w:rPr>
              <w:t>The Nasdaq Global Market</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9" w:right="600" w:firstLine="441"/>
        <w:spacing w:after="0" w:line="222"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left="9"/>
        <w:spacing w:after="0" w:line="161" w:lineRule="exact"/>
        <w:tabs>
          <w:tab w:leader="none" w:pos="588" w:val="left"/>
          <w:tab w:leader="none" w:pos="1128"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35" w:lineRule="exact"/>
        <w:rPr>
          <w:sz w:val="24"/>
          <w:szCs w:val="24"/>
          <w:color w:val="auto"/>
        </w:rPr>
      </w:pPr>
    </w:p>
    <w:p>
      <w:pPr>
        <w:ind w:left="9" w:right="200" w:firstLine="441"/>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left="9" w:right="60" w:firstLine="441"/>
        <w:spacing w:after="0" w:line="159" w:lineRule="exact"/>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3"/>
          <w:szCs w:val="13"/>
          <w:color w:val="auto"/>
        </w:rPr>
        <w:t>‑</w:t>
      </w:r>
      <w:r>
        <w:rPr>
          <w:rFonts w:ascii="Arial" w:cs="Arial" w:eastAsia="Arial" w:hAnsi="Arial"/>
          <w:sz w:val="13"/>
          <w:szCs w:val="13"/>
          <w:color w:val="auto"/>
        </w:rPr>
        <w:t>2 of the Exchange Act.</w:t>
      </w:r>
    </w:p>
    <w:p>
      <w:pPr>
        <w:spacing w:after="0" w:line="7" w:lineRule="exact"/>
        <w:rPr>
          <w:sz w:val="24"/>
          <w:szCs w:val="24"/>
          <w:color w:val="auto"/>
        </w:rPr>
      </w:pPr>
    </w:p>
    <w:tbl>
      <w:tblPr>
        <w:tblLayout w:type="fixed"/>
        <w:tblInd w:w="9" w:type="dxa"/>
        <w:tblCellMar>
          <w:top w:w="0" w:type="dxa"/>
          <w:left w:w="0" w:type="dxa"/>
          <w:bottom w:w="0" w:type="dxa"/>
          <w:right w:w="0" w:type="dxa"/>
        </w:tblCellMar>
      </w:tblPr>
      <w:tr>
        <w:trPr>
          <w:trHeight w:val="226"/>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29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1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9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spacing w:after="0"/>
              <w:rPr>
                <w:sz w:val="23"/>
                <w:szCs w:val="23"/>
                <w:color w:val="auto"/>
              </w:rPr>
            </w:pPr>
          </w:p>
        </w:tc>
        <w:tc>
          <w:tcPr>
            <w:tcW w:w="660" w:type="dxa"/>
            <w:vAlign w:val="bottom"/>
          </w:tcPr>
          <w:p>
            <w:pPr>
              <w:spacing w:after="0"/>
              <w:rPr>
                <w:sz w:val="23"/>
                <w:szCs w:val="23"/>
                <w:color w:val="auto"/>
              </w:rPr>
            </w:pPr>
          </w:p>
        </w:tc>
      </w:tr>
    </w:tbl>
    <w:p>
      <w:pPr>
        <w:spacing w:after="0" w:line="4" w:lineRule="exact"/>
        <w:rPr>
          <w:sz w:val="24"/>
          <w:szCs w:val="24"/>
          <w:color w:val="auto"/>
        </w:rPr>
      </w:pPr>
    </w:p>
    <w:p>
      <w:pPr>
        <w:ind w:left="9" w:right="500" w:firstLine="441"/>
        <w:spacing w:after="0" w:line="16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49"/>
        <w:spacing w:after="0" w:line="161" w:lineRule="exact"/>
        <w:tabs>
          <w:tab w:leader="none" w:pos="7088" w:val="left"/>
          <w:tab w:leader="none" w:pos="7628" w:val="left"/>
        </w:tabs>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31" w:lineRule="exact"/>
        <w:rPr>
          <w:sz w:val="24"/>
          <w:szCs w:val="24"/>
          <w:color w:val="auto"/>
        </w:rPr>
      </w:pPr>
    </w:p>
    <w:p>
      <w:pPr>
        <w:ind w:left="449"/>
        <w:spacing w:after="0"/>
        <w:rPr>
          <w:sz w:val="20"/>
          <w:szCs w:val="20"/>
          <w:color w:val="auto"/>
        </w:rPr>
      </w:pPr>
      <w:r>
        <w:rPr>
          <w:rFonts w:ascii="Arial" w:cs="Arial" w:eastAsia="Arial" w:hAnsi="Arial"/>
          <w:sz w:val="14"/>
          <w:szCs w:val="14"/>
          <w:color w:val="auto"/>
        </w:rPr>
        <w:t>The number of issued and outstanding shares of the registrant’s Common Stock, $0.0001 par value per share, as of November 1, 2019, was 62,908,080.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49530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598170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220" w:right="73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vMerge w:val="restart"/>
          </w:tcPr>
          <w:p>
            <w:pPr>
              <w:spacing w:after="0"/>
              <w:rPr>
                <w:sz w:val="14"/>
                <w:szCs w:val="14"/>
                <w:color w:val="auto"/>
              </w:rPr>
            </w:pPr>
          </w:p>
        </w:tc>
        <w:tc>
          <w:tcPr>
            <w:tcW w:w="5860" w:type="dxa"/>
            <w:vAlign w:val="bottom"/>
            <w:gridSpan w:val="16"/>
            <w:vMerge w:val="restart"/>
          </w:tcPr>
          <w:p>
            <w:pPr>
              <w:jc w:val="center"/>
              <w:ind w:right="280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5860" w:type="dxa"/>
            <w:vAlign w:val="bottom"/>
            <w:gridSpan w:val="16"/>
            <w:vMerge w:val="continue"/>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Item 1. Condensed Consolidated Financial Statements</w:t>
              </w:r>
            </w:hyperlink>
          </w:p>
        </w:tc>
        <w:tc>
          <w:tcPr>
            <w:tcW w:w="4580" w:type="dxa"/>
            <w:vAlign w:val="bottom"/>
            <w:gridSpan w:val="12"/>
          </w:tcPr>
          <w:p>
            <w:pPr>
              <w:spacing w:after="0"/>
              <w:rPr>
                <w:sz w:val="24"/>
                <w:szCs w:val="24"/>
                <w:color w:val="auto"/>
              </w:rPr>
            </w:pP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020" w:type="dxa"/>
            <w:vAlign w:val="bottom"/>
            <w:gridSpan w:val="2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September 30, 2019 (unaudited) and December 31, 2018</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460" w:type="dxa"/>
            <w:vAlign w:val="bottom"/>
            <w:tcBorders>
              <w:top w:val="single" w:sz="8" w:color="0000EE"/>
            </w:tcBorders>
            <w:gridSpan w:val="20"/>
          </w:tcPr>
          <w:p>
            <w:pPr>
              <w:spacing w:after="0" w:line="15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Loss for the three</w:t>
              </w:r>
            </w:hyperlink>
          </w:p>
        </w:tc>
        <w:tc>
          <w:tcPr>
            <w:tcW w:w="1560" w:type="dxa"/>
            <w:vAlign w:val="bottom"/>
            <w:gridSpan w:val="4"/>
          </w:tcPr>
          <w:p>
            <w:pPr>
              <w:ind w:left="40"/>
              <w:spacing w:after="0" w:line="156" w:lineRule="exact"/>
              <w:rPr>
                <w:rFonts w:ascii="Arial" w:cs="Arial" w:eastAsia="Arial" w:hAnsi="Arial"/>
                <w:sz w:val="18"/>
                <w:szCs w:val="18"/>
                <w:color w:val="0000EE"/>
              </w:rPr>
            </w:pPr>
            <w:hyperlink w:anchor="page4">
              <w:r>
                <w:rPr>
                  <w:rFonts w:ascii="Arial" w:cs="Arial" w:eastAsia="Arial" w:hAnsi="Arial"/>
                  <w:sz w:val="18"/>
                  <w:szCs w:val="18"/>
                  <w:color w:val="0000EE"/>
                </w:rPr>
                <w:t>and nine months</w:t>
              </w:r>
            </w:hyperlink>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7480" w:type="dxa"/>
            <w:vAlign w:val="bottom"/>
            <w:tcBorders>
              <w:top w:val="single" w:sz="8" w:color="0000EE"/>
            </w:tcBorders>
            <w:gridSpan w:val="19"/>
          </w:tcPr>
          <w:p>
            <w:pPr>
              <w:spacing w:after="0" w:line="156" w:lineRule="exact"/>
              <w:rPr>
                <w:rFonts w:ascii="Arial" w:cs="Arial" w:eastAsia="Arial" w:hAnsi="Arial"/>
                <w:sz w:val="18"/>
                <w:szCs w:val="18"/>
                <w:color w:val="0000EE"/>
              </w:rPr>
            </w:pPr>
            <w:hyperlink w:anchor="page4">
              <w:r>
                <w:rPr>
                  <w:rFonts w:ascii="Arial" w:cs="Arial" w:eastAsia="Arial" w:hAnsi="Arial"/>
                  <w:sz w:val="18"/>
                  <w:szCs w:val="18"/>
                  <w:color w:val="0000EE"/>
                </w:rPr>
                <w:t>ended September 30, 2019 and 2018 (unaudited)</w:t>
              </w:r>
            </w:hyperlink>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EE"/>
            </w:tcBorders>
            <w:gridSpan w:val="11"/>
          </w:tcPr>
          <w:p>
            <w:pPr>
              <w:spacing w:after="0" w:line="15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Condensed Consolidated Statements of Changes in</w:t>
              </w:r>
            </w:hyperlink>
          </w:p>
        </w:tc>
        <w:tc>
          <w:tcPr>
            <w:tcW w:w="4320" w:type="dxa"/>
            <w:vAlign w:val="bottom"/>
            <w:gridSpan w:val="11"/>
          </w:tcPr>
          <w:p>
            <w:pPr>
              <w:ind w:left="20"/>
              <w:spacing w:after="0" w:line="15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Stockholders' Equity for the three and nine months ended</w:t>
              </w:r>
            </w:hyperlink>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7660" w:type="dxa"/>
            <w:vAlign w:val="bottom"/>
            <w:tcBorders>
              <w:top w:val="single" w:sz="8" w:color="0000EE"/>
            </w:tcBorders>
            <w:gridSpan w:val="21"/>
          </w:tcPr>
          <w:p>
            <w:pPr>
              <w:spacing w:after="0" w:line="15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2019 and 2018 (unaudited)</w:t>
              </w:r>
            </w:hyperlink>
          </w:p>
        </w:tc>
        <w:tc>
          <w:tcPr>
            <w:tcW w:w="1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EE"/>
            </w:tcBorders>
            <w:gridSpan w:val="9"/>
          </w:tcPr>
          <w:p>
            <w:pPr>
              <w:spacing w:after="0" w:line="156" w:lineRule="exact"/>
              <w:rPr>
                <w:rFonts w:ascii="Arial" w:cs="Arial" w:eastAsia="Arial" w:hAnsi="Arial"/>
                <w:sz w:val="18"/>
                <w:szCs w:val="18"/>
                <w:color w:val="0000EE"/>
                <w:w w:val="82"/>
              </w:rPr>
            </w:pPr>
            <w:hyperlink w:anchor="page7">
              <w:r>
                <w:rPr>
                  <w:rFonts w:ascii="Arial" w:cs="Arial" w:eastAsia="Arial" w:hAnsi="Arial"/>
                  <w:sz w:val="18"/>
                  <w:szCs w:val="18"/>
                  <w:color w:val="0000EE"/>
                  <w:w w:val="82"/>
                </w:rPr>
                <w:t>Condensed Consolidated Statements of Cash</w:t>
              </w:r>
            </w:hyperlink>
          </w:p>
        </w:tc>
        <w:tc>
          <w:tcPr>
            <w:tcW w:w="4780" w:type="dxa"/>
            <w:vAlign w:val="bottom"/>
            <w:gridSpan w:val="13"/>
          </w:tcPr>
          <w:p>
            <w:pPr>
              <w:ind w:left="40"/>
              <w:spacing w:after="0" w:line="15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Flows for the three and nine months ended September 30, 2019</w:t>
              </w:r>
            </w:hyperlink>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7640" w:type="dxa"/>
            <w:vAlign w:val="bottom"/>
            <w:tcBorders>
              <w:top w:val="single" w:sz="8" w:color="0000EE"/>
            </w:tcBorders>
            <w:gridSpan w:val="20"/>
          </w:tcPr>
          <w:p>
            <w:pPr>
              <w:spacing w:after="0" w:line="156" w:lineRule="exact"/>
              <w:rPr>
                <w:rFonts w:ascii="Arial" w:cs="Arial" w:eastAsia="Arial" w:hAnsi="Arial"/>
                <w:sz w:val="18"/>
                <w:szCs w:val="18"/>
                <w:color w:val="0000EE"/>
              </w:rPr>
            </w:pPr>
            <w:hyperlink w:anchor="page7">
              <w:r>
                <w:rPr>
                  <w:rFonts w:ascii="Arial" w:cs="Arial" w:eastAsia="Arial" w:hAnsi="Arial"/>
                  <w:sz w:val="18"/>
                  <w:szCs w:val="18"/>
                  <w:color w:val="0000EE"/>
                </w:rPr>
                <w:t>and 2018 (unaudited)</w:t>
              </w:r>
            </w:hyperlink>
          </w:p>
        </w:tc>
        <w:tc>
          <w:tcPr>
            <w:tcW w:w="180" w:type="dxa"/>
            <w:vAlign w:val="bottom"/>
            <w:gridSpan w:val="2"/>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8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3140" w:type="dxa"/>
            <w:vAlign w:val="bottom"/>
            <w:gridSpan w:val="8"/>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Item 2. Management’s Discussion and Analysis of Financial Condition and Results of Operations</w:t>
              </w:r>
            </w:hyperlink>
          </w:p>
        </w:tc>
        <w:tc>
          <w:tcPr>
            <w:tcW w:w="1580" w:type="dxa"/>
            <w:vAlign w:val="bottom"/>
            <w:gridSpan w:val="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Item 3. Quantitative and Qualitative Disclosures About Market Risk</w:t>
              </w:r>
            </w:hyperlink>
          </w:p>
        </w:tc>
        <w:tc>
          <w:tcPr>
            <w:tcW w:w="3680" w:type="dxa"/>
            <w:vAlign w:val="bottom"/>
            <w:gridSpan w:val="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8600" w:type="dxa"/>
            <w:vAlign w:val="bottom"/>
            <w:gridSpan w:val="2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4. Controls and Procedures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31"/>
        </w:trPr>
        <w:tc>
          <w:tcPr>
            <w:tcW w:w="5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OTHER INFORMATION</w:t>
              </w:r>
            </w:hyperlink>
          </w:p>
        </w:tc>
        <w:tc>
          <w:tcPr>
            <w:tcW w:w="29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1. Legal Proceedings</w:t>
              </w:r>
            </w:hyperlink>
          </w:p>
        </w:tc>
        <w:tc>
          <w:tcPr>
            <w:tcW w:w="6700" w:type="dxa"/>
            <w:vAlign w:val="bottom"/>
            <w:gridSpan w:val="1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Item 1A. Risk Factors</w:t>
              </w:r>
            </w:hyperlink>
          </w:p>
        </w:tc>
        <w:tc>
          <w:tcPr>
            <w:tcW w:w="7000" w:type="dxa"/>
            <w:vAlign w:val="bottom"/>
            <w:gridSpan w:val="2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8600" w:type="dxa"/>
            <w:vAlign w:val="bottom"/>
            <w:gridSpan w:val="2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Item 2. Unregistered Sales of Equity Securities and Use of Proceeds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49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Item 3. Defaults Upon Senior Securities</w:t>
              </w:r>
            </w:hyperlink>
          </w:p>
        </w:tc>
        <w:tc>
          <w:tcPr>
            <w:tcW w:w="3700" w:type="dxa"/>
            <w:vAlign w:val="bottom"/>
            <w:gridSpan w:val="1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Item 4. Mine Safety Disclosures</w:t>
              </w:r>
            </w:hyperlink>
          </w:p>
        </w:tc>
        <w:tc>
          <w:tcPr>
            <w:tcW w:w="5720" w:type="dxa"/>
            <w:vAlign w:val="bottom"/>
            <w:gridSpan w:val="1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2"/>
          </w:tcPr>
          <w:p>
            <w:pPr>
              <w:spacing w:after="0"/>
              <w:rPr>
                <w:sz w:val="17"/>
                <w:szCs w:val="17"/>
                <w:color w:val="auto"/>
              </w:rPr>
            </w:pPr>
          </w:p>
        </w:tc>
        <w:tc>
          <w:tcPr>
            <w:tcW w:w="6280" w:type="dxa"/>
            <w:vAlign w:val="bottom"/>
            <w:gridSpan w:val="17"/>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Item 6. Exhibits</w:t>
              </w:r>
            </w:hyperlink>
          </w:p>
        </w:tc>
        <w:tc>
          <w:tcPr>
            <w:tcW w:w="7440" w:type="dxa"/>
            <w:vAlign w:val="bottom"/>
            <w:gridSpan w:val="2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8600" w:type="dxa"/>
            <w:vAlign w:val="bottom"/>
            <w:gridSpan w:val="2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Signatures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642"/>
        </w:trPr>
        <w:tc>
          <w:tcPr>
            <w:tcW w:w="760" w:type="dxa"/>
            <w:vAlign w:val="bottom"/>
            <w:tcBorders>
              <w:top w:val="single" w:sz="8" w:color="0000EE"/>
            </w:tcBorders>
            <w:gridSpan w:val="2"/>
          </w:tcPr>
          <w:p>
            <w:pPr>
              <w:spacing w:after="0"/>
              <w:rPr>
                <w:sz w:val="24"/>
                <w:szCs w:val="24"/>
                <w:color w:val="auto"/>
              </w:rPr>
            </w:pPr>
          </w:p>
        </w:tc>
        <w:tc>
          <w:tcPr>
            <w:tcW w:w="4140" w:type="dxa"/>
            <w:vAlign w:val="bottom"/>
            <w:gridSpan w:val="13"/>
          </w:tcPr>
          <w:p>
            <w:pPr>
              <w:jc w:val="right"/>
              <w:ind w:right="2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3"/>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55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640" w:type="dxa"/>
            <w:vAlign w:val="bottom"/>
            <w:gridSpan w:val="3"/>
          </w:tcPr>
          <w:p>
            <w:pPr>
              <w:ind w:left="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Arial" w:cs="Arial" w:eastAsia="Arial" w:hAnsi="Arial"/>
                <w:sz w:val="18"/>
                <w:szCs w:val="18"/>
                <w:b w:val="1"/>
                <w:bCs w:val="1"/>
                <w:color w:val="auto"/>
              </w:rPr>
              <w:t>ARDELYX, INC.</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5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8"/>
              </w:rPr>
              <w:t>CONDENSED BALANCE SHEETS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31"/>
              <w:spacing w:after="0" w:line="129" w:lineRule="exact"/>
              <w:rPr>
                <w:sz w:val="20"/>
                <w:szCs w:val="20"/>
                <w:color w:val="auto"/>
              </w:rPr>
            </w:pPr>
            <w:r>
              <w:rPr>
                <w:rFonts w:ascii="Arial" w:cs="Arial" w:eastAsia="Arial" w:hAnsi="Arial"/>
                <w:sz w:val="14"/>
                <w:szCs w:val="14"/>
                <w:b w:val="1"/>
                <w:bCs w:val="1"/>
                <w:color w:val="auto"/>
                <w:w w:val="92"/>
              </w:rPr>
              <w:t>(Unaudited)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271"/>
              <w:spacing w:after="0" w:line="129" w:lineRule="exact"/>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0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060" w:type="dxa"/>
            <w:vAlign w:val="bottom"/>
          </w:tcPr>
          <w:p>
            <w:pPr>
              <w:spacing w:after="0" w:line="176" w:lineRule="exact"/>
              <w:rPr>
                <w:sz w:val="20"/>
                <w:szCs w:val="20"/>
                <w:color w:val="auto"/>
              </w:rPr>
            </w:pPr>
            <w:r>
              <w:rPr>
                <w:rFonts w:ascii="Arial" w:cs="Arial" w:eastAsia="Arial" w:hAnsi="Arial"/>
                <w:sz w:val="18"/>
                <w:szCs w:val="18"/>
                <w:color w:val="auto"/>
                <w:w w:val="85"/>
              </w:rPr>
              <w:t>Current assets: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92,673</w:t>
            </w: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78,768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tcPr>
          <w:p>
            <w:pPr>
              <w:ind w:left="100"/>
              <w:spacing w:after="0" w:line="176" w:lineRule="exact"/>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10,870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89,321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2,699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tcPr>
          <w:p>
            <w:pPr>
              <w:ind w:left="100"/>
              <w:spacing w:after="0" w:line="176" w:lineRule="exact"/>
              <w:rPr>
                <w:sz w:val="20"/>
                <w:szCs w:val="20"/>
                <w:color w:val="auto"/>
              </w:rPr>
            </w:pPr>
            <w:r>
              <w:rPr>
                <w:rFonts w:ascii="Arial" w:cs="Arial" w:eastAsia="Arial" w:hAnsi="Arial"/>
                <w:sz w:val="18"/>
                <w:szCs w:val="18"/>
                <w:color w:val="auto"/>
              </w:rPr>
              <w:t>Unbilled license revenue</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5,000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4,592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3,197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700" w:type="dxa"/>
            <w:vAlign w:val="bottom"/>
            <w:gridSpan w:val="4"/>
          </w:tcPr>
          <w:p>
            <w:pPr>
              <w:ind w:left="320"/>
              <w:spacing w:after="0" w:line="170" w:lineRule="exact"/>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8"/>
                <w:szCs w:val="18"/>
                <w:color w:val="auto"/>
              </w:rPr>
              <w:t>110,834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8"/>
                <w:szCs w:val="18"/>
                <w:color w:val="auto"/>
              </w:rPr>
              <w:t>176,371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3,943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5,611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tcPr>
          <w:p>
            <w:pPr>
              <w:spacing w:after="0" w:line="176" w:lineRule="exact"/>
              <w:rPr>
                <w:sz w:val="20"/>
                <w:szCs w:val="20"/>
                <w:color w:val="auto"/>
              </w:rPr>
            </w:pPr>
            <w:r>
              <w:rPr>
                <w:rFonts w:ascii="Arial" w:cs="Arial" w:eastAsia="Arial" w:hAnsi="Arial"/>
                <w:sz w:val="18"/>
                <w:szCs w:val="18"/>
                <w:color w:val="auto"/>
              </w:rPr>
              <w:t>Right-of-use assets</w:t>
            </w: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4,453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5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1,350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tcBorders>
              <w:bottom w:val="single" w:sz="8" w:color="CCEEFF"/>
            </w:tcBorders>
            <w:gridSpan w:val="4"/>
          </w:tcPr>
          <w:p>
            <w:pPr>
              <w:ind w:left="320"/>
              <w:spacing w:after="0" w:line="170" w:lineRule="exact"/>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119,410</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183,332</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tcPr>
          <w:p>
            <w:pPr>
              <w:spacing w:after="0" w:line="176" w:lineRule="exact"/>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2,689</w:t>
            </w: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1,148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tcPr>
          <w:p>
            <w:pPr>
              <w:ind w:left="100"/>
              <w:spacing w:after="0" w:line="176" w:lineRule="exact"/>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2,804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2,723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Uncharged license fees</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tcPr>
          <w:p>
            <w:pPr>
              <w:ind w:left="100"/>
              <w:spacing w:after="0" w:line="176" w:lineRule="exact"/>
              <w:rPr>
                <w:sz w:val="20"/>
                <w:szCs w:val="20"/>
                <w:color w:val="auto"/>
              </w:rPr>
            </w:pPr>
            <w:r>
              <w:rPr>
                <w:rFonts w:ascii="Arial" w:cs="Arial" w:eastAsia="Arial" w:hAnsi="Arial"/>
                <w:sz w:val="18"/>
                <w:szCs w:val="18"/>
                <w:color w:val="auto"/>
              </w:rPr>
              <w:t>Current portion of operating lease liability</w:t>
            </w: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2,504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Accrued and other liabilities</w:t>
            </w: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9,682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12,857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700" w:type="dxa"/>
            <w:vAlign w:val="bottom"/>
            <w:gridSpan w:val="4"/>
          </w:tcPr>
          <w:p>
            <w:pPr>
              <w:ind w:left="320"/>
              <w:spacing w:after="0" w:line="170" w:lineRule="exact"/>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8"/>
                <w:szCs w:val="18"/>
                <w:color w:val="auto"/>
              </w:rPr>
              <w:t>17,679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8"/>
                <w:szCs w:val="18"/>
                <w:color w:val="auto"/>
              </w:rPr>
              <w:t>17,728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Operating lease liability, net of current portion</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2,770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tcPr>
          <w:p>
            <w:pPr>
              <w:spacing w:after="0" w:line="176" w:lineRule="exact"/>
              <w:rPr>
                <w:sz w:val="20"/>
                <w:szCs w:val="20"/>
                <w:color w:val="auto"/>
              </w:rPr>
            </w:pPr>
            <w:r>
              <w:rPr>
                <w:rFonts w:ascii="Arial" w:cs="Arial" w:eastAsia="Arial" w:hAnsi="Arial"/>
                <w:sz w:val="18"/>
                <w:szCs w:val="18"/>
                <w:color w:val="auto"/>
              </w:rPr>
              <w:t>Loan payable, long term</w:t>
            </w: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49,803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49,209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700" w:type="dxa"/>
            <w:vAlign w:val="bottom"/>
            <w:tcBorders>
              <w:bottom w:val="single" w:sz="8" w:color="CCEEFF"/>
            </w:tcBorders>
            <w:gridSpan w:val="4"/>
          </w:tcPr>
          <w:p>
            <w:pPr>
              <w:ind w:left="320"/>
              <w:spacing w:after="0" w:line="170" w:lineRule="exact"/>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70,252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67,519</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70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tcPr>
          <w:p>
            <w:pPr>
              <w:spacing w:after="0" w:line="176" w:lineRule="exact"/>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70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7"/>
                <w:szCs w:val="17"/>
                <w:color w:val="auto"/>
              </w:rPr>
              <w:t>Preferred stock, $0.0001 par value; 5,000,000 shares authorized; no shares issued and</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6700" w:type="dxa"/>
            <w:vAlign w:val="bottom"/>
            <w:gridSpan w:val="4"/>
            <w:shd w:val="clear" w:color="auto" w:fill="CCEEFF"/>
          </w:tcPr>
          <w:p>
            <w:pPr>
              <w:ind w:left="100"/>
              <w:spacing w:after="0" w:line="202" w:lineRule="exact"/>
              <w:rPr>
                <w:sz w:val="20"/>
                <w:szCs w:val="20"/>
                <w:color w:val="auto"/>
              </w:rPr>
            </w:pPr>
            <w:r>
              <w:rPr>
                <w:rFonts w:ascii="Arial" w:cs="Arial" w:eastAsia="Arial" w:hAnsi="Arial"/>
                <w:sz w:val="18"/>
                <w:szCs w:val="18"/>
                <w:color w:val="auto"/>
              </w:rPr>
              <w:t>outstanding as of September 30, 2019 and December 31, 2018, respectively.</w:t>
            </w: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700" w:type="dxa"/>
            <w:vAlign w:val="bottom"/>
            <w:gridSpan w:val="4"/>
          </w:tcPr>
          <w:p>
            <w:pPr>
              <w:ind w:left="100"/>
              <w:spacing w:after="0" w:line="149" w:lineRule="exact"/>
              <w:rPr>
                <w:sz w:val="20"/>
                <w:szCs w:val="20"/>
                <w:color w:val="auto"/>
              </w:rPr>
            </w:pPr>
            <w:r>
              <w:rPr>
                <w:rFonts w:ascii="Arial" w:cs="Arial" w:eastAsia="Arial" w:hAnsi="Arial"/>
                <w:sz w:val="17"/>
                <w:szCs w:val="17"/>
                <w:color w:val="auto"/>
              </w:rPr>
              <w:t>Common stock, $0.0001 par value; 300,000,000 shares authorized; 62,883,080 and</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tcPr>
          <w:p>
            <w:pPr>
              <w:ind w:left="100"/>
              <w:spacing w:after="0" w:line="176" w:lineRule="exact"/>
              <w:rPr>
                <w:sz w:val="20"/>
                <w:szCs w:val="20"/>
                <w:color w:val="auto"/>
              </w:rPr>
            </w:pPr>
            <w:r>
              <w:rPr>
                <w:rFonts w:ascii="Arial" w:cs="Arial" w:eastAsia="Arial" w:hAnsi="Arial"/>
                <w:sz w:val="18"/>
                <w:szCs w:val="18"/>
                <w:color w:val="auto"/>
              </w:rPr>
              <w:t>62,516,627 shares issued and outstanding as of September 30, 2019 and</w:t>
            </w: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6700" w:type="dxa"/>
            <w:vAlign w:val="bottom"/>
            <w:gridSpan w:val="4"/>
          </w:tcPr>
          <w:p>
            <w:pPr>
              <w:ind w:left="100"/>
              <w:spacing w:after="0" w:line="202" w:lineRule="exact"/>
              <w:rPr>
                <w:sz w:val="20"/>
                <w:szCs w:val="20"/>
                <w:color w:val="auto"/>
              </w:rPr>
            </w:pPr>
            <w:r>
              <w:rPr>
                <w:rFonts w:ascii="Arial" w:cs="Arial" w:eastAsia="Arial" w:hAnsi="Arial"/>
                <w:sz w:val="18"/>
                <w:szCs w:val="18"/>
                <w:color w:val="auto"/>
              </w:rPr>
              <w:t>December 31, 2018, respectively.</w:t>
            </w: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489,810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481,357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tcPr>
          <w:p>
            <w:pPr>
              <w:ind w:left="100"/>
              <w:spacing w:after="0" w:line="176" w:lineRule="exact"/>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5"/>
                <w:szCs w:val="15"/>
                <w:color w:val="auto"/>
              </w:rPr>
            </w:pPr>
          </w:p>
        </w:tc>
        <w:tc>
          <w:tcPr>
            <w:tcW w:w="94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(440,662)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w w:val="95"/>
              </w:rPr>
              <w:t>(365,512)</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700" w:type="dxa"/>
            <w:vAlign w:val="bottom"/>
            <w:tcBorders>
              <w:bottom w:val="single" w:sz="8" w:color="CCEEFF"/>
            </w:tcBorders>
            <w:gridSpan w:val="4"/>
          </w:tcPr>
          <w:p>
            <w:pPr>
              <w:spacing w:after="0" w:line="170"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49,158</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115,813</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700" w:type="dxa"/>
            <w:vAlign w:val="bottom"/>
            <w:tcBorders>
              <w:bottom w:val="single" w:sz="8" w:color="CCEEFF"/>
            </w:tcBorders>
            <w:gridSpan w:val="4"/>
            <w:shd w:val="clear" w:color="auto" w:fill="CCEEFF"/>
          </w:tcPr>
          <w:p>
            <w:pPr>
              <w:spacing w:after="0" w:line="170" w:lineRule="exact"/>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119,410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183,332</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hanging="317"/>
        <w:spacing w:after="0" w:line="203" w:lineRule="exact"/>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Derived from the audited consolidated financial statements included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2018.</w:t>
      </w:r>
    </w:p>
    <w:p>
      <w:pPr>
        <w:spacing w:after="0" w:line="16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04" w:lineRule="auto"/>
        <w:rPr>
          <w:sz w:val="20"/>
          <w:szCs w:val="20"/>
          <w:color w:val="auto"/>
        </w:rPr>
      </w:pPr>
      <w:r>
        <w:rPr>
          <w:rFonts w:ascii="Arial" w:cs="Arial" w:eastAsia="Arial" w:hAnsi="Arial"/>
          <w:sz w:val="18"/>
          <w:szCs w:val="18"/>
          <w:b w:val="1"/>
          <w:bCs w:val="1"/>
          <w:color w:val="auto"/>
        </w:rPr>
        <w:t>(in thousands, except share and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256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360" w:type="dxa"/>
            <w:vAlign w:val="bottom"/>
            <w:gridSpan w:val="7"/>
          </w:tcPr>
          <w:p>
            <w:pPr>
              <w:ind w:left="6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29"/>
        </w:trPr>
        <w:tc>
          <w:tcPr>
            <w:tcW w:w="4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11"/>
              <w:spacing w:after="0" w:line="12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11"/>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91"/>
              <w:spacing w:after="0" w:line="129"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11"/>
              <w:spacing w:after="0" w:line="129"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1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tcPr>
          <w:p>
            <w:pPr>
              <w:ind w:left="220"/>
              <w:spacing w:after="0" w:line="176" w:lineRule="exact"/>
              <w:rPr>
                <w:sz w:val="20"/>
                <w:szCs w:val="20"/>
                <w:color w:val="auto"/>
              </w:rPr>
            </w:pPr>
            <w:r>
              <w:rPr>
                <w:rFonts w:ascii="Arial" w:cs="Arial" w:eastAsia="Arial" w:hAnsi="Arial"/>
                <w:sz w:val="18"/>
                <w:szCs w:val="18"/>
                <w:color w:val="auto"/>
              </w:rPr>
              <w:t>Licensing revenue</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3,000</w:t>
            </w:r>
          </w:p>
        </w:tc>
        <w:tc>
          <w:tcPr>
            <w:tcW w:w="120" w:type="dxa"/>
            <w:vAlign w:val="bottom"/>
          </w:tcPr>
          <w:p>
            <w:pPr>
              <w:spacing w:after="0"/>
              <w:rPr>
                <w:sz w:val="15"/>
                <w:szCs w:val="15"/>
                <w:color w:val="auto"/>
              </w:rPr>
            </w:pPr>
          </w:p>
        </w:tc>
        <w:tc>
          <w:tcPr>
            <w:tcW w:w="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3,000</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2,320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revenue</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40" w:type="dxa"/>
            <w:vAlign w:val="bottom"/>
          </w:tcPr>
          <w:p>
            <w:pPr>
              <w:ind w:left="440"/>
              <w:spacing w:after="0" w:line="170" w:lineRule="exact"/>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4"/>
                <w:szCs w:val="14"/>
                <w:color w:val="auto"/>
              </w:rPr>
            </w:pPr>
          </w:p>
        </w:tc>
        <w:tc>
          <w:tcPr>
            <w:tcW w:w="940" w:type="dxa"/>
            <w:vAlign w:val="bottom"/>
          </w:tcPr>
          <w:p>
            <w:pPr>
              <w:jc w:val="right"/>
              <w:spacing w:after="0" w:line="170" w:lineRule="exact"/>
              <w:rPr>
                <w:sz w:val="20"/>
                <w:szCs w:val="20"/>
                <w:color w:val="auto"/>
              </w:rPr>
            </w:pPr>
            <w:r>
              <w:rPr>
                <w:rFonts w:ascii="Arial" w:cs="Arial" w:eastAsia="Arial" w:hAnsi="Arial"/>
                <w:sz w:val="18"/>
                <w:szCs w:val="18"/>
                <w:color w:val="auto"/>
              </w:rPr>
              <w:t>3,013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line="170" w:lineRule="exact"/>
              <w:rPr>
                <w:sz w:val="20"/>
                <w:szCs w:val="20"/>
                <w:color w:val="auto"/>
              </w:rPr>
            </w:pPr>
            <w:r>
              <w:rPr>
                <w:rFonts w:ascii="Arial" w:cs="Arial" w:eastAsia="Arial" w:hAnsi="Arial"/>
                <w:sz w:val="18"/>
                <w:szCs w:val="18"/>
                <w:color w:val="auto"/>
              </w:rPr>
              <w:t>172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8"/>
                <w:szCs w:val="18"/>
                <w:color w:val="auto"/>
              </w:rPr>
              <w:t>3,031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8"/>
                <w:szCs w:val="18"/>
                <w:color w:val="auto"/>
              </w:rPr>
              <w:t>2,522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466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40" w:type="dxa"/>
            <w:vAlign w:val="bottom"/>
            <w:tcBorders>
              <w:bottom w:val="single" w:sz="8" w:color="CCEEFF"/>
            </w:tcBorders>
          </w:tcPr>
          <w:p>
            <w:pPr>
              <w:ind w:left="440"/>
              <w:spacing w:after="0" w:line="170" w:lineRule="exact"/>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2,413</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170</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2,431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2,056</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17,580</w:t>
            </w:r>
          </w:p>
        </w:tc>
        <w:tc>
          <w:tcPr>
            <w:tcW w:w="120" w:type="dxa"/>
            <w:vAlign w:val="bottom"/>
          </w:tcPr>
          <w:p>
            <w:pPr>
              <w:spacing w:after="0"/>
              <w:rPr>
                <w:sz w:val="15"/>
                <w:szCs w:val="15"/>
                <w:color w:val="auto"/>
              </w:rPr>
            </w:pPr>
          </w:p>
        </w:tc>
        <w:tc>
          <w:tcPr>
            <w:tcW w:w="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17,941</w:t>
            </w:r>
          </w:p>
        </w:tc>
        <w:tc>
          <w:tcPr>
            <w:tcW w:w="140" w:type="dxa"/>
            <w:vAlign w:val="bottom"/>
          </w:tcPr>
          <w:p>
            <w:pPr>
              <w:spacing w:after="0"/>
              <w:rPr>
                <w:sz w:val="15"/>
                <w:szCs w:val="15"/>
                <w:color w:val="auto"/>
              </w:rPr>
            </w:pP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57,436</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47,337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6,922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5,961</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17,410</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18,290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40" w:type="dxa"/>
            <w:vAlign w:val="bottom"/>
            <w:tcBorders>
              <w:bottom w:val="single" w:sz="8" w:color="CCEEFF"/>
            </w:tcBorders>
          </w:tcPr>
          <w:p>
            <w:pPr>
              <w:ind w:left="440"/>
              <w:spacing w:after="0" w:line="170"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24,502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23,902</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74,846</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65,627</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shd w:val="clear" w:color="auto" w:fill="CCEEFF"/>
          </w:tcPr>
          <w:p>
            <w:pPr>
              <w:ind w:left="220"/>
              <w:spacing w:after="0" w:line="170" w:lineRule="exact"/>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(22,089)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(23,732)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(72,415)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(63,571)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5"/>
                <w:szCs w:val="15"/>
                <w:color w:val="auto"/>
              </w:rPr>
            </w:pPr>
          </w:p>
        </w:tc>
        <w:tc>
          <w:tcPr>
            <w:tcW w:w="10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(1,443)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(1,404)</w:t>
            </w:r>
          </w:p>
        </w:tc>
        <w:tc>
          <w:tcPr>
            <w:tcW w:w="140" w:type="dxa"/>
            <w:vAlign w:val="bottom"/>
          </w:tcPr>
          <w:p>
            <w:pPr>
              <w:spacing w:after="0"/>
              <w:rPr>
                <w:sz w:val="15"/>
                <w:szCs w:val="15"/>
                <w:color w:val="auto"/>
              </w:rPr>
            </w:pPr>
          </w:p>
        </w:tc>
        <w:tc>
          <w:tcPr>
            <w:tcW w:w="112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(4,328)</w:t>
            </w:r>
          </w:p>
        </w:tc>
        <w:tc>
          <w:tcPr>
            <w:tcW w:w="140" w:type="dxa"/>
            <w:vAlign w:val="bottom"/>
          </w:tcPr>
          <w:p>
            <w:pPr>
              <w:spacing w:after="0"/>
              <w:rPr>
                <w:sz w:val="15"/>
                <w:szCs w:val="15"/>
                <w:color w:val="auto"/>
              </w:rPr>
            </w:pPr>
          </w:p>
        </w:tc>
        <w:tc>
          <w:tcPr>
            <w:tcW w:w="9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(2,096)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1,010</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1,896</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2,237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line="170" w:lineRule="exact"/>
              <w:rPr>
                <w:sz w:val="20"/>
                <w:szCs w:val="20"/>
                <w:color w:val="auto"/>
              </w:rPr>
            </w:pPr>
            <w:r>
              <w:rPr>
                <w:rFonts w:ascii="Arial" w:cs="Arial" w:eastAsia="Arial" w:hAnsi="Arial"/>
                <w:sz w:val="18"/>
                <w:szCs w:val="18"/>
                <w:color w:val="auto"/>
              </w:rPr>
              <w:t>Loss before provision for income taxes</w:t>
            </w:r>
          </w:p>
        </w:tc>
        <w:tc>
          <w:tcPr>
            <w:tcW w:w="160" w:type="dxa"/>
            <w:vAlign w:val="bottom"/>
          </w:tcPr>
          <w:p>
            <w:pPr>
              <w:spacing w:after="0"/>
              <w:rPr>
                <w:sz w:val="14"/>
                <w:szCs w:val="14"/>
                <w:color w:val="auto"/>
              </w:rPr>
            </w:pPr>
          </w:p>
        </w:tc>
        <w:tc>
          <w:tcPr>
            <w:tcW w:w="940" w:type="dxa"/>
            <w:vAlign w:val="bottom"/>
          </w:tcPr>
          <w:p>
            <w:pPr>
              <w:jc w:val="right"/>
              <w:spacing w:after="0" w:line="170" w:lineRule="exact"/>
              <w:rPr>
                <w:sz w:val="20"/>
                <w:szCs w:val="20"/>
                <w:color w:val="auto"/>
              </w:rPr>
            </w:pPr>
            <w:r>
              <w:rPr>
                <w:rFonts w:ascii="Arial" w:cs="Arial" w:eastAsia="Arial" w:hAnsi="Arial"/>
                <w:sz w:val="18"/>
                <w:szCs w:val="18"/>
                <w:color w:val="auto"/>
              </w:rPr>
              <w:t>(23,238)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line="170" w:lineRule="exact"/>
              <w:rPr>
                <w:sz w:val="20"/>
                <w:szCs w:val="20"/>
                <w:color w:val="auto"/>
              </w:rPr>
            </w:pPr>
            <w:r>
              <w:rPr>
                <w:rFonts w:ascii="Arial" w:cs="Arial" w:eastAsia="Arial" w:hAnsi="Arial"/>
                <w:sz w:val="18"/>
                <w:szCs w:val="18"/>
                <w:color w:val="auto"/>
              </w:rPr>
              <w:t>(24,126)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8"/>
                <w:szCs w:val="18"/>
                <w:color w:val="auto"/>
              </w:rPr>
              <w:t>(74,847)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8"/>
                <w:szCs w:val="18"/>
                <w:color w:val="auto"/>
              </w:rPr>
              <w:t>(63,430)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(23,539)</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(24,126)</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(75,150)</w:t>
            </w:r>
          </w:p>
        </w:tc>
        <w:tc>
          <w:tcPr>
            <w:tcW w:w="2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(63,436)</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Net loss per common share, basic and diluted</w:t>
            </w:r>
          </w:p>
        </w:tc>
        <w:tc>
          <w:tcPr>
            <w:tcW w:w="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(0.39)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(1.20)</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(1.17)</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140" w:type="dxa"/>
            <w:vAlign w:val="bottom"/>
          </w:tcPr>
          <w:p>
            <w:pPr>
              <w:spacing w:after="0" w:line="122" w:lineRule="exact"/>
              <w:rPr>
                <w:sz w:val="20"/>
                <w:szCs w:val="20"/>
                <w:color w:val="auto"/>
              </w:rPr>
            </w:pPr>
            <w:r>
              <w:rPr>
                <w:rFonts w:ascii="Arial" w:cs="Arial" w:eastAsia="Arial" w:hAnsi="Arial"/>
                <w:sz w:val="14"/>
                <w:szCs w:val="14"/>
                <w:color w:val="auto"/>
              </w:rPr>
              <w:t>Shares used in computing net loss per share - basic and</w:t>
            </w:r>
          </w:p>
        </w:tc>
        <w:tc>
          <w:tcPr>
            <w:tcW w:w="16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5"/>
              </w:rPr>
              <w:t>62,828,513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5"/>
              </w:rPr>
              <w:t>62,071,397</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3"/>
              </w:rPr>
              <w:t>62,676,591</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3"/>
              </w:rPr>
              <w:t>54,204,907</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Comprehensive loss: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5"/>
                <w:szCs w:val="15"/>
                <w:color w:val="auto"/>
              </w:rPr>
            </w:pPr>
          </w:p>
        </w:tc>
        <w:tc>
          <w:tcPr>
            <w:tcW w:w="10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(23,539)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(24,126)</w:t>
            </w: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(75,150)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(63,436)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14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Unrealized (loss) gain on available-for-sale securities,</w:t>
            </w: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of tax</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40" w:type="dxa"/>
            <w:vAlign w:val="bottom"/>
          </w:tcPr>
          <w:p>
            <w:pPr>
              <w:spacing w:after="0" w:line="170" w:lineRule="exact"/>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(23,551)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(24,107)</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(75,108)</w:t>
            </w: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(63,406)</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CONDENSED STATEMENTS OF CHANGES IN STOCKHOLDERS’ EQUITY For the Three and Nine Months ended September 30, 2019 (in thousands, except share amounts)</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(Unaudited)</w:t>
      </w:r>
    </w:p>
    <w:p>
      <w:pPr>
        <w:spacing w:after="0" w:line="333" w:lineRule="exact"/>
        <w:rPr>
          <w:sz w:val="20"/>
          <w:szCs w:val="20"/>
          <w:color w:val="auto"/>
        </w:rPr>
      </w:pPr>
    </w:p>
    <w:tbl>
      <w:tblPr>
        <w:tblLayout w:type="fixed"/>
        <w:tblInd w:w="366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06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6"/>
              </w:rPr>
              <w:t>Additional</w:t>
            </w:r>
          </w:p>
        </w:tc>
        <w:tc>
          <w:tcPr>
            <w:tcW w:w="2160" w:type="dxa"/>
            <w:vAlign w:val="bottom"/>
          </w:tcPr>
          <w:p>
            <w:pPr>
              <w:jc w:val="center"/>
              <w:ind w:left="968"/>
              <w:spacing w:after="0"/>
              <w:rPr>
                <w:sz w:val="20"/>
                <w:szCs w:val="20"/>
                <w:color w:val="auto"/>
              </w:rPr>
            </w:pPr>
            <w:r>
              <w:rPr>
                <w:rFonts w:ascii="Arial" w:cs="Arial" w:eastAsia="Arial" w:hAnsi="Arial"/>
                <w:sz w:val="14"/>
                <w:szCs w:val="14"/>
                <w:b w:val="1"/>
                <w:bCs w:val="1"/>
                <w:color w:val="auto"/>
                <w:w w:val="90"/>
              </w:rPr>
              <w:t>Accumulated</w:t>
            </w:r>
          </w:p>
        </w:tc>
        <w:tc>
          <w:tcPr>
            <w:tcW w:w="9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rPr>
              <w:t>Common Stock</w:t>
            </w:r>
          </w:p>
        </w:tc>
        <w:tc>
          <w:tcPr>
            <w:tcW w:w="1060" w:type="dxa"/>
            <w:vAlign w:val="bottom"/>
            <w:vMerge w:val="continue"/>
          </w:tcPr>
          <w:p>
            <w:pPr>
              <w:spacing w:after="0"/>
              <w:rPr>
                <w:sz w:val="11"/>
                <w:szCs w:val="11"/>
                <w:color w:val="auto"/>
              </w:rPr>
            </w:pPr>
          </w:p>
        </w:tc>
        <w:tc>
          <w:tcPr>
            <w:tcW w:w="2160" w:type="dxa"/>
            <w:vAlign w:val="bottom"/>
          </w:tcPr>
          <w:p>
            <w:pPr>
              <w:jc w:val="center"/>
              <w:ind w:left="968"/>
              <w:spacing w:after="0" w:line="135"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240" w:type="dxa"/>
            <w:vAlign w:val="bottom"/>
            <w:vMerge w:val="continue"/>
          </w:tcPr>
          <w:p>
            <w:pPr>
              <w:spacing w:after="0"/>
              <w:rPr>
                <w:sz w:val="13"/>
                <w:szCs w:val="13"/>
                <w:color w:val="auto"/>
              </w:rPr>
            </w:pPr>
          </w:p>
        </w:tc>
        <w:tc>
          <w:tcPr>
            <w:tcW w:w="1060" w:type="dxa"/>
            <w:vAlign w:val="bottom"/>
          </w:tcPr>
          <w:p>
            <w:pPr>
              <w:jc w:val="center"/>
              <w:ind w:left="88"/>
              <w:spacing w:after="0" w:line="150" w:lineRule="exact"/>
              <w:rPr>
                <w:sz w:val="20"/>
                <w:szCs w:val="20"/>
                <w:color w:val="auto"/>
              </w:rPr>
            </w:pPr>
            <w:r>
              <w:rPr>
                <w:rFonts w:ascii="Arial" w:cs="Arial" w:eastAsia="Arial" w:hAnsi="Arial"/>
                <w:sz w:val="14"/>
                <w:szCs w:val="14"/>
                <w:b w:val="1"/>
                <w:bCs w:val="1"/>
                <w:color w:val="auto"/>
                <w:w w:val="98"/>
              </w:rPr>
              <w:t>Paid-In</w:t>
            </w:r>
          </w:p>
        </w:tc>
        <w:tc>
          <w:tcPr>
            <w:tcW w:w="2160" w:type="dxa"/>
            <w:vAlign w:val="bottom"/>
          </w:tcPr>
          <w:p>
            <w:pPr>
              <w:ind w:left="120"/>
              <w:spacing w:after="0" w:line="150" w:lineRule="exact"/>
              <w:rPr>
                <w:sz w:val="20"/>
                <w:szCs w:val="20"/>
                <w:color w:val="auto"/>
              </w:rPr>
            </w:pPr>
            <w:r>
              <w:rPr>
                <w:rFonts w:ascii="Arial" w:cs="Arial" w:eastAsia="Arial" w:hAnsi="Arial"/>
                <w:sz w:val="14"/>
                <w:szCs w:val="14"/>
                <w:b w:val="1"/>
                <w:bCs w:val="1"/>
                <w:color w:val="auto"/>
                <w:w w:val="98"/>
              </w:rPr>
              <w:t>Accumulated   Comprehensive</w:t>
            </w:r>
          </w:p>
        </w:tc>
        <w:tc>
          <w:tcPr>
            <w:tcW w:w="940" w:type="dxa"/>
            <w:vAlign w:val="bottom"/>
          </w:tcPr>
          <w:p>
            <w:pPr>
              <w:jc w:val="center"/>
              <w:ind w:left="28"/>
              <w:spacing w:after="0" w:line="150"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640" w:type="dxa"/>
            <w:vAlign w:val="bottom"/>
            <w:tcBorders>
              <w:bottom w:val="single" w:sz="8" w:color="auto"/>
            </w:tcBorders>
            <w:gridSpan w:val="2"/>
          </w:tcPr>
          <w:p>
            <w:pPr>
              <w:spacing w:after="0" w:line="154" w:lineRule="exact"/>
              <w:rPr>
                <w:sz w:val="20"/>
                <w:szCs w:val="20"/>
                <w:color w:val="auto"/>
              </w:rPr>
            </w:pPr>
            <w:r>
              <w:rPr>
                <w:rFonts w:ascii="Arial" w:cs="Arial" w:eastAsia="Arial" w:hAnsi="Arial"/>
                <w:sz w:val="17"/>
                <w:szCs w:val="17"/>
                <w:b w:val="1"/>
                <w:bCs w:val="1"/>
                <w:color w:val="auto"/>
                <w:w w:val="96"/>
              </w:rPr>
              <w:t>Three Months Ended</w:t>
            </w:r>
          </w:p>
        </w:tc>
        <w:tc>
          <w:tcPr>
            <w:tcW w:w="1680" w:type="dxa"/>
            <w:vAlign w:val="bottom"/>
            <w:gridSpan w:val="2"/>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20" w:type="dxa"/>
            <w:vAlign w:val="bottom"/>
            <w:tcBorders>
              <w:top w:val="single" w:sz="8" w:color="auto"/>
              <w:bottom w:val="single" w:sz="8" w:color="auto"/>
            </w:tcBorders>
            <w:vMerge w:val="restart"/>
          </w:tcPr>
          <w:p>
            <w:pPr>
              <w:jc w:val="right"/>
              <w:ind w:right="175"/>
              <w:spacing w:after="0"/>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2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3"/>
                <w:szCs w:val="13"/>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76"/>
        </w:trPr>
        <w:tc>
          <w:tcPr>
            <w:tcW w:w="3320" w:type="dxa"/>
            <w:vAlign w:val="bottom"/>
            <w:gridSpan w:val="4"/>
            <w:vMerge w:val="restart"/>
          </w:tcPr>
          <w:p>
            <w:pPr>
              <w:spacing w:after="0" w:line="156" w:lineRule="exact"/>
              <w:rPr>
                <w:sz w:val="20"/>
                <w:szCs w:val="20"/>
                <w:color w:val="auto"/>
              </w:rPr>
            </w:pPr>
            <w:r>
              <w:rPr>
                <w:rFonts w:ascii="Arial" w:cs="Arial" w:eastAsia="Arial" w:hAnsi="Arial"/>
                <w:sz w:val="18"/>
                <w:szCs w:val="18"/>
                <w:b w:val="1"/>
                <w:bCs w:val="1"/>
                <w:color w:val="auto"/>
              </w:rPr>
              <w:t>September 30, 2019</w:t>
            </w:r>
          </w:p>
        </w:tc>
        <w:tc>
          <w:tcPr>
            <w:tcW w:w="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332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tcBorders>
              <w:bottom w:val="single" w:sz="8" w:color="CCEEFF"/>
            </w:tcBorders>
            <w:gridSpan w:val="4"/>
            <w:shd w:val="clear" w:color="auto" w:fill="CCEEFF"/>
          </w:tcPr>
          <w:p>
            <w:pPr>
              <w:spacing w:after="0" w:line="163" w:lineRule="exact"/>
              <w:rPr>
                <w:sz w:val="20"/>
                <w:szCs w:val="20"/>
                <w:color w:val="auto"/>
              </w:rPr>
            </w:pPr>
            <w:r>
              <w:rPr>
                <w:rFonts w:ascii="Arial" w:cs="Arial" w:eastAsia="Arial" w:hAnsi="Arial"/>
                <w:sz w:val="18"/>
                <w:szCs w:val="18"/>
                <w:b w:val="1"/>
                <w:bCs w:val="1"/>
                <w:color w:val="auto"/>
              </w:rPr>
              <w:t>Balance as of June 30, 2019</w:t>
            </w:r>
          </w:p>
        </w:tc>
        <w:tc>
          <w:tcPr>
            <w:tcW w:w="940" w:type="dxa"/>
            <w:vAlign w:val="bottom"/>
            <w:tcBorders>
              <w:bottom w:val="single" w:sz="8" w:color="auto"/>
            </w:tcBorders>
            <w:gridSpan w:val="2"/>
            <w:shd w:val="clear" w:color="auto" w:fill="CCEEFF"/>
          </w:tcPr>
          <w:p>
            <w:pPr>
              <w:jc w:val="right"/>
              <w:spacing w:after="0" w:line="163" w:lineRule="exact"/>
              <w:rPr>
                <w:sz w:val="20"/>
                <w:szCs w:val="20"/>
                <w:color w:val="auto"/>
              </w:rPr>
            </w:pPr>
            <w:r>
              <w:rPr>
                <w:rFonts w:ascii="Arial" w:cs="Arial" w:eastAsia="Arial" w:hAnsi="Arial"/>
                <w:sz w:val="18"/>
                <w:szCs w:val="18"/>
                <w:color w:val="auto"/>
                <w:w w:val="95"/>
              </w:rPr>
              <w:t>62,800,869</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2"/>
              </w:rPr>
              <w:t>$ 485,718</w:t>
            </w: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1"/>
              </w:rPr>
              <w:t>$ (417,123)</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68,617</w:t>
            </w:r>
          </w:p>
        </w:tc>
        <w:tc>
          <w:tcPr>
            <w:tcW w:w="0" w:type="dxa"/>
            <w:vAlign w:val="bottom"/>
          </w:tcPr>
          <w:p>
            <w:pPr>
              <w:spacing w:after="0"/>
              <w:rPr>
                <w:sz w:val="1"/>
                <w:szCs w:val="1"/>
                <w:color w:val="auto"/>
              </w:rPr>
            </w:pPr>
          </w:p>
        </w:tc>
      </w:tr>
      <w:tr>
        <w:trPr>
          <w:trHeight w:val="122"/>
        </w:trPr>
        <w:tc>
          <w:tcPr>
            <w:tcW w:w="3320" w:type="dxa"/>
            <w:vAlign w:val="bottom"/>
            <w:gridSpan w:val="4"/>
          </w:tcPr>
          <w:p>
            <w:pPr>
              <w:ind w:left="120"/>
              <w:spacing w:after="0" w:line="122" w:lineRule="exact"/>
              <w:rPr>
                <w:sz w:val="20"/>
                <w:szCs w:val="20"/>
                <w:color w:val="auto"/>
              </w:rPr>
            </w:pPr>
            <w:r>
              <w:rPr>
                <w:rFonts w:ascii="Arial" w:cs="Arial" w:eastAsia="Arial" w:hAnsi="Arial"/>
                <w:sz w:val="14"/>
                <w:szCs w:val="14"/>
                <w:color w:val="auto"/>
              </w:rPr>
              <w:t>Issuance of common stock under</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77,698</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3"/>
        </w:trPr>
        <w:tc>
          <w:tcPr>
            <w:tcW w:w="332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employee stock purchase plan</w:t>
            </w:r>
          </w:p>
        </w:tc>
        <w:tc>
          <w:tcPr>
            <w:tcW w:w="9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2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7"/>
                <w:szCs w:val="17"/>
                <w:color w:val="auto"/>
              </w:rPr>
              <w:t>Issuance of common stock upon exercise</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332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of options</w:t>
            </w:r>
          </w:p>
        </w:tc>
        <w:tc>
          <w:tcPr>
            <w:tcW w:w="94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2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3,879</w:t>
            </w:r>
          </w:p>
        </w:tc>
        <w:tc>
          <w:tcPr>
            <w:tcW w:w="1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176"/>
        </w:trPr>
        <w:tc>
          <w:tcPr>
            <w:tcW w:w="332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6"/>
        </w:trPr>
        <w:tc>
          <w:tcPr>
            <w:tcW w:w="332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(23,539)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(23,539)</w:t>
            </w:r>
          </w:p>
        </w:tc>
        <w:tc>
          <w:tcPr>
            <w:tcW w:w="0" w:type="dxa"/>
            <w:vAlign w:val="bottom"/>
          </w:tcPr>
          <w:p>
            <w:pPr>
              <w:spacing w:after="0"/>
              <w:rPr>
                <w:sz w:val="1"/>
                <w:szCs w:val="1"/>
                <w:color w:val="auto"/>
              </w:rPr>
            </w:pPr>
          </w:p>
        </w:tc>
      </w:tr>
      <w:tr>
        <w:trPr>
          <w:trHeight w:val="176"/>
        </w:trPr>
        <w:tc>
          <w:tcPr>
            <w:tcW w:w="3320" w:type="dxa"/>
            <w:vAlign w:val="bottom"/>
            <w:tcBorders>
              <w:top w:val="single" w:sz="8" w:color="CCEEFF"/>
              <w:bottom w:val="single" w:sz="8" w:color="CCEEFF"/>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Balance as of September 30, 2019</w:t>
            </w:r>
          </w:p>
        </w:tc>
        <w:tc>
          <w:tcPr>
            <w:tcW w:w="940" w:type="dxa"/>
            <w:vAlign w:val="bottom"/>
            <w:tcBorders>
              <w:top w:val="single" w:sz="8" w:color="auto"/>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62,883,080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$ 489,810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 (440,662)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49,158</w:t>
            </w:r>
          </w:p>
        </w:tc>
        <w:tc>
          <w:tcPr>
            <w:tcW w:w="0" w:type="dxa"/>
            <w:vAlign w:val="bottom"/>
          </w:tcPr>
          <w:p>
            <w:pPr>
              <w:spacing w:after="0"/>
              <w:rPr>
                <w:sz w:val="1"/>
                <w:szCs w:val="1"/>
                <w:color w:val="auto"/>
              </w:rPr>
            </w:pPr>
          </w:p>
        </w:tc>
      </w:tr>
      <w:tr>
        <w:trPr>
          <w:trHeight w:val="909"/>
        </w:trPr>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center"/>
              <w:ind w:right="111"/>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ind w:right="5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32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6"/>
              </w:rPr>
              <w:t>Nine Months Ended September 30, 2019</w:t>
            </w:r>
          </w:p>
        </w:tc>
        <w:tc>
          <w:tcPr>
            <w:tcW w:w="20" w:type="dxa"/>
            <w:vAlign w:val="bottom"/>
          </w:tcPr>
          <w:p>
            <w:pPr>
              <w:spacing w:after="0"/>
              <w:rPr>
                <w:sz w:val="12"/>
                <w:szCs w:val="12"/>
                <w:color w:val="auto"/>
              </w:rPr>
            </w:pPr>
          </w:p>
        </w:tc>
        <w:tc>
          <w:tcPr>
            <w:tcW w:w="1340" w:type="dxa"/>
            <w:vAlign w:val="bottom"/>
            <w:gridSpan w:val="5"/>
          </w:tcPr>
          <w:p>
            <w:pPr>
              <w:ind w:left="320"/>
              <w:spacing w:after="0" w:line="149" w:lineRule="exact"/>
              <w:rPr>
                <w:sz w:val="20"/>
                <w:szCs w:val="20"/>
                <w:color w:val="auto"/>
              </w:rPr>
            </w:pPr>
            <w:r>
              <w:rPr>
                <w:rFonts w:ascii="Arial" w:cs="Arial" w:eastAsia="Arial" w:hAnsi="Arial"/>
                <w:sz w:val="14"/>
                <w:szCs w:val="14"/>
                <w:b w:val="1"/>
                <w:bCs w:val="1"/>
                <w:color w:val="auto"/>
                <w:w w:val="97"/>
              </w:rPr>
              <w:t>Common Stock</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23"/>
        </w:trPr>
        <w:tc>
          <w:tcPr>
            <w:tcW w:w="332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line="20" w:lineRule="exact"/>
              <w:rPr>
                <w:sz w:val="1"/>
                <w:szCs w:val="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line="20" w:lineRule="exact"/>
              <w:rPr>
                <w:sz w:val="1"/>
                <w:szCs w:val="1"/>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2"/>
        </w:trPr>
        <w:tc>
          <w:tcPr>
            <w:tcW w:w="33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80" w:type="dxa"/>
            <w:vAlign w:val="bottom"/>
            <w:tcBorders>
              <w:top w:val="single" w:sz="8" w:color="auto"/>
              <w:bottom w:val="single" w:sz="8" w:color="CCEEFF"/>
            </w:tcBorders>
            <w:gridSpan w:val="3"/>
            <w:shd w:val="clear" w:color="auto" w:fill="CCEEFF"/>
          </w:tcPr>
          <w:p>
            <w:pPr>
              <w:spacing w:after="0" w:line="163" w:lineRule="exact"/>
              <w:rPr>
                <w:sz w:val="20"/>
                <w:szCs w:val="20"/>
                <w:color w:val="auto"/>
              </w:rPr>
            </w:pPr>
            <w:r>
              <w:rPr>
                <w:rFonts w:ascii="Arial" w:cs="Arial" w:eastAsia="Arial" w:hAnsi="Arial"/>
                <w:sz w:val="18"/>
                <w:szCs w:val="18"/>
                <w:b w:val="1"/>
                <w:bCs w:val="1"/>
                <w:color w:val="auto"/>
              </w:rPr>
              <w:t>Balance as of December 31, 2018</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5"/>
              </w:rPr>
              <w:t>62,516,627</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line="16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2"/>
              </w:rPr>
              <w:t>$ 481,357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1"/>
              </w:rPr>
              <w:t>$ (365,512)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line="16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(38)</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6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8"/>
              </w:rPr>
              <w:t>115,813</w:t>
            </w:r>
          </w:p>
        </w:tc>
        <w:tc>
          <w:tcPr>
            <w:tcW w:w="0" w:type="dxa"/>
            <w:vAlign w:val="bottom"/>
          </w:tcPr>
          <w:p>
            <w:pPr>
              <w:spacing w:after="0"/>
              <w:rPr>
                <w:sz w:val="1"/>
                <w:szCs w:val="1"/>
                <w:color w:val="auto"/>
              </w:rPr>
            </w:pPr>
          </w:p>
        </w:tc>
      </w:tr>
      <w:tr>
        <w:trPr>
          <w:trHeight w:val="122"/>
        </w:trPr>
        <w:tc>
          <w:tcPr>
            <w:tcW w:w="3320" w:type="dxa"/>
            <w:vAlign w:val="bottom"/>
            <w:gridSpan w:val="4"/>
          </w:tcPr>
          <w:p>
            <w:pPr>
              <w:ind w:left="120"/>
              <w:spacing w:after="0" w:line="122" w:lineRule="exact"/>
              <w:rPr>
                <w:sz w:val="20"/>
                <w:szCs w:val="20"/>
                <w:color w:val="auto"/>
              </w:rPr>
            </w:pPr>
            <w:r>
              <w:rPr>
                <w:rFonts w:ascii="Arial" w:cs="Arial" w:eastAsia="Arial" w:hAnsi="Arial"/>
                <w:sz w:val="14"/>
                <w:szCs w:val="14"/>
                <w:color w:val="auto"/>
              </w:rPr>
              <w:t>Issuance of common stock under employee</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160,744</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3"/>
        </w:trPr>
        <w:tc>
          <w:tcPr>
            <w:tcW w:w="332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stock purchase plan</w:t>
            </w:r>
          </w:p>
        </w:tc>
        <w:tc>
          <w:tcPr>
            <w:tcW w:w="9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2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Issuance of common stock for services</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113,136</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149"/>
        </w:trPr>
        <w:tc>
          <w:tcPr>
            <w:tcW w:w="3320" w:type="dxa"/>
            <w:vAlign w:val="bottom"/>
            <w:gridSpan w:val="4"/>
          </w:tcPr>
          <w:p>
            <w:pPr>
              <w:ind w:left="120"/>
              <w:spacing w:after="0" w:line="149" w:lineRule="exact"/>
              <w:rPr>
                <w:sz w:val="20"/>
                <w:szCs w:val="20"/>
                <w:color w:val="auto"/>
              </w:rPr>
            </w:pPr>
            <w:r>
              <w:rPr>
                <w:rFonts w:ascii="Arial" w:cs="Arial" w:eastAsia="Arial" w:hAnsi="Arial"/>
                <w:sz w:val="17"/>
                <w:szCs w:val="17"/>
                <w:color w:val="auto"/>
              </w:rPr>
              <w:t>Issuance of common stock upon exercise</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6,964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332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of options</w:t>
            </w:r>
          </w:p>
        </w:tc>
        <w:tc>
          <w:tcPr>
            <w:tcW w:w="9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2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7"/>
                <w:szCs w:val="17"/>
                <w:color w:val="auto"/>
                <w:w w:val="98"/>
              </w:rPr>
              <w:t>Issuance of common stock upon vesting of</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85,609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2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restricted stock units</w:t>
            </w:r>
          </w:p>
        </w:tc>
        <w:tc>
          <w:tcPr>
            <w:tcW w:w="94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2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7,724</w:t>
            </w:r>
          </w:p>
        </w:tc>
        <w:tc>
          <w:tcPr>
            <w:tcW w:w="1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176"/>
        </w:trPr>
        <w:tc>
          <w:tcPr>
            <w:tcW w:w="332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76"/>
        </w:trPr>
        <w:tc>
          <w:tcPr>
            <w:tcW w:w="332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(75,150)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(75,150)</w:t>
            </w:r>
          </w:p>
        </w:tc>
        <w:tc>
          <w:tcPr>
            <w:tcW w:w="0" w:type="dxa"/>
            <w:vAlign w:val="bottom"/>
          </w:tcPr>
          <w:p>
            <w:pPr>
              <w:spacing w:after="0"/>
              <w:rPr>
                <w:sz w:val="1"/>
                <w:szCs w:val="1"/>
                <w:color w:val="auto"/>
              </w:rPr>
            </w:pPr>
          </w:p>
        </w:tc>
      </w:tr>
      <w:tr>
        <w:trPr>
          <w:trHeight w:val="176"/>
        </w:trPr>
        <w:tc>
          <w:tcPr>
            <w:tcW w:w="3320" w:type="dxa"/>
            <w:vAlign w:val="bottom"/>
            <w:tcBorders>
              <w:top w:val="single" w:sz="8" w:color="CCEEFF"/>
              <w:bottom w:val="single" w:sz="8" w:color="CCEEFF"/>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Balance as of September 30, 2019</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62,883,080</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$ 489,810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 (440,662)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49,158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ARDELYX, INC.</w:t>
      </w:r>
    </w:p>
    <w:p>
      <w:pPr>
        <w:jc w:val="center"/>
        <w:ind w:right="20"/>
        <w:spacing w:after="0" w:line="203" w:lineRule="auto"/>
        <w:rPr>
          <w:sz w:val="20"/>
          <w:szCs w:val="20"/>
          <w:color w:val="auto"/>
        </w:rPr>
      </w:pPr>
      <w:r>
        <w:rPr>
          <w:rFonts w:ascii="Arial" w:cs="Arial" w:eastAsia="Arial" w:hAnsi="Arial"/>
          <w:sz w:val="18"/>
          <w:szCs w:val="18"/>
          <w:b w:val="1"/>
          <w:bCs w:val="1"/>
          <w:color w:val="auto"/>
        </w:rPr>
        <w:t>CONDENSED CONSOLIDATED STATEMENTS OF CHANGES IN STOCKHOLDERS’ EQUITY For the Three and Nine Months ended September 30, 2018 (in thousands, except share amounts)</w:t>
      </w:r>
    </w:p>
    <w:p>
      <w:pPr>
        <w:spacing w:after="0" w:line="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3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Three Months Ended September 30, 2018</w:t>
            </w:r>
          </w:p>
        </w:tc>
        <w:tc>
          <w:tcPr>
            <w:tcW w:w="13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5"/>
              </w:rPr>
              <w:t>Common Stock</w:t>
            </w:r>
          </w:p>
        </w:tc>
        <w:tc>
          <w:tcPr>
            <w:tcW w:w="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78"/>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6"/>
        </w:trPr>
        <w:tc>
          <w:tcPr>
            <w:tcW w:w="3360" w:type="dxa"/>
            <w:vAlign w:val="bottom"/>
            <w:gridSpan w:val="2"/>
            <w:vMerge w:val="continue"/>
          </w:tcPr>
          <w:p>
            <w:pPr>
              <w:spacing w:after="0"/>
              <w:rPr>
                <w:sz w:val="15"/>
                <w:szCs w:val="15"/>
                <w:color w:val="auto"/>
              </w:rPr>
            </w:pPr>
          </w:p>
        </w:tc>
        <w:tc>
          <w:tcPr>
            <w:tcW w:w="92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800" w:type="dxa"/>
            <w:vAlign w:val="bottom"/>
          </w:tcPr>
          <w:p>
            <w:pPr>
              <w:jc w:val="right"/>
              <w:ind w:right="78"/>
              <w:spacing w:after="0" w:line="155"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860" w:type="dxa"/>
            <w:vAlign w:val="bottom"/>
          </w:tcPr>
          <w:p>
            <w:pPr>
              <w:jc w:val="right"/>
              <w:ind w:right="155"/>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114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2"/>
              </w:rPr>
              <w:t>Income (Loss)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154"/>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180" w:type="dxa"/>
            <w:vAlign w:val="bottom"/>
            <w:tcBorders>
              <w:top w:val="single" w:sz="8" w:color="auto"/>
              <w:bottom w:val="single" w:sz="8" w:color="CCEEFF"/>
            </w:tcBorders>
            <w:shd w:val="clear" w:color="auto" w:fill="CCEEFF"/>
          </w:tcPr>
          <w:p>
            <w:pPr>
              <w:spacing w:after="0" w:line="163" w:lineRule="exact"/>
              <w:rPr>
                <w:sz w:val="20"/>
                <w:szCs w:val="20"/>
                <w:color w:val="auto"/>
              </w:rPr>
            </w:pPr>
            <w:r>
              <w:rPr>
                <w:rFonts w:ascii="Arial" w:cs="Arial" w:eastAsia="Arial" w:hAnsi="Arial"/>
                <w:sz w:val="18"/>
                <w:szCs w:val="18"/>
                <w:b w:val="1"/>
                <w:bCs w:val="1"/>
                <w:color w:val="auto"/>
              </w:rPr>
              <w:t>Balance as of June 30, 2018</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5"/>
              </w:rPr>
              <w:t>62,053,751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line="16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2"/>
              </w:rPr>
              <w:t>$ 476,968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1"/>
              </w:rPr>
              <w:t>$ (313,524)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21"/>
              <w:spacing w:after="0" w:line="16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(36)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6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8"/>
              </w:rPr>
              <w:t>163,414</w:t>
            </w:r>
          </w:p>
        </w:tc>
        <w:tc>
          <w:tcPr>
            <w:tcW w:w="0" w:type="dxa"/>
            <w:vAlign w:val="bottom"/>
          </w:tcPr>
          <w:p>
            <w:pPr>
              <w:spacing w:after="0"/>
              <w:rPr>
                <w:sz w:val="1"/>
                <w:szCs w:val="1"/>
                <w:color w:val="auto"/>
              </w:rPr>
            </w:pPr>
          </w:p>
        </w:tc>
      </w:tr>
      <w:tr>
        <w:trPr>
          <w:trHeight w:val="122"/>
        </w:trPr>
        <w:tc>
          <w:tcPr>
            <w:tcW w:w="3360" w:type="dxa"/>
            <w:vAlign w:val="bottom"/>
            <w:gridSpan w:val="2"/>
          </w:tcPr>
          <w:p>
            <w:pPr>
              <w:ind w:left="120"/>
              <w:spacing w:after="0" w:line="122" w:lineRule="exact"/>
              <w:rPr>
                <w:sz w:val="20"/>
                <w:szCs w:val="20"/>
                <w:color w:val="auto"/>
              </w:rPr>
            </w:pPr>
            <w:r>
              <w:rPr>
                <w:rFonts w:ascii="Arial" w:cs="Arial" w:eastAsia="Arial" w:hAnsi="Arial"/>
                <w:sz w:val="14"/>
                <w:szCs w:val="14"/>
                <w:color w:val="auto"/>
              </w:rPr>
              <w:t>Issuance of common stock under employee</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52,370</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3"/>
        </w:trPr>
        <w:tc>
          <w:tcPr>
            <w:tcW w:w="33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stock purchase plan</w:t>
            </w:r>
          </w:p>
        </w:tc>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1,948</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189"/>
        </w:trPr>
        <w:tc>
          <w:tcPr>
            <w:tcW w:w="3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Other comprehensive income</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9"/>
        </w:trPr>
        <w:tc>
          <w:tcPr>
            <w:tcW w:w="3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(24,126)</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(24,126)</w:t>
            </w:r>
          </w:p>
        </w:tc>
        <w:tc>
          <w:tcPr>
            <w:tcW w:w="0" w:type="dxa"/>
            <w:vAlign w:val="bottom"/>
          </w:tcPr>
          <w:p>
            <w:pPr>
              <w:spacing w:after="0"/>
              <w:rPr>
                <w:sz w:val="1"/>
                <w:szCs w:val="1"/>
                <w:color w:val="auto"/>
              </w:rPr>
            </w:pPr>
          </w:p>
        </w:tc>
      </w:tr>
      <w:tr>
        <w:trPr>
          <w:trHeight w:val="176"/>
        </w:trPr>
        <w:tc>
          <w:tcPr>
            <w:tcW w:w="3360" w:type="dxa"/>
            <w:vAlign w:val="bottom"/>
            <w:gridSpan w:val="2"/>
          </w:tcPr>
          <w:p>
            <w:pPr>
              <w:spacing w:after="0" w:line="170" w:lineRule="exact"/>
              <w:rPr>
                <w:sz w:val="20"/>
                <w:szCs w:val="20"/>
                <w:color w:val="auto"/>
              </w:rPr>
            </w:pPr>
            <w:r>
              <w:rPr>
                <w:rFonts w:ascii="Arial" w:cs="Arial" w:eastAsia="Arial" w:hAnsi="Arial"/>
                <w:sz w:val="18"/>
                <w:szCs w:val="18"/>
                <w:b w:val="1"/>
                <w:bCs w:val="1"/>
                <w:color w:val="auto"/>
              </w:rPr>
              <w:t>Balance as of September 30, 2018</w:t>
            </w: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62,106,121</w:t>
            </w:r>
          </w:p>
        </w:tc>
        <w:tc>
          <w:tcPr>
            <w:tcW w:w="1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2"/>
              </w:rPr>
              <w:t>$ 479,109</w:t>
            </w:r>
          </w:p>
        </w:tc>
        <w:tc>
          <w:tcPr>
            <w:tcW w:w="16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1"/>
              </w:rPr>
              <w:t>$ (337,650)</w:t>
            </w:r>
          </w:p>
        </w:tc>
        <w:tc>
          <w:tcPr>
            <w:tcW w:w="1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1"/>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141,448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9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33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Nine Months Ended September 30, 2018</w:t>
            </w:r>
          </w:p>
        </w:tc>
        <w:tc>
          <w:tcPr>
            <w:tcW w:w="13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5"/>
              </w:rPr>
              <w:t>Common Stock</w:t>
            </w:r>
          </w:p>
        </w:tc>
        <w:tc>
          <w:tcPr>
            <w:tcW w:w="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6"/>
        </w:trPr>
        <w:tc>
          <w:tcPr>
            <w:tcW w:w="3360" w:type="dxa"/>
            <w:vAlign w:val="bottom"/>
            <w:gridSpan w:val="2"/>
            <w:vMerge w:val="continue"/>
          </w:tcPr>
          <w:p>
            <w:pPr>
              <w:spacing w:after="0"/>
              <w:rPr>
                <w:sz w:val="15"/>
                <w:szCs w:val="15"/>
                <w:color w:val="auto"/>
              </w:rPr>
            </w:pPr>
          </w:p>
        </w:tc>
        <w:tc>
          <w:tcPr>
            <w:tcW w:w="92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800" w:type="dxa"/>
            <w:vAlign w:val="bottom"/>
          </w:tcPr>
          <w:p>
            <w:pPr>
              <w:jc w:val="right"/>
              <w:ind w:right="77"/>
              <w:spacing w:after="0" w:line="155"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860" w:type="dxa"/>
            <w:vAlign w:val="bottom"/>
          </w:tcPr>
          <w:p>
            <w:pPr>
              <w:jc w:val="right"/>
              <w:ind w:right="154"/>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10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73"/>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3080" w:type="dxa"/>
            <w:vAlign w:val="bottom"/>
            <w:tcBorders>
              <w:top w:val="single" w:sz="8" w:color="auto"/>
              <w:bottom w:val="single" w:sz="8" w:color="CCEEFF"/>
            </w:tcBorders>
            <w:shd w:val="clear" w:color="auto" w:fill="CCEEFF"/>
          </w:tcPr>
          <w:p>
            <w:pPr>
              <w:spacing w:after="0" w:line="163" w:lineRule="exact"/>
              <w:rPr>
                <w:sz w:val="20"/>
                <w:szCs w:val="20"/>
                <w:color w:val="auto"/>
              </w:rPr>
            </w:pPr>
            <w:r>
              <w:rPr>
                <w:rFonts w:ascii="Arial" w:cs="Arial" w:eastAsia="Arial" w:hAnsi="Arial"/>
                <w:sz w:val="18"/>
                <w:szCs w:val="18"/>
                <w:b w:val="1"/>
                <w:bCs w:val="1"/>
                <w:color w:val="auto"/>
              </w:rPr>
              <w:t>Balance as of December 31, 2017</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5"/>
              </w:rPr>
              <w:t>47,534,979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line="16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2"/>
              </w:rPr>
              <w:t>$ 417,568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1"/>
              </w:rPr>
              <w:t>$ (278,214)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21"/>
              <w:spacing w:after="0" w:line="16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(47)</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139,312</w:t>
            </w:r>
          </w:p>
        </w:tc>
        <w:tc>
          <w:tcPr>
            <w:tcW w:w="0" w:type="dxa"/>
            <w:vAlign w:val="bottom"/>
          </w:tcPr>
          <w:p>
            <w:pPr>
              <w:spacing w:after="0"/>
              <w:rPr>
                <w:sz w:val="1"/>
                <w:szCs w:val="1"/>
                <w:color w:val="auto"/>
              </w:rPr>
            </w:pPr>
          </w:p>
        </w:tc>
      </w:tr>
      <w:tr>
        <w:trPr>
          <w:trHeight w:val="122"/>
        </w:trPr>
        <w:tc>
          <w:tcPr>
            <w:tcW w:w="3360" w:type="dxa"/>
            <w:vAlign w:val="bottom"/>
            <w:gridSpan w:val="2"/>
          </w:tcPr>
          <w:p>
            <w:pPr>
              <w:ind w:left="120"/>
              <w:spacing w:after="0" w:line="122" w:lineRule="exact"/>
              <w:rPr>
                <w:sz w:val="20"/>
                <w:szCs w:val="20"/>
                <w:color w:val="auto"/>
              </w:rPr>
            </w:pPr>
            <w:r>
              <w:rPr>
                <w:rFonts w:ascii="Arial" w:cs="Arial" w:eastAsia="Arial" w:hAnsi="Arial"/>
                <w:sz w:val="14"/>
                <w:szCs w:val="14"/>
                <w:color w:val="auto"/>
              </w:rPr>
              <w:t>Issuance of common stock under employee</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120,959</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3"/>
        </w:trPr>
        <w:tc>
          <w:tcPr>
            <w:tcW w:w="33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stock purchase plan</w:t>
            </w:r>
          </w:p>
        </w:tc>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Issuance of common stock for services</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75,183</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189"/>
        </w:trPr>
        <w:tc>
          <w:tcPr>
            <w:tcW w:w="3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6,976</w:t>
            </w:r>
          </w:p>
        </w:tc>
        <w:tc>
          <w:tcPr>
            <w:tcW w:w="16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189"/>
        </w:trPr>
        <w:tc>
          <w:tcPr>
            <w:tcW w:w="3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49"/>
        </w:trPr>
        <w:tc>
          <w:tcPr>
            <w:tcW w:w="3360" w:type="dxa"/>
            <w:vAlign w:val="bottom"/>
            <w:gridSpan w:val="2"/>
          </w:tcPr>
          <w:p>
            <w:pPr>
              <w:ind w:left="120"/>
              <w:spacing w:after="0" w:line="149" w:lineRule="exact"/>
              <w:rPr>
                <w:sz w:val="20"/>
                <w:szCs w:val="20"/>
                <w:color w:val="auto"/>
              </w:rPr>
            </w:pPr>
            <w:r>
              <w:rPr>
                <w:rFonts w:ascii="Arial" w:cs="Arial" w:eastAsia="Arial" w:hAnsi="Arial"/>
                <w:sz w:val="17"/>
                <w:szCs w:val="17"/>
                <w:color w:val="auto"/>
              </w:rPr>
              <w:t>Issuance of common stock upon</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5"/>
              </w:rPr>
              <w:t>14,375,000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53,769</w:t>
            </w: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53,770</w:t>
            </w:r>
          </w:p>
        </w:tc>
        <w:tc>
          <w:tcPr>
            <w:tcW w:w="0" w:type="dxa"/>
            <w:vAlign w:val="bottom"/>
          </w:tcPr>
          <w:p>
            <w:pPr>
              <w:spacing w:after="0"/>
              <w:rPr>
                <w:sz w:val="1"/>
                <w:szCs w:val="1"/>
                <w:color w:val="auto"/>
              </w:rPr>
            </w:pPr>
          </w:p>
        </w:tc>
      </w:tr>
      <w:tr>
        <w:trPr>
          <w:trHeight w:val="203"/>
        </w:trPr>
        <w:tc>
          <w:tcPr>
            <w:tcW w:w="33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underwritten public offering</w:t>
            </w:r>
          </w:p>
        </w:tc>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7"/>
                <w:szCs w:val="17"/>
                <w:color w:val="auto"/>
              </w:rPr>
              <w:t>Adoption of ASU No. 2014-09 on January</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1, 2018</w:t>
            </w:r>
          </w:p>
        </w:tc>
        <w:tc>
          <w:tcPr>
            <w:tcW w:w="2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(63,436)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(63,436)</w:t>
            </w:r>
          </w:p>
        </w:tc>
        <w:tc>
          <w:tcPr>
            <w:tcW w:w="0" w:type="dxa"/>
            <w:vAlign w:val="bottom"/>
          </w:tcPr>
          <w:p>
            <w:pPr>
              <w:spacing w:after="0"/>
              <w:rPr>
                <w:sz w:val="1"/>
                <w:szCs w:val="1"/>
                <w:color w:val="auto"/>
              </w:rPr>
            </w:pPr>
          </w:p>
        </w:tc>
      </w:tr>
      <w:tr>
        <w:trPr>
          <w:trHeight w:val="176"/>
        </w:trPr>
        <w:tc>
          <w:tcPr>
            <w:tcW w:w="3360" w:type="dxa"/>
            <w:vAlign w:val="bottom"/>
            <w:tcBorders>
              <w:top w:val="single" w:sz="8" w:color="CCEEFF"/>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Balance as of September 30, 2018</w:t>
            </w: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62,106,121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$ 479,109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 (337,650)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21"/>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141,448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11" w:right="137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04" w:lineRule="auto"/>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67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800" w:type="dxa"/>
            <w:vAlign w:val="bottom"/>
            <w:tcBorders>
              <w:top w:val="single" w:sz="8" w:color="auto"/>
              <w:bottom w:val="single" w:sz="8" w:color="auto"/>
            </w:tcBorders>
            <w:gridSpan w:val="4"/>
          </w:tcPr>
          <w:p>
            <w:pPr>
              <w:jc w:val="right"/>
              <w:ind w:right="471"/>
              <w:spacing w:after="0" w:line="129" w:lineRule="exact"/>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1"/>
                <w:szCs w:val="11"/>
                <w:color w:val="auto"/>
              </w:rPr>
            </w:pPr>
          </w:p>
        </w:tc>
      </w:tr>
      <w:tr>
        <w:trPr>
          <w:trHeight w:val="129"/>
        </w:trPr>
        <w:tc>
          <w:tcPr>
            <w:tcW w:w="67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31"/>
              <w:spacing w:after="0" w:line="129"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1"/>
                <w:szCs w:val="11"/>
                <w:color w:val="auto"/>
              </w:rPr>
            </w:pPr>
          </w:p>
        </w:tc>
      </w:tr>
      <w:tr>
        <w:trPr>
          <w:trHeight w:val="169"/>
        </w:trPr>
        <w:tc>
          <w:tcPr>
            <w:tcW w:w="67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76"/>
        </w:trPr>
        <w:tc>
          <w:tcPr>
            <w:tcW w:w="6720" w:type="dxa"/>
            <w:vAlign w:val="bottom"/>
          </w:tcPr>
          <w:p>
            <w:pPr>
              <w:ind w:left="220"/>
              <w:spacing w:after="0" w:line="176" w:lineRule="exact"/>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(75,150)</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(63,436)</w:t>
            </w: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176"/>
        </w:trPr>
        <w:tc>
          <w:tcPr>
            <w:tcW w:w="6720" w:type="dxa"/>
            <w:vAlign w:val="bottom"/>
          </w:tcPr>
          <w:p>
            <w:pPr>
              <w:ind w:left="320"/>
              <w:spacing w:after="0" w:line="176" w:lineRule="exact"/>
              <w:rPr>
                <w:sz w:val="20"/>
                <w:szCs w:val="20"/>
                <w:color w:val="auto"/>
              </w:rPr>
            </w:pPr>
            <w:r>
              <w:rPr>
                <w:rFonts w:ascii="Arial" w:cs="Arial" w:eastAsia="Arial" w:hAnsi="Arial"/>
                <w:sz w:val="18"/>
                <w:szCs w:val="18"/>
                <w:color w:val="auto"/>
              </w:rPr>
              <w:t>Depreciation expense</w:t>
            </w: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1,993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2,005</w:t>
            </w:r>
          </w:p>
        </w:tc>
        <w:tc>
          <w:tcPr>
            <w:tcW w:w="380" w:type="dxa"/>
            <w:vAlign w:val="bottom"/>
          </w:tcPr>
          <w:p>
            <w:pPr>
              <w:spacing w:after="0"/>
              <w:rPr>
                <w:sz w:val="15"/>
                <w:szCs w:val="15"/>
                <w:color w:val="auto"/>
              </w:rPr>
            </w:pPr>
          </w:p>
        </w:tc>
      </w:tr>
      <w:tr>
        <w:trPr>
          <w:trHeight w:val="176"/>
        </w:trPr>
        <w:tc>
          <w:tcPr>
            <w:tcW w:w="67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Amortization of deferred financing costs</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550</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w:t>
            </w:r>
          </w:p>
        </w:tc>
        <w:tc>
          <w:tcPr>
            <w:tcW w:w="380" w:type="dxa"/>
            <w:vAlign w:val="bottom"/>
            <w:shd w:val="clear" w:color="auto" w:fill="CCEEFF"/>
          </w:tcPr>
          <w:p>
            <w:pPr>
              <w:spacing w:after="0"/>
              <w:rPr>
                <w:sz w:val="15"/>
                <w:szCs w:val="15"/>
                <w:color w:val="auto"/>
              </w:rPr>
            </w:pPr>
          </w:p>
        </w:tc>
      </w:tr>
      <w:tr>
        <w:trPr>
          <w:trHeight w:val="176"/>
        </w:trPr>
        <w:tc>
          <w:tcPr>
            <w:tcW w:w="6720" w:type="dxa"/>
            <w:vAlign w:val="bottom"/>
          </w:tcPr>
          <w:p>
            <w:pPr>
              <w:ind w:left="320"/>
              <w:spacing w:after="0" w:line="176" w:lineRule="exact"/>
              <w:rPr>
                <w:sz w:val="20"/>
                <w:szCs w:val="20"/>
                <w:color w:val="auto"/>
              </w:rPr>
            </w:pPr>
            <w:r>
              <w:rPr>
                <w:rFonts w:ascii="Arial" w:cs="Arial" w:eastAsia="Arial" w:hAnsi="Arial"/>
                <w:sz w:val="18"/>
                <w:szCs w:val="18"/>
                <w:color w:val="auto"/>
              </w:rPr>
              <w:t>Amortization of deferred compensation for services</w:t>
            </w: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231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177</w:t>
            </w:r>
          </w:p>
        </w:tc>
        <w:tc>
          <w:tcPr>
            <w:tcW w:w="380" w:type="dxa"/>
            <w:vAlign w:val="bottom"/>
          </w:tcPr>
          <w:p>
            <w:pPr>
              <w:spacing w:after="0"/>
              <w:rPr>
                <w:sz w:val="15"/>
                <w:szCs w:val="15"/>
                <w:color w:val="auto"/>
              </w:rPr>
            </w:pPr>
          </w:p>
        </w:tc>
      </w:tr>
      <w:tr>
        <w:trPr>
          <w:trHeight w:val="176"/>
        </w:trPr>
        <w:tc>
          <w:tcPr>
            <w:tcW w:w="67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Amortization of premium on investment securities</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(666)</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(708)</w:t>
            </w:r>
          </w:p>
        </w:tc>
      </w:tr>
      <w:tr>
        <w:trPr>
          <w:trHeight w:val="176"/>
        </w:trPr>
        <w:tc>
          <w:tcPr>
            <w:tcW w:w="6720" w:type="dxa"/>
            <w:vAlign w:val="bottom"/>
          </w:tcPr>
          <w:p>
            <w:pPr>
              <w:ind w:left="320"/>
              <w:spacing w:after="0" w:line="176" w:lineRule="exact"/>
              <w:rPr>
                <w:sz w:val="20"/>
                <w:szCs w:val="20"/>
                <w:color w:val="auto"/>
              </w:rPr>
            </w:pPr>
            <w:r>
              <w:rPr>
                <w:rFonts w:ascii="Arial" w:cs="Arial" w:eastAsia="Arial" w:hAnsi="Arial"/>
                <w:sz w:val="18"/>
                <w:szCs w:val="18"/>
                <w:color w:val="auto"/>
              </w:rPr>
              <w:t>Non-cash lease expense</w:t>
            </w: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1,356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440"/>
              <w:spacing w:after="0" w:line="176" w:lineRule="exact"/>
              <w:rPr>
                <w:sz w:val="20"/>
                <w:szCs w:val="20"/>
                <w:color w:val="auto"/>
              </w:rPr>
            </w:pPr>
            <w:r>
              <w:rPr>
                <w:rFonts w:ascii="Arial" w:cs="Arial" w:eastAsia="Arial" w:hAnsi="Arial"/>
                <w:sz w:val="18"/>
                <w:szCs w:val="18"/>
                <w:color w:val="auto"/>
              </w:rPr>
              <w:t>—</w:t>
            </w:r>
          </w:p>
        </w:tc>
      </w:tr>
      <w:tr>
        <w:trPr>
          <w:trHeight w:val="176"/>
        </w:trPr>
        <w:tc>
          <w:tcPr>
            <w:tcW w:w="67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7,724</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6,976</w:t>
            </w:r>
          </w:p>
        </w:tc>
        <w:tc>
          <w:tcPr>
            <w:tcW w:w="380" w:type="dxa"/>
            <w:vAlign w:val="bottom"/>
            <w:shd w:val="clear" w:color="auto" w:fill="CCEEFF"/>
          </w:tcPr>
          <w:p>
            <w:pPr>
              <w:spacing w:after="0"/>
              <w:rPr>
                <w:sz w:val="15"/>
                <w:szCs w:val="15"/>
                <w:color w:val="auto"/>
              </w:rPr>
            </w:pPr>
          </w:p>
        </w:tc>
      </w:tr>
      <w:tr>
        <w:trPr>
          <w:trHeight w:val="176"/>
        </w:trPr>
        <w:tc>
          <w:tcPr>
            <w:tcW w:w="6720" w:type="dxa"/>
            <w:vAlign w:val="bottom"/>
          </w:tcPr>
          <w:p>
            <w:pPr>
              <w:ind w:left="320"/>
              <w:spacing w:after="0" w:line="176" w:lineRule="exact"/>
              <w:rPr>
                <w:sz w:val="20"/>
                <w:szCs w:val="20"/>
                <w:color w:val="auto"/>
              </w:rPr>
            </w:pPr>
            <w:r>
              <w:rPr>
                <w:rFonts w:ascii="Arial" w:cs="Arial" w:eastAsia="Arial" w:hAnsi="Arial"/>
                <w:sz w:val="18"/>
                <w:szCs w:val="18"/>
                <w:color w:val="auto"/>
              </w:rPr>
              <w:t>Change in derivative liabilities</w:t>
            </w: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246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c>
          <w:tcPr>
            <w:tcW w:w="380" w:type="dxa"/>
            <w:vAlign w:val="bottom"/>
          </w:tcPr>
          <w:p>
            <w:pPr>
              <w:spacing w:after="0"/>
              <w:rPr>
                <w:sz w:val="15"/>
                <w:szCs w:val="15"/>
                <w:color w:val="auto"/>
              </w:rPr>
            </w:pPr>
          </w:p>
        </w:tc>
      </w:tr>
      <w:tr>
        <w:trPr>
          <w:trHeight w:val="176"/>
        </w:trPr>
        <w:tc>
          <w:tcPr>
            <w:tcW w:w="67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Non-cash interest associated with debt discount accretion</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164</w:t>
            </w:r>
          </w:p>
        </w:tc>
        <w:tc>
          <w:tcPr>
            <w:tcW w:w="380" w:type="dxa"/>
            <w:vAlign w:val="bottom"/>
            <w:shd w:val="clear" w:color="auto" w:fill="CCEEFF"/>
          </w:tcPr>
          <w:p>
            <w:pPr>
              <w:spacing w:after="0"/>
              <w:rPr>
                <w:sz w:val="15"/>
                <w:szCs w:val="15"/>
                <w:color w:val="auto"/>
              </w:rPr>
            </w:pPr>
          </w:p>
        </w:tc>
      </w:tr>
      <w:tr>
        <w:trPr>
          <w:trHeight w:val="176"/>
        </w:trPr>
        <w:tc>
          <w:tcPr>
            <w:tcW w:w="6720" w:type="dxa"/>
            <w:vAlign w:val="bottom"/>
          </w:tcPr>
          <w:p>
            <w:pPr>
              <w:ind w:left="320"/>
              <w:spacing w:after="0" w:line="176" w:lineRule="exact"/>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6"/>
        </w:trPr>
        <w:tc>
          <w:tcPr>
            <w:tcW w:w="672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Accounts receivable and unbilled license revenue</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2,386</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10,629</w:t>
            </w:r>
          </w:p>
        </w:tc>
        <w:tc>
          <w:tcPr>
            <w:tcW w:w="380" w:type="dxa"/>
            <w:vAlign w:val="bottom"/>
            <w:shd w:val="clear" w:color="auto" w:fill="CCEEFF"/>
          </w:tcPr>
          <w:p>
            <w:pPr>
              <w:spacing w:after="0"/>
              <w:rPr>
                <w:sz w:val="15"/>
                <w:szCs w:val="15"/>
                <w:color w:val="auto"/>
              </w:rPr>
            </w:pPr>
          </w:p>
        </w:tc>
      </w:tr>
      <w:tr>
        <w:trPr>
          <w:trHeight w:val="176"/>
        </w:trPr>
        <w:tc>
          <w:tcPr>
            <w:tcW w:w="6720" w:type="dxa"/>
            <w:vAlign w:val="bottom"/>
          </w:tcPr>
          <w:p>
            <w:pPr>
              <w:ind w:left="540"/>
              <w:spacing w:after="0" w:line="176" w:lineRule="exact"/>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15"/>
                <w:szCs w:val="15"/>
                <w:color w:val="auto"/>
              </w:rPr>
            </w:pPr>
          </w:p>
        </w:tc>
        <w:tc>
          <w:tcPr>
            <w:tcW w:w="88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(454)</w:t>
            </w:r>
          </w:p>
        </w:tc>
        <w:tc>
          <w:tcPr>
            <w:tcW w:w="160" w:type="dxa"/>
            <w:vAlign w:val="bottom"/>
          </w:tcPr>
          <w:p>
            <w:pPr>
              <w:spacing w:after="0"/>
              <w:rPr>
                <w:sz w:val="15"/>
                <w:szCs w:val="15"/>
                <w:color w:val="auto"/>
              </w:rPr>
            </w:pPr>
          </w:p>
        </w:tc>
        <w:tc>
          <w:tcPr>
            <w:tcW w:w="114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(3,908)</w:t>
            </w:r>
          </w:p>
        </w:tc>
      </w:tr>
      <w:tr>
        <w:trPr>
          <w:trHeight w:val="176"/>
        </w:trPr>
        <w:tc>
          <w:tcPr>
            <w:tcW w:w="672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541</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(1,609)</w:t>
            </w:r>
          </w:p>
        </w:tc>
      </w:tr>
      <w:tr>
        <w:trPr>
          <w:trHeight w:val="176"/>
        </w:trPr>
        <w:tc>
          <w:tcPr>
            <w:tcW w:w="6720" w:type="dxa"/>
            <w:vAlign w:val="bottom"/>
          </w:tcPr>
          <w:p>
            <w:pPr>
              <w:ind w:left="540"/>
              <w:spacing w:after="0" w:line="176" w:lineRule="exact"/>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81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(923)</w:t>
            </w:r>
          </w:p>
        </w:tc>
      </w:tr>
      <w:tr>
        <w:trPr>
          <w:trHeight w:val="176"/>
        </w:trPr>
        <w:tc>
          <w:tcPr>
            <w:tcW w:w="672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Lease liabilities</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(1,301)</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40"/>
              <w:spacing w:after="0" w:line="176" w:lineRule="exact"/>
              <w:rPr>
                <w:sz w:val="20"/>
                <w:szCs w:val="20"/>
                <w:color w:val="auto"/>
              </w:rPr>
            </w:pPr>
            <w:r>
              <w:rPr>
                <w:rFonts w:ascii="Arial" w:cs="Arial" w:eastAsia="Arial" w:hAnsi="Arial"/>
                <w:sz w:val="18"/>
                <w:szCs w:val="18"/>
                <w:color w:val="auto"/>
              </w:rPr>
              <w:t>—</w:t>
            </w:r>
          </w:p>
        </w:tc>
      </w:tr>
      <w:tr>
        <w:trPr>
          <w:trHeight w:val="176"/>
        </w:trPr>
        <w:tc>
          <w:tcPr>
            <w:tcW w:w="6720" w:type="dxa"/>
            <w:vAlign w:val="bottom"/>
          </w:tcPr>
          <w:p>
            <w:pPr>
              <w:ind w:left="540"/>
              <w:spacing w:after="0" w:line="176" w:lineRule="exact"/>
              <w:rPr>
                <w:sz w:val="20"/>
                <w:szCs w:val="20"/>
                <w:color w:val="auto"/>
              </w:rPr>
            </w:pPr>
            <w:r>
              <w:rPr>
                <w:rFonts w:ascii="Arial" w:cs="Arial" w:eastAsia="Arial" w:hAnsi="Arial"/>
                <w:sz w:val="18"/>
                <w:szCs w:val="18"/>
                <w:color w:val="auto"/>
              </w:rPr>
              <w:t>Accrued and other liabilities</w:t>
            </w:r>
          </w:p>
        </w:tc>
        <w:tc>
          <w:tcPr>
            <w:tcW w:w="160" w:type="dxa"/>
            <w:vAlign w:val="bottom"/>
          </w:tcPr>
          <w:p>
            <w:pPr>
              <w:spacing w:after="0"/>
              <w:rPr>
                <w:sz w:val="15"/>
                <w:szCs w:val="15"/>
                <w:color w:val="auto"/>
              </w:rPr>
            </w:pPr>
          </w:p>
        </w:tc>
        <w:tc>
          <w:tcPr>
            <w:tcW w:w="88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(3,237)</w:t>
            </w:r>
          </w:p>
        </w:tc>
        <w:tc>
          <w:tcPr>
            <w:tcW w:w="160" w:type="dxa"/>
            <w:vAlign w:val="bottom"/>
          </w:tcPr>
          <w:p>
            <w:pPr>
              <w:spacing w:after="0"/>
              <w:rPr>
                <w:sz w:val="15"/>
                <w:szCs w:val="15"/>
                <w:color w:val="auto"/>
              </w:rPr>
            </w:pPr>
          </w:p>
        </w:tc>
        <w:tc>
          <w:tcPr>
            <w:tcW w:w="114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(1,405)</w:t>
            </w:r>
          </w:p>
        </w:tc>
      </w:tr>
      <w:tr>
        <w:trPr>
          <w:trHeight w:val="169"/>
        </w:trPr>
        <w:tc>
          <w:tcPr>
            <w:tcW w:w="67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(65,347)</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(51,838)</w:t>
            </w:r>
          </w:p>
        </w:tc>
        <w:tc>
          <w:tcPr>
            <w:tcW w:w="380" w:type="dxa"/>
            <w:vAlign w:val="bottom"/>
            <w:tcBorders>
              <w:top w:val="single" w:sz="8" w:color="CCEEFF"/>
            </w:tcBorders>
            <w:shd w:val="clear" w:color="auto" w:fill="CCEEFF"/>
          </w:tcPr>
          <w:p>
            <w:pPr>
              <w:spacing w:after="0"/>
              <w:rPr>
                <w:sz w:val="14"/>
                <w:szCs w:val="14"/>
                <w:color w:val="auto"/>
              </w:rPr>
            </w:pPr>
          </w:p>
        </w:tc>
      </w:tr>
      <w:tr>
        <w:trPr>
          <w:trHeight w:val="169"/>
        </w:trPr>
        <w:tc>
          <w:tcPr>
            <w:tcW w:w="6720" w:type="dxa"/>
            <w:vAlign w:val="bottom"/>
          </w:tcPr>
          <w:p>
            <w:pPr>
              <w:spacing w:after="0" w:line="170" w:lineRule="exact"/>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Proceeds from maturities of investments</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114,484</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95,450</w:t>
            </w:r>
          </w:p>
        </w:tc>
        <w:tc>
          <w:tcPr>
            <w:tcW w:w="380" w:type="dxa"/>
            <w:vAlign w:val="bottom"/>
            <w:shd w:val="clear" w:color="auto" w:fill="CCEEFF"/>
          </w:tcPr>
          <w:p>
            <w:pPr>
              <w:spacing w:after="0"/>
              <w:rPr>
                <w:sz w:val="15"/>
                <w:szCs w:val="15"/>
                <w:color w:val="auto"/>
              </w:rPr>
            </w:pPr>
          </w:p>
        </w:tc>
      </w:tr>
      <w:tr>
        <w:trPr>
          <w:trHeight w:val="176"/>
        </w:trPr>
        <w:tc>
          <w:tcPr>
            <w:tcW w:w="6720" w:type="dxa"/>
            <w:vAlign w:val="bottom"/>
          </w:tcPr>
          <w:p>
            <w:pPr>
              <w:ind w:left="220"/>
              <w:spacing w:after="0" w:line="176" w:lineRule="exact"/>
              <w:rPr>
                <w:sz w:val="20"/>
                <w:szCs w:val="20"/>
                <w:color w:val="auto"/>
              </w:rPr>
            </w:pPr>
            <w:r>
              <w:rPr>
                <w:rFonts w:ascii="Arial" w:cs="Arial" w:eastAsia="Arial" w:hAnsi="Arial"/>
                <w:sz w:val="18"/>
                <w:szCs w:val="18"/>
                <w:color w:val="auto"/>
              </w:rPr>
              <w:t>Sales and redemptions of investments</w:t>
            </w: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1,000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850</w:t>
            </w:r>
          </w:p>
        </w:tc>
        <w:tc>
          <w:tcPr>
            <w:tcW w:w="380" w:type="dxa"/>
            <w:vAlign w:val="bottom"/>
          </w:tcPr>
          <w:p>
            <w:pPr>
              <w:spacing w:after="0"/>
              <w:rPr>
                <w:sz w:val="15"/>
                <w:szCs w:val="15"/>
                <w:color w:val="auto"/>
              </w:rPr>
            </w:pP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Purchases of investments</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(36,325)</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w w:val="95"/>
              </w:rPr>
              <w:t>(148,360)</w:t>
            </w:r>
          </w:p>
        </w:tc>
      </w:tr>
      <w:tr>
        <w:trPr>
          <w:trHeight w:val="176"/>
        </w:trPr>
        <w:tc>
          <w:tcPr>
            <w:tcW w:w="6720" w:type="dxa"/>
            <w:vAlign w:val="bottom"/>
          </w:tcPr>
          <w:p>
            <w:pPr>
              <w:ind w:left="220"/>
              <w:spacing w:after="0" w:line="176" w:lineRule="exact"/>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5"/>
                <w:szCs w:val="15"/>
                <w:color w:val="auto"/>
              </w:rPr>
            </w:pPr>
          </w:p>
        </w:tc>
        <w:tc>
          <w:tcPr>
            <w:tcW w:w="88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(325)</w:t>
            </w:r>
          </w:p>
        </w:tc>
        <w:tc>
          <w:tcPr>
            <w:tcW w:w="160" w:type="dxa"/>
            <w:vAlign w:val="bottom"/>
          </w:tcPr>
          <w:p>
            <w:pPr>
              <w:spacing w:after="0"/>
              <w:rPr>
                <w:sz w:val="15"/>
                <w:szCs w:val="15"/>
                <w:color w:val="auto"/>
              </w:rPr>
            </w:pPr>
          </w:p>
        </w:tc>
        <w:tc>
          <w:tcPr>
            <w:tcW w:w="114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(24)</w:t>
            </w:r>
          </w:p>
        </w:tc>
      </w:tr>
      <w:tr>
        <w:trPr>
          <w:trHeight w:val="169"/>
        </w:trPr>
        <w:tc>
          <w:tcPr>
            <w:tcW w:w="67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78,834</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(52,084)</w:t>
            </w:r>
          </w:p>
        </w:tc>
        <w:tc>
          <w:tcPr>
            <w:tcW w:w="380" w:type="dxa"/>
            <w:vAlign w:val="bottom"/>
            <w:tcBorders>
              <w:top w:val="single" w:sz="8" w:color="CCEEFF"/>
            </w:tcBorders>
            <w:shd w:val="clear" w:color="auto" w:fill="CCEEFF"/>
          </w:tcPr>
          <w:p>
            <w:pPr>
              <w:spacing w:after="0"/>
              <w:rPr>
                <w:sz w:val="14"/>
                <w:szCs w:val="14"/>
                <w:color w:val="auto"/>
              </w:rPr>
            </w:pPr>
          </w:p>
        </w:tc>
      </w:tr>
      <w:tr>
        <w:trPr>
          <w:trHeight w:val="169"/>
        </w:trPr>
        <w:tc>
          <w:tcPr>
            <w:tcW w:w="6720" w:type="dxa"/>
            <w:vAlign w:val="bottom"/>
          </w:tcPr>
          <w:p>
            <w:pPr>
              <w:spacing w:after="0" w:line="170" w:lineRule="exact"/>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Proceeds from loan payable, net of issuance costs</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49,292</w:t>
            </w:r>
          </w:p>
        </w:tc>
        <w:tc>
          <w:tcPr>
            <w:tcW w:w="380" w:type="dxa"/>
            <w:vAlign w:val="bottom"/>
            <w:shd w:val="clear" w:color="auto" w:fill="CCEEFF"/>
          </w:tcPr>
          <w:p>
            <w:pPr>
              <w:spacing w:after="0"/>
              <w:rPr>
                <w:sz w:val="15"/>
                <w:szCs w:val="15"/>
                <w:color w:val="auto"/>
              </w:rPr>
            </w:pPr>
          </w:p>
        </w:tc>
      </w:tr>
      <w:tr>
        <w:trPr>
          <w:trHeight w:val="176"/>
        </w:trPr>
        <w:tc>
          <w:tcPr>
            <w:tcW w:w="6720" w:type="dxa"/>
            <w:vAlign w:val="bottom"/>
          </w:tcPr>
          <w:p>
            <w:pPr>
              <w:ind w:left="220"/>
              <w:spacing w:after="0" w:line="176" w:lineRule="exact"/>
              <w:rPr>
                <w:sz w:val="20"/>
                <w:szCs w:val="20"/>
                <w:color w:val="auto"/>
              </w:rPr>
            </w:pPr>
            <w:r>
              <w:rPr>
                <w:rFonts w:ascii="Arial" w:cs="Arial" w:eastAsia="Arial" w:hAnsi="Arial"/>
                <w:sz w:val="18"/>
                <w:szCs w:val="18"/>
                <w:color w:val="auto"/>
              </w:rPr>
              <w:t>Proceeds from underwritten public offering, net of issuance costs</w:t>
            </w:r>
          </w:p>
        </w:tc>
        <w:tc>
          <w:tcPr>
            <w:tcW w:w="160" w:type="dxa"/>
            <w:vAlign w:val="bottom"/>
          </w:tcPr>
          <w:p>
            <w:pPr>
              <w:spacing w:after="0"/>
              <w:rPr>
                <w:sz w:val="15"/>
                <w:szCs w:val="15"/>
                <w:color w:val="auto"/>
              </w:rPr>
            </w:pPr>
          </w:p>
        </w:tc>
        <w:tc>
          <w:tcPr>
            <w:tcW w:w="88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53,770</w:t>
            </w:r>
          </w:p>
        </w:tc>
        <w:tc>
          <w:tcPr>
            <w:tcW w:w="380" w:type="dxa"/>
            <w:vAlign w:val="bottom"/>
          </w:tcPr>
          <w:p>
            <w:pPr>
              <w:spacing w:after="0"/>
              <w:rPr>
                <w:sz w:val="15"/>
                <w:szCs w:val="15"/>
                <w:color w:val="auto"/>
              </w:rPr>
            </w:pP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Issuance of common stock upon exercise of options</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40"/>
              <w:spacing w:after="0" w:line="176" w:lineRule="exact"/>
              <w:rPr>
                <w:sz w:val="20"/>
                <w:szCs w:val="20"/>
                <w:color w:val="auto"/>
              </w:rPr>
            </w:pPr>
            <w:r>
              <w:rPr>
                <w:rFonts w:ascii="Arial" w:cs="Arial" w:eastAsia="Arial" w:hAnsi="Arial"/>
                <w:sz w:val="18"/>
                <w:szCs w:val="18"/>
                <w:color w:val="auto"/>
              </w:rPr>
              <w:t>—</w:t>
            </w:r>
          </w:p>
        </w:tc>
      </w:tr>
      <w:tr>
        <w:trPr>
          <w:trHeight w:val="176"/>
        </w:trPr>
        <w:tc>
          <w:tcPr>
            <w:tcW w:w="67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Proceeds from issuance of common stock under stock plans</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397</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492</w:t>
            </w:r>
          </w:p>
        </w:tc>
        <w:tc>
          <w:tcPr>
            <w:tcW w:w="380" w:type="dxa"/>
            <w:vAlign w:val="bottom"/>
            <w:tcBorders>
              <w:bottom w:val="single" w:sz="8" w:color="CCEEFF"/>
            </w:tcBorders>
          </w:tcPr>
          <w:p>
            <w:pPr>
              <w:spacing w:after="0"/>
              <w:rPr>
                <w:sz w:val="15"/>
                <w:szCs w:val="15"/>
                <w:color w:val="auto"/>
              </w:rPr>
            </w:pPr>
          </w:p>
        </w:tc>
      </w:tr>
      <w:tr>
        <w:trPr>
          <w:trHeight w:val="169"/>
        </w:trPr>
        <w:tc>
          <w:tcPr>
            <w:tcW w:w="67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418</w:t>
            </w: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103,554</w:t>
            </w:r>
          </w:p>
        </w:tc>
        <w:tc>
          <w:tcPr>
            <w:tcW w:w="380" w:type="dxa"/>
            <w:vAlign w:val="bottom"/>
            <w:shd w:val="clear" w:color="auto" w:fill="CCEEFF"/>
          </w:tcPr>
          <w:p>
            <w:pPr>
              <w:spacing w:after="0"/>
              <w:rPr>
                <w:sz w:val="14"/>
                <w:szCs w:val="14"/>
                <w:color w:val="auto"/>
              </w:rPr>
            </w:pPr>
          </w:p>
        </w:tc>
      </w:tr>
      <w:tr>
        <w:trPr>
          <w:trHeight w:val="169"/>
        </w:trPr>
        <w:tc>
          <w:tcPr>
            <w:tcW w:w="6720" w:type="dxa"/>
            <w:vAlign w:val="bottom"/>
          </w:tcPr>
          <w:p>
            <w:pPr>
              <w:spacing w:after="0" w:line="170" w:lineRule="exact"/>
              <w:rPr>
                <w:sz w:val="20"/>
                <w:szCs w:val="20"/>
                <w:color w:val="auto"/>
              </w:rPr>
            </w:pPr>
            <w:r>
              <w:rPr>
                <w:rFonts w:ascii="Arial" w:cs="Arial" w:eastAsia="Arial" w:hAnsi="Arial"/>
                <w:sz w:val="18"/>
                <w:szCs w:val="18"/>
                <w:b w:val="1"/>
                <w:bCs w:val="1"/>
                <w:color w:val="auto"/>
              </w:rPr>
              <w:t>Net increase (decrease) in cash and cash equivalents</w:t>
            </w:r>
          </w:p>
        </w:tc>
        <w:tc>
          <w:tcPr>
            <w:tcW w:w="16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8"/>
                <w:szCs w:val="18"/>
                <w:color w:val="auto"/>
              </w:rPr>
              <w:t>13,905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8"/>
                <w:szCs w:val="18"/>
                <w:color w:val="auto"/>
              </w:rPr>
              <w:t>(368)</w:t>
            </w:r>
          </w:p>
        </w:tc>
        <w:tc>
          <w:tcPr>
            <w:tcW w:w="380" w:type="dxa"/>
            <w:vAlign w:val="bottom"/>
          </w:tcPr>
          <w:p>
            <w:pPr>
              <w:spacing w:after="0"/>
              <w:rPr>
                <w:sz w:val="14"/>
                <w:szCs w:val="14"/>
                <w:color w:val="auto"/>
              </w:rPr>
            </w:pPr>
          </w:p>
        </w:tc>
      </w:tr>
      <w:tr>
        <w:trPr>
          <w:trHeight w:val="176"/>
        </w:trPr>
        <w:tc>
          <w:tcPr>
            <w:tcW w:w="67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Cash and cash equivalents at beginning of period</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78,768</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75,383</w:t>
            </w:r>
          </w:p>
        </w:tc>
        <w:tc>
          <w:tcPr>
            <w:tcW w:w="380" w:type="dxa"/>
            <w:vAlign w:val="bottom"/>
            <w:shd w:val="clear" w:color="auto" w:fill="CCEEFF"/>
          </w:tcPr>
          <w:p>
            <w:pPr>
              <w:spacing w:after="0"/>
              <w:rPr>
                <w:sz w:val="15"/>
                <w:szCs w:val="15"/>
                <w:color w:val="auto"/>
              </w:rPr>
            </w:pPr>
          </w:p>
        </w:tc>
      </w:tr>
      <w:tr>
        <w:trPr>
          <w:trHeight w:val="176"/>
        </w:trPr>
        <w:tc>
          <w:tcPr>
            <w:tcW w:w="67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b w:val="1"/>
                <w:bCs w:val="1"/>
                <w:color w:val="auto"/>
              </w:rPr>
              <w:t>Cash and cash equivalents at end of period</w:t>
            </w: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92,673</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75,015</w:t>
            </w:r>
          </w:p>
        </w:tc>
        <w:tc>
          <w:tcPr>
            <w:tcW w:w="380" w:type="dxa"/>
            <w:vAlign w:val="bottom"/>
            <w:tcBorders>
              <w:bottom w:val="single" w:sz="8" w:color="CCEEFF"/>
            </w:tcBorders>
          </w:tcPr>
          <w:p>
            <w:pPr>
              <w:spacing w:after="0"/>
              <w:rPr>
                <w:sz w:val="15"/>
                <w:szCs w:val="15"/>
                <w:color w:val="auto"/>
              </w:rPr>
            </w:pPr>
          </w:p>
        </w:tc>
      </w:tr>
      <w:tr>
        <w:trPr>
          <w:trHeight w:val="176"/>
        </w:trPr>
        <w:tc>
          <w:tcPr>
            <w:tcW w:w="67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Supplementary disclosure of non-cash financing information:</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176"/>
        </w:trPr>
        <w:tc>
          <w:tcPr>
            <w:tcW w:w="6720" w:type="dxa"/>
            <w:vAlign w:val="bottom"/>
          </w:tcPr>
          <w:p>
            <w:pPr>
              <w:ind w:left="120"/>
              <w:spacing w:after="0" w:line="170" w:lineRule="exact"/>
              <w:rPr>
                <w:sz w:val="20"/>
                <w:szCs w:val="20"/>
                <w:color w:val="auto"/>
              </w:rPr>
            </w:pPr>
            <w:r>
              <w:rPr>
                <w:rFonts w:ascii="Arial" w:cs="Arial" w:eastAsia="Arial" w:hAnsi="Arial"/>
                <w:sz w:val="18"/>
                <w:szCs w:val="18"/>
                <w:color w:val="auto"/>
              </w:rPr>
              <w:t>Issuance of derivative in connection with issuance of loan payable</w:t>
            </w: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546</w:t>
            </w:r>
          </w:p>
        </w:tc>
        <w:tc>
          <w:tcPr>
            <w:tcW w:w="380" w:type="dxa"/>
            <w:vAlign w:val="bottom"/>
          </w:tcPr>
          <w:p>
            <w:pPr>
              <w:spacing w:after="0"/>
              <w:rPr>
                <w:sz w:val="15"/>
                <w:szCs w:val="15"/>
                <w:color w:val="auto"/>
              </w:rPr>
            </w:pPr>
          </w:p>
        </w:tc>
      </w:tr>
    </w:tbl>
    <w:p>
      <w:pPr>
        <w:spacing w:after="0" w:line="14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89"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Ardelyx, Inc. (the “Company,” “we,” “us” or “our”) is a specialized biopharmaceutical company focused on developing first-in-class medicines to improve treatment choices for people with cardiorenal diseases. Tenapanor, a first-in-class inhibitor of NHE3, is being evaluated in a Phase 3 clinical program, including, the PHREEDOM trial, a second Phase 3 clinical trial evaluating tenapanor as a monotherapy treatment for hyperphosphatemia in patients with chronic kidney disease, or CKD, who are on dialysis. On September 3, 2019, the Company reported positive results from the AMPLIFY trial, a Phase 3 study of tenapanor in combination with phosphate binders in patients with CKD on dialysis whose hyperphosphatemia was not previously controlled with binders alone. On September 12, 2019, the Company announced that the U.S. Food and Drug Administration, or FDA, approved IBSRELA (tenapanor), a 50 mg, twice daily oral pill for the treatment of irritable bowel syndrome with constipation, or IBS -C, in adults. The Company intends to find a collaboration partner to commercialize IBSRELA in the United States. The Company is also advancing a small molecule potassium secretagogue program, RDX013, for the potential treatment of hyperkalemia.</w:t>
      </w:r>
    </w:p>
    <w:p>
      <w:pPr>
        <w:spacing w:after="0" w:line="167" w:lineRule="exact"/>
        <w:rPr>
          <w:sz w:val="20"/>
          <w:szCs w:val="20"/>
          <w:color w:val="auto"/>
        </w:rPr>
      </w:pPr>
    </w:p>
    <w:p>
      <w:pPr>
        <w:ind w:right="700" w:firstLine="324"/>
        <w:spacing w:after="0" w:line="454" w:lineRule="auto"/>
        <w:rPr>
          <w:sz w:val="20"/>
          <w:szCs w:val="20"/>
          <w:color w:val="auto"/>
        </w:rPr>
      </w:pPr>
      <w:r>
        <w:rPr>
          <w:rFonts w:ascii="Arial" w:cs="Arial" w:eastAsia="Arial" w:hAnsi="Arial"/>
          <w:sz w:val="18"/>
          <w:szCs w:val="18"/>
          <w:color w:val="auto"/>
        </w:rPr>
        <w:t xml:space="preserve">The Company operates in only one business segment, which is the development of biopharmaceutical products. </w:t>
      </w:r>
      <w:r>
        <w:rPr>
          <w:rFonts w:ascii="Arial" w:cs="Arial" w:eastAsia="Arial" w:hAnsi="Arial"/>
          <w:sz w:val="18"/>
          <w:szCs w:val="18"/>
          <w:b w:val="1"/>
          <w:bCs w:val="1"/>
          <w:i w:val="1"/>
          <w:iCs w:val="1"/>
          <w:color w:val="auto"/>
        </w:rPr>
        <w:t>Basis of Presentation</w:t>
      </w:r>
    </w:p>
    <w:p>
      <w:pPr>
        <w:jc w:val="both"/>
        <w:ind w:firstLine="324"/>
        <w:spacing w:after="0" w:line="223" w:lineRule="auto"/>
        <w:rPr>
          <w:sz w:val="20"/>
          <w:szCs w:val="20"/>
          <w:color w:val="auto"/>
        </w:rPr>
      </w:pPr>
      <w:r>
        <w:rPr>
          <w:rFonts w:ascii="Arial" w:cs="Arial" w:eastAsia="Arial" w:hAnsi="Arial"/>
          <w:sz w:val="17"/>
          <w:szCs w:val="17"/>
          <w:color w:val="auto"/>
        </w:rPr>
        <w:t>These unaudited condensed consolidated financial statements and the related footnote information of the Company have been prepared pursuant to the requirements of the Securities and Exchange Commission, or the SEC, for interim reporting. As permitted under those rules and regulations, certain footnotes or other financial information that are normally required by U.S. generally accepted accounting principles, or U.S. GAAP, have been condensed or omitted pursuant to such rules and regulations. In the opinion of the Company’s management, the accompanying interim unaudited condensed consolidated financial statements include all adjustments (consisting only of normal recurring adjustments) necessary for a fair presentation of the information for the periods presented. The results for the three and nine months ended September 30, 2019, are not necessarily indicative of results to be expected for the entire year ending December 31, 2019, or future operating periods.</w:t>
      </w:r>
    </w:p>
    <w:p>
      <w:pPr>
        <w:spacing w:after="0" w:line="162" w:lineRule="exact"/>
        <w:rPr>
          <w:sz w:val="20"/>
          <w:szCs w:val="20"/>
          <w:color w:val="auto"/>
        </w:rPr>
      </w:pPr>
    </w:p>
    <w:p>
      <w:pPr>
        <w:jc w:val="both"/>
        <w:ind w:firstLine="324"/>
        <w:spacing w:after="0" w:line="187" w:lineRule="exact"/>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2018, included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with the SEC (the “2018 Form 10</w:t>
      </w:r>
      <w:r>
        <w:rPr>
          <w:rFonts w:ascii="MS PGothic" w:cs="MS PGothic" w:eastAsia="MS PGothic" w:hAnsi="MS PGothic"/>
          <w:sz w:val="18"/>
          <w:szCs w:val="18"/>
          <w:color w:val="auto"/>
        </w:rPr>
        <w:t>‑</w:t>
      </w:r>
      <w:r>
        <w:rPr>
          <w:rFonts w:ascii="Arial" w:cs="Arial" w:eastAsia="Arial" w:hAnsi="Arial"/>
          <w:sz w:val="18"/>
          <w:szCs w:val="18"/>
          <w:color w:val="auto"/>
        </w:rPr>
        <w:t>K”). The balance sheet at December 31, 2018, has been derived from the audited consolidated financial statements at that date, as filed with the 2018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The accompanying condensed consolidated financial statements include the accounts of Ardelyx, Inc. and its wholly-owned subsidiary, Ardelyx Cayman Islands, which was placed into voluntary liquidation in December 2017 and dissolved in April 2018, have been prepared in accordance with U.S. GAAP. Intercompany transactions and balances have been eliminated upon consolidation.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Errors</w:t>
      </w:r>
    </w:p>
    <w:p>
      <w:pPr>
        <w:spacing w:after="0" w:line="144"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During the second quarter of 2019, errors were identified in our consolidated financial statements for the quarter ended March 31, 2019, for year ended December 31, 2018 and for each of the quarterly periods ended March 31, 2018, June 30, 2018 and September 30, 2018. The errors were related to the accounting for clinical trial accruals and resulted in an overstatement of research and development expenses during these periods. Research and development expenses were overstated by $0.2 million, $0.9 million, $1.1 million, $1.4 million and $0.5 million for the three-month periods ended March 31, 2018, June 30, 2018, September 30, 2018, December 31, 2018 and March 31, 2019, respectively. As of December 31, 2018, accrued and other liabilities was overstated by $3.6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The Company analyzed the potential impact of these errors and concluded that while the accumulated errors were significant to the results for the three months ended June 30, 2019, a correction of the errors would not be material to any individual prior period, taking into account the requirements of the SEC Staff Accounting Bulletin No. 108, Considering the Effects of Prior Year Misstatements when Quantifying Misstatements in Current Year Financial Statements. In accordance with the authoritative guidance, management evaluated the materiality of the errors from a qualitative and quantitative perspective. Based on such evaluation, the Company concluded that correcting the cumulative errors for the year ended December 31, 2018 is expected to be immaterial to the currently estimated full year results for 2019 and a correction of the errors would not have a material impact on the periods ended March 31, 2018, June 30, 2018, September 30, 2018, December 31, 2018 and March 31, 2019 or affect the trend of financial results. Accordingly, during the second quarter of 2019, the Company reduced accrued and other liabilities by $4.1 million and recorded a cumulative adjustment of $4.1 million in the condensed consolidated statement of operations to reduce research and development expenses.</w:t>
      </w:r>
    </w:p>
    <w:p>
      <w:pPr>
        <w:spacing w:after="0" w:line="297" w:lineRule="exact"/>
        <w:rPr>
          <w:sz w:val="20"/>
          <w:szCs w:val="20"/>
          <w:color w:val="auto"/>
        </w:rPr>
      </w:pPr>
    </w:p>
    <w:p>
      <w:pPr>
        <w:ind w:right="3620"/>
        <w:spacing w:after="0" w:line="456" w:lineRule="auto"/>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judgments that affect the amounts reported in the consolidated financial statements and accompanying notes. On an ongoing basis, management evaluates its estimates, including those related to recognition of revenue, clinical trial accruals, contract manufacturing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85"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As part of the process of preparing its financial statements, the Company is required to estimate its accrued expenses. This process involves reviewing open contracts and purchase orders, communicating with its personnel to identify services that have been performed on its behalf and estimating the level of service performed and the associated cost incurred for the service when the Company has not yet been invoiced or otherwise notified of the actual cost. The majority of the Company’s service providers submit its monthly invoices in arrears for services performed or when contractual milestones are met. The Company makes estimates of its accrued expenses as of each balance sheet date in its financial statements based on facts and circumstances known to the Company at that time. The Company periodically confirms the accuracy of its estimates with the service providers and makes adjustments if necessary. Examples of estimated accrued research and development expenses include fees paid to:</w:t>
      </w:r>
    </w:p>
    <w:p>
      <w:pPr>
        <w:spacing w:after="0" w:line="162" w:lineRule="exact"/>
        <w:rPr>
          <w:sz w:val="20"/>
          <w:szCs w:val="20"/>
          <w:color w:val="auto"/>
        </w:rPr>
      </w:pPr>
    </w:p>
    <w:p>
      <w:pPr>
        <w:ind w:left="660" w:hanging="333"/>
        <w:spacing w:after="0"/>
        <w:tabs>
          <w:tab w:leader="none" w:pos="66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contract research organizations, or CROs, in connection with clinical studies;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investigative sites in connection with clinical studies;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vendors related to product manufacturing, development and distribution of clinical supplies;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vendors in connection with preclinical development activities.</w:t>
      </w:r>
    </w:p>
    <w:p>
      <w:pPr>
        <w:spacing w:after="0" w:line="18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The Company records expenses related to clinical studies and manufacturing development activities based on its estimates of the services received and efforts expended pursuant to contracts with multiple CROs and manufacturing vendors that conduct and manage these activities on its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expense. Payments under some of these contracts depend on factors such as the successful enrollment of subjects and the completion of clinical trial milestones. In accruing service fees, the Company estimates the time period over which services will be performed, enrollment of subjects, number of sites activated and the level of effort to be expended in each period. If the actual timing of the performance of services or the level of effort varies from the Company’s estimate, the Company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will adjust the accrued or prepaid expense balance accordingly. To date, there have been no material differences from the Company’s estimates to the amounts actually incurred.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 xml:space="preserve">On January 1, 2018 the Company adopted the new standard for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on a modified retrospective method as an adjustment to the opening balance of retained earnings of the annual reporting period. As a result of the adoption of the new standard, on January 1, 2018, the Company had recorded the following: (i) unbilled license revenue under current assets of $5.0 million representing a future receivable related to the first milestone under the Company’s license agreement with Kyowa Kirin Co., Ltd., or KKC (formerly known as Kyowa Hakko Kirin Co., Ltd, or KHK), which was subsequently achieved by KKC and collected in February 2019, thereby reducing the unbilled license revenue balance to zero, (ii) uncharged license fees under current liabilities of $1.0 million representing the corresponding future payable related to AstraZeneca AB, or AstraZeneca, in accordance with the Company’s termination agreement with AstraZeneca, which, upon KKC achieving the milestone, was reclassified to accounts payable and subsequently paid to AstraZeneca during the three months ended June 30, 2019, and (iii) a related decrease in accumulated deficit of approximately $4.0 million as the new standard permitted revenue from milestones that possess certain criteria to be recognized earlier and also contained different recognition criteria related to milestones than under the previous standard, </w:t>
      </w:r>
      <w:r>
        <w:rPr>
          <w:rFonts w:ascii="Arial" w:cs="Arial" w:eastAsia="Arial" w:hAnsi="Arial"/>
          <w:sz w:val="16"/>
          <w:szCs w:val="16"/>
          <w:i w:val="1"/>
          <w:iCs w:val="1"/>
          <w:color w:val="auto"/>
        </w:rPr>
        <w:t>Revenue Recognition, Multiple-Element Arrangements - Licensing revenues</w:t>
      </w:r>
      <w:r>
        <w:rPr>
          <w:rFonts w:ascii="Arial" w:cs="Arial" w:eastAsia="Arial" w:hAnsi="Arial"/>
          <w:sz w:val="16"/>
          <w:szCs w:val="16"/>
          <w:color w:val="auto"/>
        </w:rPr>
        <w:t>, ASC 605.</w:t>
      </w:r>
    </w:p>
    <w:p>
      <w:pPr>
        <w:spacing w:after="0" w:line="16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The Company enters into license agreements which are within the scope of ASC 606, under which it licenses certain rights to its product candidates to third parties. The terms of these arrangements typically include payment to the Company of one or more of the following: non-refundable, up-front license fees; development, regulatory and commercial milestone payments; and future royalties on net sales of licensed products. Each of these payments results in license, collaboration and other revenues, except for revenues from royalties on net sales of licensed products, which are classified as royalty revenues.</w:t>
      </w:r>
    </w:p>
    <w:p>
      <w:pPr>
        <w:spacing w:after="0" w:line="15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each of its agreements, the Company performs the following steps: (i) identification of the promised goods or services in the contract;</w:t>
      </w:r>
    </w:p>
    <w:p>
      <w:pPr>
        <w:spacing w:after="0" w:line="1" w:lineRule="exact"/>
        <w:rPr>
          <w:sz w:val="20"/>
          <w:szCs w:val="20"/>
          <w:color w:val="auto"/>
        </w:rPr>
      </w:pPr>
    </w:p>
    <w:p>
      <w:pPr>
        <w:jc w:val="both"/>
        <w:ind w:firstLine="3"/>
        <w:spacing w:after="0" w:line="229" w:lineRule="auto"/>
        <w:tabs>
          <w:tab w:leader="none" w:pos="271" w:val="left"/>
        </w:tabs>
        <w:numPr>
          <w:ilvl w:val="0"/>
          <w:numId w:val="5"/>
        </w:numPr>
        <w:rPr>
          <w:rFonts w:ascii="Arial" w:cs="Arial" w:eastAsia="Arial" w:hAnsi="Arial"/>
          <w:sz w:val="16"/>
          <w:szCs w:val="16"/>
          <w:color w:val="auto"/>
        </w:rPr>
      </w:pPr>
      <w:r>
        <w:rPr>
          <w:rFonts w:ascii="Arial" w:cs="Arial" w:eastAsia="Arial" w:hAnsi="Arial"/>
          <w:sz w:val="16"/>
          <w:szCs w:val="16"/>
          <w:color w:val="auto"/>
        </w:rPr>
        <w:t>determination of whether the promised goods or services are performance obligations including whether they are distinct in the context of the contract; (iii) measurement of the transaction price, including the constraint on variable consideration;</w:t>
      </w:r>
    </w:p>
    <w:p>
      <w:pPr>
        <w:jc w:val="both"/>
        <w:ind w:firstLine="3"/>
        <w:spacing w:after="0" w:line="211" w:lineRule="auto"/>
        <w:tabs>
          <w:tab w:leader="none" w:pos="338"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and (v) recognition of revenue when (or as) the Company satisfies each performance obligation. As part of the accounting for these arrangements, the Company must develop assumptions that require judgment to determine the stand-alone selling price for each performance obligation identified in the contract. The Company uses key assumptions to determine the stand-alone selling price, which may include forecasted revenues, development timelines, reimbursement rates for personnel costs, discount rates and probabilities of technical and regulatory success.</w:t>
      </w:r>
    </w:p>
    <w:p>
      <w:pPr>
        <w:spacing w:after="0" w:line="16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probable of being reached and estimates the amount to be included in the transaction price using the most likely amount method.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collaboration and other revenues and earnings in the period of adjustment.</w:t>
      </w:r>
    </w:p>
    <w:p>
      <w:pPr>
        <w:spacing w:after="0" w:line="170"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At each reporting period, the variable consideration related to the remaining development milestone payments is not included in the transaction price as these are fully constrained as of that period end date. As part of its evaluation of the constraint, the Company considers numerous factors, including that receipt of the milestones is outside the control of the Company and contingent upon success in future clinical trials and collaboration partner’s efforts. Any variable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consideration related to sales-based milestones (including royalties) will be recognized when the related sales occur as they were determined to relate predominantly to the license granted to the collaboration partner. The Company re-evaluates the transaction price in each reporting period and as uncertain events are resolved or other changes in circumstances occur.</w:t>
      </w:r>
    </w:p>
    <w:p>
      <w:pPr>
        <w:spacing w:after="0" w:line="147"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for either clinical development or commercial supply at the customer’s discretion are generally considered as options. The Company assess if these options provide a material right to the licensee and if so, they are accounted for as separate performance obligations. If the Company is entitled to additional payments when the customer exercises these options, any payments are recorded in other revenues when the customer obtains control of the goods, which is upon delivery.</w:t>
      </w:r>
    </w:p>
    <w:p>
      <w:pPr>
        <w:spacing w:after="0" w:line="16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 Activities</w:t>
      </w:r>
    </w:p>
    <w:p>
      <w:pPr>
        <w:spacing w:after="0" w:line="18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Company accounts for its derivative instruments as either assets or liabilities on the condensed balance sheet and measures them at fair value. Derivatives are adjusted to fair value through other income (expense), net in the condensed consolidated statements of operations and comprehensive loss.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44"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We determine if an arrangement is a lease at the inception of the arrangement. Operating leases are included in right-of-use assets, current portion of operating lease liability, and operating lease liability, net of current portion in our condensed balance sheets. Right-of-use assets represent our right to use an underlying asset for the lease term and lease liabilities represent our obligation to make lease payments arising from the lease. Operating lease right-of-use assets and liabilities are recognized at the lease commencement date based on the present value of lease payments over the lease term. In determining the present value of lease payments, we use our incremental borrowing rate based on the information available at the lease commencement date. The operating lease right-of-use assets also include any lease payments made and exclude lease incentives. Our lease terms may include options to extend or terminate the lease when it is reasonably certain that we will exercise any such options. Lease expense is recognized on a straight-line basis over the expected lease term.</w:t>
      </w:r>
    </w:p>
    <w:p>
      <w:pPr>
        <w:spacing w:after="0" w:line="127"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On January 1, 2019, we adopted ASU No. 2016-02, Leases (Topic 842) using the optional transition method to initially account for the impact of the adoption with a cumulative adjustment to accrued and other liabilities and other long-term liabilities. We elected the package of practical expedients, which among other things, allowed us not to reassess the following: whether any expired or existing contracts were considered or contained leases; the lease classification for any expired or existing leases; or initial direct costs for any existing leases. For our building leases, we also elected the practical expedient not to separate lease and non-lease components, such as common area maintenance charges, and instead we account for these as a single lease component.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 Recently Adopted</w:t>
      </w:r>
    </w:p>
    <w:p>
      <w:pPr>
        <w:spacing w:after="0" w:line="18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 xml:space="preserve">On January 1, 2019, the Company adopted ASU 2018-07,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(Topic 718). This update simplifies the accounting for share-based payments to non-employees by aligning it with the accounting guidance for share-based payments for employees. The ASU expands the scope of Topic 718, Compensation </w:t>
      </w:r>
      <w:r>
        <w:rPr>
          <w:rFonts w:ascii="Arial" w:cs="Arial" w:eastAsia="Arial" w:hAnsi="Arial"/>
          <w:sz w:val="16"/>
          <w:szCs w:val="16"/>
          <w:i w:val="1"/>
          <w:iCs w:val="1"/>
          <w:color w:val="auto"/>
        </w:rPr>
        <w:t>–</w:t>
      </w:r>
      <w:r>
        <w:rPr>
          <w:rFonts w:ascii="Arial" w:cs="Arial" w:eastAsia="Arial" w:hAnsi="Arial"/>
          <w:sz w:val="16"/>
          <w:szCs w:val="16"/>
          <w:color w:val="auto"/>
        </w:rPr>
        <w:t xml:space="preserve"> Stock Compensation, which currently only includes share-based payments issued to employees, to also include share-based payments issued to non-employees for goods and services. Consequently, the accounting for share-based payments to non-employees and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employees is substantially aligned. The adoption of this standard did not have a material impact on the Company’s condensed consolidated financial statements.</w:t>
      </w:r>
    </w:p>
    <w:p>
      <w:pPr>
        <w:spacing w:after="0" w:line="16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In August 2018, the SEC adopted amendments to certain disclosure requirements in Securities Act Release No. 33-10532, Disclosure Update and Simplification. These amendments eliminate, modify, or integrate into other SEC requirements certain disclosure rules. Among the amendments is the requirement to present an analysis of changes in stockholders’ equity in the interim financial statements included in quarterly reports on Form 10-Q. The analysis, which can be presented as a footnote or separate statement, is required for the current and comparative quarter and year-to-date interim periods. The amendments are effective for all filings made on or after November 5, 2018. In light of the anticipated timing of effectiveness of the amendments and expected proximity of effectiveness to the filing date for most filers’ quarterly reports, the SEC’s Division of Corporate Finance issued a Compliance and Disclosure Interpretation related to Exchange Act Forms, or CDI – Question 105.09, that provides transition guidance related to this disclosure requirement. CDI – Question 105.09 states that the SEC would not object if the filer’s first presentation of the changes in shareholders’ equity is included in its Form 10-Q for the quarter that begins after the effective date of the amendments. As such, the Company adopted these SEC amendments on November 5, 2018 and started presenting the analysis of changes in stockholders’ equity starting in its Quarterly Report on Form 10-Q for the period ended March 31, 2019. The adoption of these SEC amendments did not have a material effect on the Company’s financial position, results of operations, cash flows or shareholders’ equity.</w:t>
      </w:r>
    </w:p>
    <w:p>
      <w:pPr>
        <w:spacing w:after="0" w:line="163"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In February 2016, the FASB issued ASU No. 2016-02, Leases (Topic 842) (ASU 2016-02), as amended, which generally requires lessees to recognize operating and financing lease liabilities and corresponding right-of-use assets on the balance sheet and to provide enhanced disclosures surrounding the amount, timing and uncertainty of cash flows arising from leasing arrangements. In July 2018, the FASB issued ASU No. 2018-11, Leases (Topic 842): Targeted Improvements, or ASU No. 2018-11. In issuing ASU No. 2018-11, the FASB is permitting another transition method for ASU 2016-02, which allows the transition to the new lease standard by recognizing a cumulative-effect adjustment to the opening balance of retained earnings in the period of adoption. We elected the transition method and package of practical expedients permitted under the transition guidance, which allowed us to carryforward our historical lease classification, our assessment on whether a contract is or contains a lease, and our initial direct costs for any leases that exist prior to adoption of the new standard. We also elected to combine lease and non-lease components and to keep leases with an initial term of 12 months or less off the balance sheet and recognize the associated lease payments in the statements of operations on a straight-line basis over the lease term. We adopted the ASU on January 1, 2019 using a modified retrospective approach and recorded a right-of-use asset and a corresponding lease liability to account for our facility lease as a cumulative-effect adjustment to the opening balance of accrued and other liabilities and other long-term liabilities in the period of adoption.</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Impact of Adoption</w:t>
      </w:r>
    </w:p>
    <w:p>
      <w:pPr>
        <w:spacing w:after="0" w:line="185"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The Company, on adopting ASU 2016-02 - Leases (Topic 842) on January 1, 2019, has used the modified retrospective approach with the cumulative effect of initially applying the standard as an adjustment to the opening balance of accrued and other liabilities and other long-term liabilities. The following adjustments were recorded in the opening balance on January 1, 2019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jc w:val="right"/>
              <w:ind w:right="55"/>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5"/>
              <w:spacing w:after="0"/>
              <w:rPr>
                <w:sz w:val="20"/>
                <w:szCs w:val="20"/>
                <w:color w:val="auto"/>
              </w:rPr>
            </w:pPr>
            <w:r>
              <w:rPr>
                <w:rFonts w:ascii="Arial" w:cs="Arial" w:eastAsia="Arial" w:hAnsi="Arial"/>
                <w:sz w:val="14"/>
                <w:szCs w:val="14"/>
                <w:b w:val="1"/>
                <w:bCs w:val="1"/>
                <w:color w:val="auto"/>
                <w:w w:val="95"/>
              </w:rPr>
              <w:t>January 1,</w:t>
            </w:r>
          </w:p>
        </w:tc>
        <w:tc>
          <w:tcPr>
            <w:tcW w:w="900" w:type="dxa"/>
            <w:vAlign w:val="bottom"/>
          </w:tcPr>
          <w:p>
            <w:pPr>
              <w:spacing w:after="0"/>
              <w:rPr>
                <w:sz w:val="14"/>
                <w:szCs w:val="14"/>
                <w:color w:val="auto"/>
              </w:rPr>
            </w:pPr>
          </w:p>
        </w:tc>
      </w:tr>
      <w:tr>
        <w:trPr>
          <w:trHeight w:val="162"/>
        </w:trPr>
        <w:tc>
          <w:tcPr>
            <w:tcW w:w="920" w:type="dxa"/>
            <w:vAlign w:val="bottom"/>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Due to Topic 842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34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Right-of-use assets</w:t>
            </w: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5,810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5,810</w:t>
            </w: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3440" w:type="dxa"/>
            <w:vAlign w:val="bottom"/>
          </w:tcPr>
          <w:p>
            <w:pPr>
              <w:spacing w:after="0" w:line="176" w:lineRule="exact"/>
              <w:rPr>
                <w:sz w:val="20"/>
                <w:szCs w:val="20"/>
                <w:color w:val="auto"/>
              </w:rPr>
            </w:pPr>
            <w:r>
              <w:rPr>
                <w:rFonts w:ascii="Arial" w:cs="Arial" w:eastAsia="Arial" w:hAnsi="Arial"/>
                <w:sz w:val="18"/>
                <w:szCs w:val="18"/>
                <w:color w:val="auto"/>
              </w:rPr>
              <w:t>Current portion of operating lease liability</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1,892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1,892</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Operating lease liability, net of current portion</w:t>
            </w: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4,684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4,684</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440" w:type="dxa"/>
            <w:vAlign w:val="bottom"/>
          </w:tcPr>
          <w:p>
            <w:pPr>
              <w:spacing w:after="0" w:line="176" w:lineRule="exact"/>
              <w:rPr>
                <w:sz w:val="20"/>
                <w:szCs w:val="20"/>
                <w:color w:val="auto"/>
              </w:rPr>
            </w:pPr>
            <w:r>
              <w:rPr>
                <w:rFonts w:ascii="Arial" w:cs="Arial" w:eastAsia="Arial" w:hAnsi="Arial"/>
                <w:sz w:val="18"/>
                <w:szCs w:val="18"/>
                <w:color w:val="auto"/>
              </w:rPr>
              <w:t>Accrued and other liabilities</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12,857</w:t>
            </w:r>
          </w:p>
        </w:tc>
        <w:tc>
          <w:tcPr>
            <w:tcW w:w="16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(184)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12,673</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long-term liabilities</w:t>
            </w:r>
          </w:p>
        </w:tc>
        <w:tc>
          <w:tcPr>
            <w:tcW w:w="700" w:type="dxa"/>
            <w:vAlign w:val="bottom"/>
            <w:gridSpan w:val="2"/>
            <w:shd w:val="clear" w:color="auto" w:fill="CCEEFF"/>
          </w:tcPr>
          <w:p>
            <w:pPr>
              <w:jc w:val="right"/>
              <w:ind w:right="47"/>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(582)</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5"/>
                <w:szCs w:val="15"/>
                <w:color w:val="auto"/>
              </w:rPr>
            </w:pPr>
          </w:p>
        </w:tc>
      </w:tr>
      <w:tr>
        <w:trPr>
          <w:trHeight w:val="635"/>
        </w:trPr>
        <w:tc>
          <w:tcPr>
            <w:tcW w:w="9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34"/>
        </w:trPr>
        <w:tc>
          <w:tcPr>
            <w:tcW w:w="9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As a result of adopting Topic 842 on January 1, 2019, the following financial statement line items in the Company’s condensed balance sheet at September 30, 2019 and the condensed consolidated statement of operations and comprehensive loss for the nine months ended September 30, 2019 were affected (in thousands):</w:t>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0"/>
              </w:rPr>
              <w:t>September 30, 2019</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As Reported</w:t>
            </w:r>
          </w:p>
        </w:tc>
        <w:tc>
          <w:tcPr>
            <w:tcW w:w="160" w:type="dxa"/>
            <w:vAlign w:val="bottom"/>
          </w:tcPr>
          <w:p>
            <w:pPr>
              <w:spacing w:after="0"/>
              <w:rPr>
                <w:sz w:val="8"/>
                <w:szCs w:val="8"/>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Under Topic 840</w:t>
            </w:r>
          </w:p>
        </w:tc>
        <w:tc>
          <w:tcPr>
            <w:tcW w:w="20" w:type="dxa"/>
            <w:vAlign w:val="bottom"/>
          </w:tcPr>
          <w:p>
            <w:pPr>
              <w:spacing w:after="0"/>
              <w:rPr>
                <w:sz w:val="8"/>
                <w:szCs w:val="8"/>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Effect of Change</w:t>
            </w: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5"/>
              <w:spacing w:after="0" w:line="135" w:lineRule="exact"/>
              <w:rPr>
                <w:sz w:val="20"/>
                <w:szCs w:val="20"/>
                <w:color w:val="auto"/>
              </w:rPr>
            </w:pPr>
            <w:r>
              <w:rPr>
                <w:rFonts w:ascii="Arial" w:cs="Arial" w:eastAsia="Arial" w:hAnsi="Arial"/>
                <w:sz w:val="14"/>
                <w:szCs w:val="14"/>
                <w:b w:val="1"/>
                <w:bCs w:val="1"/>
                <w:color w:val="auto"/>
                <w:w w:val="92"/>
              </w:rPr>
              <w:t>under Topic</w:t>
            </w: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4"/>
              </w:rPr>
              <w:t>842</w:t>
            </w:r>
          </w:p>
        </w:tc>
        <w:tc>
          <w:tcPr>
            <w:tcW w:w="1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Right-of-use assets</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4,453</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7"/>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176"/>
        </w:trPr>
        <w:tc>
          <w:tcPr>
            <w:tcW w:w="3600" w:type="dxa"/>
            <w:vAlign w:val="bottom"/>
          </w:tcPr>
          <w:p>
            <w:pPr>
              <w:spacing w:after="0" w:line="176" w:lineRule="exact"/>
              <w:rPr>
                <w:sz w:val="20"/>
                <w:szCs w:val="20"/>
                <w:color w:val="auto"/>
              </w:rPr>
            </w:pPr>
            <w:r>
              <w:rPr>
                <w:rFonts w:ascii="Arial" w:cs="Arial" w:eastAsia="Arial" w:hAnsi="Arial"/>
                <w:sz w:val="18"/>
                <w:szCs w:val="18"/>
                <w:color w:val="auto"/>
              </w:rPr>
              <w:t>Current portion of operating lease liability</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2,504</w:t>
            </w:r>
          </w:p>
        </w:tc>
        <w:tc>
          <w:tcPr>
            <w:tcW w:w="160" w:type="dxa"/>
            <w:vAlign w:val="bottom"/>
          </w:tcPr>
          <w:p>
            <w:pPr>
              <w:spacing w:after="0"/>
              <w:rPr>
                <w:sz w:val="15"/>
                <w:szCs w:val="15"/>
                <w:color w:val="auto"/>
              </w:rPr>
            </w:pPr>
          </w:p>
        </w:tc>
        <w:tc>
          <w:tcPr>
            <w:tcW w:w="12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176"/>
        </w:trPr>
        <w:tc>
          <w:tcPr>
            <w:tcW w:w="3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Operating lease liability, net of current portion</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2,770</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176"/>
        </w:trPr>
        <w:tc>
          <w:tcPr>
            <w:tcW w:w="3600" w:type="dxa"/>
            <w:vAlign w:val="bottom"/>
          </w:tcPr>
          <w:p>
            <w:pPr>
              <w:spacing w:after="0" w:line="176" w:lineRule="exact"/>
              <w:rPr>
                <w:sz w:val="20"/>
                <w:szCs w:val="20"/>
                <w:color w:val="auto"/>
              </w:rPr>
            </w:pPr>
            <w:r>
              <w:rPr>
                <w:rFonts w:ascii="Arial" w:cs="Arial" w:eastAsia="Arial" w:hAnsi="Arial"/>
                <w:sz w:val="18"/>
                <w:szCs w:val="18"/>
                <w:color w:val="auto"/>
              </w:rPr>
              <w:t>Accrued and other liabilities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9,682</w:t>
            </w:r>
          </w:p>
        </w:tc>
        <w:tc>
          <w:tcPr>
            <w:tcW w:w="1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9,989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76"/>
        </w:trPr>
        <w:tc>
          <w:tcPr>
            <w:tcW w:w="3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long-term liabilities</w:t>
            </w:r>
          </w:p>
        </w:tc>
        <w:tc>
          <w:tcPr>
            <w:tcW w:w="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7"/>
              <w:spacing w:after="0" w:line="17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bl>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60" w:type="dxa"/>
            <w:vAlign w:val="bottom"/>
            <w:tcBorders>
              <w:bottom w:val="single" w:sz="8" w:color="auto"/>
            </w:tcBorders>
            <w:gridSpan w:val="6"/>
          </w:tcPr>
          <w:p>
            <w:pPr>
              <w:jc w:val="right"/>
              <w:ind w:right="919"/>
              <w:spacing w:after="0"/>
              <w:rPr>
                <w:sz w:val="20"/>
                <w:szCs w:val="20"/>
                <w:color w:val="auto"/>
              </w:rPr>
            </w:pPr>
            <w:r>
              <w:rPr>
                <w:rFonts w:ascii="Arial" w:cs="Arial" w:eastAsia="Arial" w:hAnsi="Arial"/>
                <w:sz w:val="14"/>
                <w:szCs w:val="14"/>
                <w:b w:val="1"/>
                <w:bCs w:val="1"/>
                <w:color w:val="auto"/>
              </w:rPr>
              <w:t>Nine Months Ended September 30, 2019</w:t>
            </w:r>
          </w:p>
        </w:tc>
        <w:tc>
          <w:tcPr>
            <w:tcW w:w="0" w:type="dxa"/>
            <w:vAlign w:val="bottom"/>
          </w:tcPr>
          <w:p>
            <w:pPr>
              <w:spacing w:after="0"/>
              <w:rPr>
                <w:sz w:val="1"/>
                <w:szCs w:val="1"/>
                <w:color w:val="auto"/>
              </w:rPr>
            </w:pPr>
          </w:p>
        </w:tc>
      </w:tr>
      <w:tr>
        <w:trPr>
          <w:trHeight w:val="102"/>
        </w:trPr>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gridSpan w:val="3"/>
          </w:tcPr>
          <w:p>
            <w:pPr>
              <w:jc w:val="center"/>
              <w:ind w:right="220"/>
              <w:spacing w:after="0" w:line="102" w:lineRule="exact"/>
              <w:rPr>
                <w:sz w:val="20"/>
                <w:szCs w:val="20"/>
                <w:color w:val="auto"/>
              </w:rPr>
            </w:pPr>
            <w:r>
              <w:rPr>
                <w:rFonts w:ascii="Arial" w:cs="Arial" w:eastAsia="Arial" w:hAnsi="Arial"/>
                <w:sz w:val="11"/>
                <w:szCs w:val="11"/>
                <w:b w:val="1"/>
                <w:bCs w:val="1"/>
                <w:color w:val="auto"/>
              </w:rPr>
              <w:t>As Reported under</w:t>
            </w:r>
          </w:p>
        </w:tc>
        <w:tc>
          <w:tcPr>
            <w:tcW w:w="14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Under Topic 840</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5"/>
              </w:rPr>
              <w:t>Effect of Change</w:t>
            </w:r>
          </w:p>
        </w:tc>
        <w:tc>
          <w:tcPr>
            <w:tcW w:w="0" w:type="dxa"/>
            <w:vAlign w:val="bottom"/>
          </w:tcPr>
          <w:p>
            <w:pPr>
              <w:spacing w:after="0"/>
              <w:rPr>
                <w:sz w:val="1"/>
                <w:szCs w:val="1"/>
                <w:color w:val="auto"/>
              </w:rPr>
            </w:pPr>
          </w:p>
        </w:tc>
      </w:tr>
      <w:tr>
        <w:trPr>
          <w:trHeight w:val="110"/>
        </w:trPr>
        <w:tc>
          <w:tcPr>
            <w:tcW w:w="2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Topic 842</w:t>
            </w:r>
          </w:p>
        </w:tc>
        <w:tc>
          <w:tcPr>
            <w:tcW w:w="14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68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color w:val="auto"/>
                <w:w w:val="98"/>
              </w:rPr>
              <w:t>General and administrative related</w:t>
            </w:r>
          </w:p>
        </w:tc>
        <w:tc>
          <w:tcPr>
            <w:tcW w:w="300" w:type="dxa"/>
            <w:vAlign w:val="bottom"/>
            <w:gridSpan w:val="2"/>
            <w:vMerge w:val="restart"/>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20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3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to leases</w:t>
            </w:r>
          </w:p>
        </w:tc>
        <w:tc>
          <w:tcPr>
            <w:tcW w:w="30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Stock Compensation (Topic 718): Improvements to Nonemployee</w:t>
      </w:r>
      <w:r>
        <w:rPr>
          <w:rFonts w:ascii="Arial" w:cs="Arial" w:eastAsia="Arial" w:hAnsi="Arial"/>
          <w:sz w:val="16"/>
          <w:szCs w:val="16"/>
          <w:color w:val="auto"/>
        </w:rPr>
        <w:t xml:space="preserve"> </w:t>
      </w:r>
      <w:r>
        <w:rPr>
          <w:rFonts w:ascii="Arial" w:cs="Arial" w:eastAsia="Arial" w:hAnsi="Arial"/>
          <w:sz w:val="16"/>
          <w:szCs w:val="16"/>
          <w:i w:val="1"/>
          <w:iCs w:val="1"/>
          <w:color w:val="auto"/>
        </w:rPr>
        <w:t>Share-Based Payment Accounting</w:t>
      </w:r>
      <w:r>
        <w:rPr>
          <w:rFonts w:ascii="Arial" w:cs="Arial" w:eastAsia="Arial" w:hAnsi="Arial"/>
          <w:sz w:val="16"/>
          <w:szCs w:val="16"/>
          <w:color w:val="auto"/>
        </w:rPr>
        <w:t>. ASU 2018-07 is intended to reduce the cost and complexity and to improve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for nonemployee share-based payments. ASU 2018-07 expands the scope of Topic 718, Compensation-Stock Compensation (which currently only includes share-based payments to employees) to include share-based payments issued to nonemployees for goods or services. Consequently, the accounting for share-based payments to nonemployees and employees will be substantially aligned. ASU 2018-07 supersedes Subtopic 505-50, Equity-Based Payments to Non-Employees. ASU 2018-07 is effective for the Company for fiscal years beginning after December 15, 2018, including interim periods within that fiscal year and early adoption is permitted. On January 1, 2019, we adopted ASU 2018-07 and the adoption of this standard did not have a material impact on the Company’s condensed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85" w:lineRule="exact"/>
        <w:rPr>
          <w:sz w:val="20"/>
          <w:szCs w:val="20"/>
          <w:color w:val="auto"/>
        </w:rPr>
      </w:pPr>
    </w:p>
    <w:p>
      <w:pPr>
        <w:ind w:right="60" w:firstLine="324"/>
        <w:spacing w:after="0" w:line="229" w:lineRule="auto"/>
        <w:rPr>
          <w:sz w:val="20"/>
          <w:szCs w:val="20"/>
          <w:color w:val="auto"/>
        </w:rPr>
      </w:pPr>
      <w:r>
        <w:rPr>
          <w:rFonts w:ascii="Arial" w:cs="Arial" w:eastAsia="Arial" w:hAnsi="Arial"/>
          <w:sz w:val="17"/>
          <w:szCs w:val="17"/>
          <w:color w:val="auto"/>
        </w:rPr>
        <w:t xml:space="preserve">In November 2018, the FASB issued ASU 2018-18, </w:t>
      </w:r>
      <w:r>
        <w:rPr>
          <w:rFonts w:ascii="Arial" w:cs="Arial" w:eastAsia="Arial" w:hAnsi="Arial"/>
          <w:sz w:val="17"/>
          <w:szCs w:val="17"/>
          <w:i w:val="1"/>
          <w:iCs w:val="1"/>
          <w:color w:val="auto"/>
        </w:rPr>
        <w:t>Collaborative Arrangements (Topic 808): Clarifying the Interaction</w:t>
      </w:r>
      <w:r>
        <w:rPr>
          <w:rFonts w:ascii="Arial" w:cs="Arial" w:eastAsia="Arial" w:hAnsi="Arial"/>
          <w:sz w:val="17"/>
          <w:szCs w:val="17"/>
          <w:color w:val="auto"/>
        </w:rPr>
        <w:t xml:space="preserve"> </w:t>
      </w:r>
      <w:r>
        <w:rPr>
          <w:rFonts w:ascii="Arial" w:cs="Arial" w:eastAsia="Arial" w:hAnsi="Arial"/>
          <w:sz w:val="17"/>
          <w:szCs w:val="17"/>
          <w:i w:val="1"/>
          <w:iCs w:val="1"/>
          <w:color w:val="auto"/>
        </w:rPr>
        <w:t>between Topic 808 and Topic 606</w:t>
      </w:r>
      <w:r>
        <w:rPr>
          <w:rFonts w:ascii="Arial" w:cs="Arial" w:eastAsia="Arial" w:hAnsi="Arial"/>
          <w:sz w:val="17"/>
          <w:szCs w:val="17"/>
          <w:color w:val="auto"/>
        </w:rPr>
        <w:t>. The guidance clarifies that certain transactions between collaborative arrangement</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should be accounted for as revenue under Topic 606 when the collaborative arrangement participant is a customer. For the Company, the amendment will be effective January 1, 2020. The Company is evaluating the impact this guidance will have on its consolidated financial statements and related disclosures.</w:t>
      </w:r>
    </w:p>
    <w:p>
      <w:pPr>
        <w:spacing w:after="0" w:line="161" w:lineRule="exact"/>
        <w:rPr>
          <w:sz w:val="20"/>
          <w:szCs w:val="20"/>
          <w:color w:val="auto"/>
        </w:rPr>
      </w:pPr>
    </w:p>
    <w:p>
      <w:pPr>
        <w:jc w:val="both"/>
        <w:ind w:firstLine="324"/>
        <w:spacing w:after="0" w:line="210" w:lineRule="auto"/>
        <w:rPr>
          <w:sz w:val="20"/>
          <w:szCs w:val="20"/>
          <w:color w:val="auto"/>
        </w:rPr>
      </w:pPr>
      <w:r>
        <w:rPr>
          <w:rFonts w:ascii="Arial" w:cs="Arial" w:eastAsia="Arial" w:hAnsi="Arial"/>
          <w:sz w:val="18"/>
          <w:szCs w:val="18"/>
          <w:color w:val="auto"/>
        </w:rPr>
        <w:t xml:space="preserve">In August 2018, the FASB issued ASU No. </w:t>
      </w:r>
      <w:r>
        <w:rPr>
          <w:rFonts w:ascii="Arial" w:cs="Arial" w:eastAsia="Arial" w:hAnsi="Arial"/>
          <w:sz w:val="18"/>
          <w:szCs w:val="18"/>
          <w:u w:val="single" w:color="auto"/>
          <w:color w:val="auto"/>
        </w:rPr>
        <w:t>2018-15</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Intangibles (Topic 350):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Implementation Costs Incurred in a Cloud Computing Arrangement That Is a Service Contract</w:t>
      </w:r>
      <w:r>
        <w:rPr>
          <w:rFonts w:ascii="Arial" w:cs="Arial" w:eastAsia="Arial" w:hAnsi="Arial"/>
          <w:sz w:val="18"/>
          <w:szCs w:val="18"/>
          <w:color w:val="auto"/>
        </w:rPr>
        <w:t>, which aligns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capitalizing implementation costs incurred in a hosting arrangement that is a service contract with the requirements for capitalizing implementation costs incurred to develop or obtain internal-use software. This new standard also requires customers to expense the capitalized implementation costs of a hosting arrangement that is a service contract over the term of the hosting arrangement. This ASU is effective for public companies for fiscal years beginning after December 15, 2019. This new standard can be applied either retrospectively or prospectively to all implementation costs incurred after the date of adoption. The Company is currently evaluating the impact of adoption of this ASU on its consolidated financial statements.</w:t>
      </w:r>
    </w:p>
    <w:p>
      <w:pPr>
        <w:spacing w:after="0" w:line="166"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Changes to the Disclosure Requirements for Fair Value Measurement</w:t>
      </w:r>
      <w:r>
        <w:rPr>
          <w:rFonts w:ascii="Arial" w:cs="Arial" w:eastAsia="Arial" w:hAnsi="Arial"/>
          <w:sz w:val="16"/>
          <w:szCs w:val="16"/>
          <w:color w:val="auto"/>
        </w:rPr>
        <w:t>. ASU 2018-13 considers cost and benefits, and</w:t>
      </w:r>
      <w:r>
        <w:rPr>
          <w:rFonts w:ascii="Arial" w:cs="Arial" w:eastAsia="Arial" w:hAnsi="Arial"/>
          <w:sz w:val="16"/>
          <w:szCs w:val="16"/>
          <w:i w:val="1"/>
          <w:iCs w:val="1"/>
          <w:color w:val="auto"/>
        </w:rPr>
        <w:t xml:space="preserve"> </w:t>
      </w:r>
      <w:r>
        <w:rPr>
          <w:rFonts w:ascii="Arial" w:cs="Arial" w:eastAsia="Arial" w:hAnsi="Arial"/>
          <w:sz w:val="16"/>
          <w:szCs w:val="16"/>
          <w:color w:val="auto"/>
        </w:rPr>
        <w:t>removes, modifies and adds disclosure requirements in Topic 820. The amendments on changes in unrealized gains and losses, the range and weighted average of significant unobservable inputs used to develop Level 3 fair value measurements,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and the narrative description of measurement uncertainty is to be applied prospectively for only the most recent interim or annual period presented in the initial fiscal year of adoption. All other amendments are to be applied retrospectively to all periods presented. ASU 2018-13 is effective for the Company for fiscal years beginning after December 15, 2019, including interim periods within that fiscal year and early adoption is permitted. The Company is currently assessing the impact of this standard on its consolidated financial statements.</w:t>
      </w:r>
    </w:p>
    <w:p>
      <w:pPr>
        <w:spacing w:after="0" w:line="162"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on Financial Instruments</w:t>
      </w:r>
      <w:r>
        <w:rPr>
          <w:rFonts w:ascii="Arial" w:cs="Arial" w:eastAsia="Arial" w:hAnsi="Arial"/>
          <w:sz w:val="17"/>
          <w:szCs w:val="17"/>
          <w:color w:val="auto"/>
        </w:rPr>
        <w:t>, an amendment which modifies the measurement and recognition of credit losses for</w:t>
      </w:r>
      <w:r>
        <w:rPr>
          <w:rFonts w:ascii="Arial" w:cs="Arial" w:eastAsia="Arial" w:hAnsi="Arial"/>
          <w:sz w:val="17"/>
          <w:szCs w:val="17"/>
          <w:i w:val="1"/>
          <w:iCs w:val="1"/>
          <w:color w:val="auto"/>
        </w:rPr>
        <w:t xml:space="preserve"> </w:t>
      </w:r>
      <w:r>
        <w:rPr>
          <w:rFonts w:ascii="Arial" w:cs="Arial" w:eastAsia="Arial" w:hAnsi="Arial"/>
          <w:sz w:val="17"/>
          <w:szCs w:val="17"/>
          <w:color w:val="auto"/>
        </w:rPr>
        <w:t>most financial assets and certain other instruments. The amendment updates the guidance for measuring and recording credit losses on financial assets measured at amortized cost by replacing the “incurred loss” model with an “expected loss” model. Accordingly, these financial assets will be presented at the net amount expected to be collected. The amendment also requires that credit losses related to available-for-sale debt securities be recorded as an allowance through net income rather than reducing the carrying amount under the current, other-than-temporary-impairment model. The guidance is effective for fiscal years beginning after December 15, 2019, including interim periods within those fiscal years. Early adoption is permitted for annual periods after December 15, 2018. The Company is currently evaluating the impact of adoption of this ASU on its condensed consolidated financial statements.</w:t>
      </w:r>
    </w:p>
    <w:p>
      <w:pPr>
        <w:spacing w:after="0" w:line="123"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Company has reviewed all other significant newly-issued accounting pronouncements and concluded that they either are not applicable to the Company’s operations or no material effect is expected on its condensed consolidated financial statements as a result of future adoption.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CASH, CASH EQUIVALENTS AND INVESTMENTS</w:t>
      </w:r>
    </w:p>
    <w:p>
      <w:pPr>
        <w:spacing w:after="0" w:line="18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Securities classified as cash, cash equivalents and short-term investments as of September 30, 2019 and December 31, 2018, are summarized below (in thousands). Estimated fair value is based on quoted market prices for these investments.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4"/>
                <w:szCs w:val="14"/>
                <w:b w:val="1"/>
                <w:bCs w:val="1"/>
                <w:color w:val="auto"/>
              </w:rPr>
              <w:t>September 30, 2019</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jc w:val="right"/>
              <w:ind w:right="366"/>
              <w:spacing w:after="0" w:line="129" w:lineRule="exact"/>
              <w:rPr>
                <w:sz w:val="20"/>
                <w:szCs w:val="20"/>
                <w:color w:val="auto"/>
              </w:rPr>
            </w:pPr>
            <w:r>
              <w:rPr>
                <w:rFonts w:ascii="Arial" w:cs="Arial" w:eastAsia="Arial" w:hAnsi="Arial"/>
                <w:sz w:val="14"/>
                <w:szCs w:val="14"/>
                <w:b w:val="1"/>
                <w:bCs w:val="1"/>
                <w:color w:val="auto"/>
              </w:rPr>
              <w:t>Gross Unrealized</w:t>
            </w:r>
          </w:p>
        </w:tc>
        <w:tc>
          <w:tcPr>
            <w:tcW w:w="3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ind w:right="315"/>
              <w:spacing w:after="0" w:line="129" w:lineRule="exact"/>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1"/>
                <w:szCs w:val="11"/>
                <w:color w:val="auto"/>
              </w:rPr>
            </w:pPr>
          </w:p>
        </w:tc>
        <w:tc>
          <w:tcPr>
            <w:tcW w:w="860" w:type="dxa"/>
            <w:vAlign w:val="bottom"/>
          </w:tcPr>
          <w:p>
            <w:pPr>
              <w:jc w:val="right"/>
              <w:ind w:right="6"/>
              <w:spacing w:after="0" w:line="129" w:lineRule="exact"/>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220"/>
              <w:spacing w:after="0" w:line="176" w:lineRule="exact"/>
              <w:rPr>
                <w:sz w:val="20"/>
                <w:szCs w:val="20"/>
                <w:color w:val="auto"/>
              </w:rPr>
            </w:pPr>
            <w:r>
              <w:rPr>
                <w:rFonts w:ascii="Arial" w:cs="Arial" w:eastAsia="Arial" w:hAnsi="Arial"/>
                <w:sz w:val="18"/>
                <w:szCs w:val="18"/>
                <w:color w:val="auto"/>
              </w:rPr>
              <w:t>Cash</w:t>
            </w:r>
          </w:p>
        </w:tc>
        <w:tc>
          <w:tcPr>
            <w:tcW w:w="4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3,595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89,078</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89,078</w:t>
            </w:r>
          </w:p>
        </w:tc>
        <w:tc>
          <w:tcPr>
            <w:tcW w:w="0" w:type="dxa"/>
            <w:vAlign w:val="bottom"/>
          </w:tcPr>
          <w:p>
            <w:pPr>
              <w:spacing w:after="0"/>
              <w:rPr>
                <w:sz w:val="1"/>
                <w:szCs w:val="1"/>
                <w:color w:val="auto"/>
              </w:rPr>
            </w:pPr>
          </w:p>
        </w:tc>
      </w:tr>
      <w:tr>
        <w:trPr>
          <w:trHeight w:val="169"/>
        </w:trPr>
        <w:tc>
          <w:tcPr>
            <w:tcW w:w="3280" w:type="dxa"/>
            <w:vAlign w:val="bottom"/>
          </w:tcPr>
          <w:p>
            <w:pPr>
              <w:spacing w:after="0" w:line="170" w:lineRule="exact"/>
              <w:rPr>
                <w:sz w:val="20"/>
                <w:szCs w:val="20"/>
                <w:color w:val="auto"/>
              </w:rPr>
            </w:pPr>
            <w:r>
              <w:rPr>
                <w:rFonts w:ascii="Arial" w:cs="Arial" w:eastAsia="Arial" w:hAnsi="Arial"/>
                <w:sz w:val="18"/>
                <w:szCs w:val="18"/>
                <w:color w:val="auto"/>
              </w:rPr>
              <w:t>Total cash and cash equivalents</w:t>
            </w:r>
          </w:p>
        </w:tc>
        <w:tc>
          <w:tcPr>
            <w:tcW w:w="360" w:type="dxa"/>
            <w:vAlign w:val="bottom"/>
          </w:tcPr>
          <w:p>
            <w:pPr>
              <w:spacing w:after="0"/>
              <w:rPr>
                <w:sz w:val="14"/>
                <w:szCs w:val="14"/>
                <w:color w:val="auto"/>
              </w:rPr>
            </w:pPr>
          </w:p>
        </w:tc>
        <w:tc>
          <w:tcPr>
            <w:tcW w:w="1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92,673</w:t>
            </w:r>
          </w:p>
        </w:tc>
        <w:tc>
          <w:tcPr>
            <w:tcW w:w="240" w:type="dxa"/>
            <w:vAlign w:val="bottom"/>
          </w:tcPr>
          <w:p>
            <w:pPr>
              <w:spacing w:after="0"/>
              <w:rPr>
                <w:sz w:val="14"/>
                <w:szCs w:val="14"/>
                <w:color w:val="auto"/>
              </w:rPr>
            </w:pPr>
          </w:p>
        </w:tc>
        <w:tc>
          <w:tcPr>
            <w:tcW w:w="240" w:type="dxa"/>
            <w:vAlign w:val="bottom"/>
            <w:tcBorders>
              <w:top w:val="single" w:sz="8" w:color="auto"/>
            </w:tcBorders>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860" w:type="dxa"/>
            <w:vAlign w:val="bottom"/>
            <w:tcBorders>
              <w:top w:val="single" w:sz="8" w:color="auto"/>
            </w:tcBorders>
          </w:tcPr>
          <w:p>
            <w:pPr>
              <w:jc w:val="right"/>
              <w:ind w:right="706"/>
              <w:spacing w:after="0" w:line="169" w:lineRule="exact"/>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ind w:left="80"/>
              <w:spacing w:after="0" w:line="17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80" w:type="dxa"/>
            <w:vAlign w:val="bottom"/>
            <w:tcBorders>
              <w:top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92,673</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Short-term investments</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320"/>
              <w:spacing w:after="0" w:line="176" w:lineRule="exact"/>
              <w:rPr>
                <w:sz w:val="20"/>
                <w:szCs w:val="20"/>
                <w:color w:val="auto"/>
              </w:rPr>
            </w:pPr>
            <w:r>
              <w:rPr>
                <w:rFonts w:ascii="Arial" w:cs="Arial" w:eastAsia="Arial" w:hAnsi="Arial"/>
                <w:sz w:val="18"/>
                <w:szCs w:val="18"/>
                <w:color w:val="auto"/>
              </w:rPr>
              <w:t>Corporate bonds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3,324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Commercial paper</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6,234</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6,236</w:t>
            </w:r>
          </w:p>
        </w:tc>
        <w:tc>
          <w:tcPr>
            <w:tcW w:w="0" w:type="dxa"/>
            <w:vAlign w:val="bottom"/>
          </w:tcPr>
          <w:p>
            <w:pPr>
              <w:spacing w:after="0"/>
              <w:rPr>
                <w:sz w:val="1"/>
                <w:szCs w:val="1"/>
                <w:color w:val="auto"/>
              </w:rPr>
            </w:pPr>
          </w:p>
        </w:tc>
      </w:tr>
      <w:tr>
        <w:trPr>
          <w:trHeight w:val="176"/>
        </w:trPr>
        <w:tc>
          <w:tcPr>
            <w:tcW w:w="3280" w:type="dxa"/>
            <w:vAlign w:val="bottom"/>
          </w:tcPr>
          <w:p>
            <w:pPr>
              <w:ind w:left="320"/>
              <w:spacing w:after="0" w:line="176" w:lineRule="exact"/>
              <w:rPr>
                <w:sz w:val="20"/>
                <w:szCs w:val="20"/>
                <w:color w:val="auto"/>
              </w:rPr>
            </w:pPr>
            <w:r>
              <w:rPr>
                <w:rFonts w:ascii="Arial" w:cs="Arial" w:eastAsia="Arial" w:hAnsi="Arial"/>
                <w:sz w:val="18"/>
                <w:szCs w:val="18"/>
                <w:color w:val="auto"/>
              </w:rPr>
              <w:t>Asset-backed securities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1,308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rPr>
              <w:t>Total short-term investments</w:t>
            </w: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10,866</w:t>
            </w: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w:t>
            </w:r>
          </w:p>
        </w:tc>
        <w:tc>
          <w:tcPr>
            <w:tcW w:w="2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706"/>
              <w:spacing w:after="0" w:line="169" w:lineRule="exact"/>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ind w:left="80"/>
              <w:spacing w:after="0" w:line="170"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10,870</w:t>
            </w:r>
          </w:p>
        </w:tc>
        <w:tc>
          <w:tcPr>
            <w:tcW w:w="0" w:type="dxa"/>
            <w:vAlign w:val="bottom"/>
          </w:tcPr>
          <w:p>
            <w:pPr>
              <w:spacing w:after="0"/>
              <w:rPr>
                <w:sz w:val="1"/>
                <w:szCs w:val="1"/>
                <w:color w:val="auto"/>
              </w:rPr>
            </w:pPr>
          </w:p>
        </w:tc>
      </w:tr>
      <w:tr>
        <w:trPr>
          <w:trHeight w:val="176"/>
        </w:trPr>
        <w:tc>
          <w:tcPr>
            <w:tcW w:w="3280" w:type="dxa"/>
            <w:vAlign w:val="bottom"/>
          </w:tcPr>
          <w:p>
            <w:pPr>
              <w:ind w:left="120"/>
              <w:spacing w:after="0" w:line="170" w:lineRule="exact"/>
              <w:rPr>
                <w:sz w:val="20"/>
                <w:szCs w:val="20"/>
                <w:color w:val="auto"/>
              </w:rPr>
            </w:pPr>
            <w:r>
              <w:rPr>
                <w:rFonts w:ascii="Arial" w:cs="Arial" w:eastAsia="Arial" w:hAnsi="Arial"/>
                <w:sz w:val="18"/>
                <w:szCs w:val="18"/>
                <w:color w:val="auto"/>
                <w:w w:val="99"/>
              </w:rPr>
              <w:t>Total cash equivalents and investments</w:t>
            </w:r>
          </w:p>
        </w:tc>
        <w:tc>
          <w:tcPr>
            <w:tcW w:w="36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103,539</w:t>
            </w:r>
          </w:p>
        </w:tc>
        <w:tc>
          <w:tcPr>
            <w:tcW w:w="240" w:type="dxa"/>
            <w:vAlign w:val="bottom"/>
          </w:tcPr>
          <w:p>
            <w:pPr>
              <w:spacing w:after="0"/>
              <w:rPr>
                <w:sz w:val="15"/>
                <w:szCs w:val="15"/>
                <w:color w:val="auto"/>
              </w:rPr>
            </w:pPr>
          </w:p>
        </w:tc>
        <w:tc>
          <w:tcPr>
            <w:tcW w:w="240" w:type="dxa"/>
            <w:vAlign w:val="bottom"/>
            <w:tcBorders>
              <w:bottom w:val="single" w:sz="8" w:color="auto"/>
            </w:tcBorders>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w:t>
            </w:r>
          </w:p>
        </w:tc>
        <w:tc>
          <w:tcPr>
            <w:tcW w:w="240" w:type="dxa"/>
            <w:vAlign w:val="bottom"/>
          </w:tcPr>
          <w:p>
            <w:pPr>
              <w:spacing w:after="0"/>
              <w:rPr>
                <w:sz w:val="15"/>
                <w:szCs w:val="15"/>
                <w:color w:val="auto"/>
              </w:rPr>
            </w:pPr>
          </w:p>
        </w:tc>
        <w:tc>
          <w:tcPr>
            <w:tcW w:w="860" w:type="dxa"/>
            <w:vAlign w:val="bottom"/>
            <w:tcBorders>
              <w:bottom w:val="single" w:sz="8" w:color="auto"/>
            </w:tcBorders>
          </w:tcPr>
          <w:p>
            <w:pPr>
              <w:jc w:val="right"/>
              <w:ind w:right="706"/>
              <w:spacing w:after="0" w:line="169" w:lineRule="exact"/>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ind w:left="80"/>
              <w:spacing w:after="0" w:line="17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80" w:type="dxa"/>
            <w:vAlign w:val="bottom"/>
            <w:tcBorders>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103,543</w:t>
            </w:r>
          </w:p>
        </w:tc>
        <w:tc>
          <w:tcPr>
            <w:tcW w:w="0" w:type="dxa"/>
            <w:vAlign w:val="bottom"/>
          </w:tcPr>
          <w:p>
            <w:pPr>
              <w:spacing w:after="0"/>
              <w:rPr>
                <w:sz w:val="1"/>
                <w:szCs w:val="1"/>
                <w:color w:val="auto"/>
              </w:rPr>
            </w:pPr>
          </w:p>
        </w:tc>
      </w:tr>
      <w:tr>
        <w:trPr>
          <w:trHeight w:val="810"/>
        </w:trPr>
        <w:tc>
          <w:tcPr>
            <w:tcW w:w="3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3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December 31, 2018</w:t>
            </w: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3"/>
          </w:tcPr>
          <w:p>
            <w:pPr>
              <w:ind w:left="500"/>
              <w:spacing w:after="0" w:line="129" w:lineRule="exact"/>
              <w:rPr>
                <w:sz w:val="20"/>
                <w:szCs w:val="20"/>
                <w:color w:val="auto"/>
              </w:rPr>
            </w:pPr>
            <w:r>
              <w:rPr>
                <w:rFonts w:ascii="Arial" w:cs="Arial" w:eastAsia="Arial" w:hAnsi="Arial"/>
                <w:sz w:val="14"/>
                <w:szCs w:val="14"/>
                <w:b w:val="1"/>
                <w:bCs w:val="1"/>
                <w:color w:val="auto"/>
              </w:rPr>
              <w:t>Gross Unrealized</w:t>
            </w:r>
          </w:p>
        </w:tc>
        <w:tc>
          <w:tcPr>
            <w:tcW w:w="3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Losses</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220"/>
              <w:spacing w:after="0" w:line="176" w:lineRule="exact"/>
              <w:rPr>
                <w:sz w:val="20"/>
                <w:szCs w:val="20"/>
                <w:color w:val="auto"/>
              </w:rPr>
            </w:pPr>
            <w:r>
              <w:rPr>
                <w:rFonts w:ascii="Arial" w:cs="Arial" w:eastAsia="Arial" w:hAnsi="Arial"/>
                <w:sz w:val="18"/>
                <w:szCs w:val="18"/>
                <w:color w:val="auto"/>
              </w:rPr>
              <w:t>Cash</w:t>
            </w:r>
          </w:p>
        </w:tc>
        <w:tc>
          <w:tcPr>
            <w:tcW w:w="4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3,733</w:t>
            </w:r>
          </w:p>
        </w:tc>
        <w:tc>
          <w:tcPr>
            <w:tcW w:w="240" w:type="dxa"/>
            <w:vAlign w:val="bottom"/>
          </w:tcPr>
          <w:p>
            <w:pPr>
              <w:spacing w:after="0"/>
              <w:rPr>
                <w:sz w:val="15"/>
                <w:szCs w:val="15"/>
                <w:color w:val="auto"/>
              </w:rPr>
            </w:pPr>
          </w:p>
        </w:tc>
        <w:tc>
          <w:tcPr>
            <w:tcW w:w="240" w:type="dxa"/>
            <w:vAlign w:val="bottom"/>
          </w:tcPr>
          <w:p>
            <w:pPr>
              <w:jc w:val="right"/>
              <w:ind w:right="50"/>
              <w:spacing w:after="0" w:line="176" w:lineRule="exact"/>
              <w:rPr>
                <w:sz w:val="20"/>
                <w:szCs w:val="20"/>
                <w:color w:val="auto"/>
              </w:rPr>
            </w:pPr>
            <w:r>
              <w:rPr>
                <w:rFonts w:ascii="Arial" w:cs="Arial" w:eastAsia="Arial" w:hAnsi="Arial"/>
                <w:sz w:val="18"/>
                <w:szCs w:val="18"/>
                <w:color w:val="auto"/>
                <w:w w:val="79"/>
              </w:rPr>
              <w:t>$</w:t>
            </w:r>
          </w:p>
        </w:tc>
        <w:tc>
          <w:tcPr>
            <w:tcW w:w="900" w:type="dxa"/>
            <w:vAlign w:val="bottom"/>
          </w:tcPr>
          <w:p>
            <w:pPr>
              <w:ind w:left="680"/>
              <w:spacing w:after="0" w:line="17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46"/>
              <w:spacing w:after="0" w:line="176"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00"/>
              <w:spacing w:after="0" w:line="176" w:lineRule="exact"/>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73,238</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73,238</w:t>
            </w:r>
          </w:p>
        </w:tc>
        <w:tc>
          <w:tcPr>
            <w:tcW w:w="0" w:type="dxa"/>
            <w:vAlign w:val="bottom"/>
          </w:tcPr>
          <w:p>
            <w:pPr>
              <w:spacing w:after="0"/>
              <w:rPr>
                <w:sz w:val="1"/>
                <w:szCs w:val="1"/>
                <w:color w:val="auto"/>
              </w:rPr>
            </w:pPr>
          </w:p>
        </w:tc>
      </w:tr>
      <w:tr>
        <w:trPr>
          <w:trHeight w:val="176"/>
        </w:trPr>
        <w:tc>
          <w:tcPr>
            <w:tcW w:w="3280" w:type="dxa"/>
            <w:vAlign w:val="bottom"/>
          </w:tcPr>
          <w:p>
            <w:pPr>
              <w:ind w:left="220"/>
              <w:spacing w:after="0" w:line="176" w:lineRule="exact"/>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1,797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ind w:left="680"/>
              <w:spacing w:after="0" w:line="17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gridSpan w:val="2"/>
          </w:tcPr>
          <w:p>
            <w:pPr>
              <w:jc w:val="right"/>
              <w:ind w:right="3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w w:val="99"/>
              </w:rPr>
              <w:t>Total cash equivalents and investments</w:t>
            </w:r>
          </w:p>
        </w:tc>
        <w:tc>
          <w:tcPr>
            <w:tcW w:w="3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78,768</w:t>
            </w: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80"/>
              <w:spacing w:after="0" w:line="170"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46"/>
              <w:spacing w:after="0" w:line="169" w:lineRule="exact"/>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78,768</w:t>
            </w:r>
          </w:p>
        </w:tc>
        <w:tc>
          <w:tcPr>
            <w:tcW w:w="0" w:type="dxa"/>
            <w:vAlign w:val="bottom"/>
          </w:tcPr>
          <w:p>
            <w:pPr>
              <w:spacing w:after="0"/>
              <w:rPr>
                <w:sz w:val="1"/>
                <w:szCs w:val="1"/>
                <w:color w:val="auto"/>
              </w:rPr>
            </w:pPr>
          </w:p>
        </w:tc>
      </w:tr>
      <w:tr>
        <w:trPr>
          <w:trHeight w:val="176"/>
        </w:trPr>
        <w:tc>
          <w:tcPr>
            <w:tcW w:w="3280" w:type="dxa"/>
            <w:vAlign w:val="bottom"/>
          </w:tcPr>
          <w:p>
            <w:pPr>
              <w:spacing w:after="0" w:line="176" w:lineRule="exact"/>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treasury securities</w:t>
            </w:r>
          </w:p>
        </w:tc>
        <w:tc>
          <w:tcPr>
            <w:tcW w:w="4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3,996</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176"/>
        </w:trPr>
        <w:tc>
          <w:tcPr>
            <w:tcW w:w="3280" w:type="dxa"/>
            <w:vAlign w:val="bottom"/>
          </w:tcPr>
          <w:p>
            <w:pPr>
              <w:ind w:left="220"/>
              <w:spacing w:after="0" w:line="176" w:lineRule="exact"/>
              <w:rPr>
                <w:sz w:val="20"/>
                <w:szCs w:val="20"/>
                <w:color w:val="auto"/>
              </w:rPr>
            </w:pPr>
            <w:r>
              <w:rPr>
                <w:rFonts w:ascii="Arial" w:cs="Arial" w:eastAsia="Arial" w:hAnsi="Arial"/>
                <w:sz w:val="18"/>
                <w:szCs w:val="18"/>
                <w:color w:val="auto"/>
              </w:rPr>
              <w:t>Corporate bonds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34,611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ind w:left="680"/>
              <w:spacing w:after="0" w:line="17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w w:val="99"/>
              </w:rPr>
              <w:t>(21)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34,590</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Commercial paper</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41,371</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w w:val="99"/>
              </w:rPr>
              <w:t>(14)</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41,357</w:t>
            </w:r>
          </w:p>
        </w:tc>
        <w:tc>
          <w:tcPr>
            <w:tcW w:w="0" w:type="dxa"/>
            <w:vAlign w:val="bottom"/>
          </w:tcPr>
          <w:p>
            <w:pPr>
              <w:spacing w:after="0"/>
              <w:rPr>
                <w:sz w:val="1"/>
                <w:szCs w:val="1"/>
                <w:color w:val="auto"/>
              </w:rPr>
            </w:pPr>
          </w:p>
        </w:tc>
      </w:tr>
      <w:tr>
        <w:trPr>
          <w:trHeight w:val="176"/>
        </w:trPr>
        <w:tc>
          <w:tcPr>
            <w:tcW w:w="3280" w:type="dxa"/>
            <w:vAlign w:val="bottom"/>
          </w:tcPr>
          <w:p>
            <w:pPr>
              <w:ind w:left="220"/>
              <w:spacing w:after="0" w:line="176" w:lineRule="exact"/>
              <w:rPr>
                <w:sz w:val="20"/>
                <w:szCs w:val="20"/>
                <w:color w:val="auto"/>
              </w:rPr>
            </w:pPr>
            <w:r>
              <w:rPr>
                <w:rFonts w:ascii="Arial" w:cs="Arial" w:eastAsia="Arial" w:hAnsi="Arial"/>
                <w:sz w:val="18"/>
                <w:szCs w:val="18"/>
                <w:color w:val="auto"/>
              </w:rPr>
              <w:t>Asset-backed securities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9,381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ind w:left="680"/>
              <w:spacing w:after="0" w:line="17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9,378</w:t>
            </w: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rPr>
              <w:t>Total short-term investments</w:t>
            </w:r>
          </w:p>
        </w:tc>
        <w:tc>
          <w:tcPr>
            <w:tcW w:w="3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89,359</w:t>
            </w: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680"/>
              <w:spacing w:after="0" w:line="170"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646"/>
              <w:spacing w:after="0" w:line="169" w:lineRule="exact"/>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(38)</w:t>
            </w:r>
          </w:p>
        </w:tc>
        <w:tc>
          <w:tcPr>
            <w:tcW w:w="2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89,321</w:t>
            </w:r>
          </w:p>
        </w:tc>
        <w:tc>
          <w:tcPr>
            <w:tcW w:w="0" w:type="dxa"/>
            <w:vAlign w:val="bottom"/>
          </w:tcPr>
          <w:p>
            <w:pPr>
              <w:spacing w:after="0"/>
              <w:rPr>
                <w:sz w:val="1"/>
                <w:szCs w:val="1"/>
                <w:color w:val="auto"/>
              </w:rPr>
            </w:pPr>
          </w:p>
        </w:tc>
      </w:tr>
      <w:tr>
        <w:trPr>
          <w:trHeight w:val="176"/>
        </w:trPr>
        <w:tc>
          <w:tcPr>
            <w:tcW w:w="3280" w:type="dxa"/>
            <w:vAlign w:val="bottom"/>
          </w:tcPr>
          <w:p>
            <w:pPr>
              <w:ind w:left="120"/>
              <w:spacing w:after="0" w:line="170" w:lineRule="exact"/>
              <w:rPr>
                <w:sz w:val="20"/>
                <w:szCs w:val="20"/>
                <w:color w:val="auto"/>
              </w:rPr>
            </w:pPr>
            <w:r>
              <w:rPr>
                <w:rFonts w:ascii="Arial" w:cs="Arial" w:eastAsia="Arial" w:hAnsi="Arial"/>
                <w:sz w:val="18"/>
                <w:szCs w:val="18"/>
                <w:color w:val="auto"/>
                <w:w w:val="99"/>
              </w:rPr>
              <w:t>Total cash equivalents and investments</w:t>
            </w:r>
          </w:p>
        </w:tc>
        <w:tc>
          <w:tcPr>
            <w:tcW w:w="36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168,127</w:t>
            </w:r>
          </w:p>
        </w:tc>
        <w:tc>
          <w:tcPr>
            <w:tcW w:w="240" w:type="dxa"/>
            <w:vAlign w:val="bottom"/>
          </w:tcPr>
          <w:p>
            <w:pPr>
              <w:spacing w:after="0"/>
              <w:rPr>
                <w:sz w:val="15"/>
                <w:szCs w:val="15"/>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680"/>
              <w:spacing w:after="0" w:line="17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800" w:type="dxa"/>
            <w:vAlign w:val="bottom"/>
            <w:tcBorders>
              <w:bottom w:val="single" w:sz="8" w:color="auto"/>
            </w:tcBorders>
          </w:tcPr>
          <w:p>
            <w:pPr>
              <w:jc w:val="right"/>
              <w:ind w:right="646"/>
              <w:spacing w:after="0" w:line="169" w:lineRule="exact"/>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(38)</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168,089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Cash equivalents consist of money market funds and other debt securities with original maturities of three months or less at the time of purchase, and the carrying amount is a reasonable approximation of fair value. The Company invests its cash in high quality securities of financial and commercial institutions. These securities are carried at fair value, which is based on readily available market information, with unrealized gains and losses included in “accumulated other comprehensive loss” within stockholders’ equity on the Company’s condensed balance sheets. The Company uses the specific identification method to determine the amount of realized gains or losses on sales of marketable securities. Realized gains or losses have been insignificant and are included in other income (expense), net, in the consolidated condensed statement of operations.</w:t>
      </w:r>
    </w:p>
    <w:p>
      <w:pPr>
        <w:spacing w:after="0" w:line="163"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All available-for-sale securities held as of September 30, 2019, had contractual maturities of less than one year. The Company’s available-for-sale securities are subject to a periodic impairment review. The Company considers a debt security to be impaired when its fair value is less than its carrying cost, in which case the Company would further review the investment to determine whether it is other-than-temporarily impaired. When the Company evaluates an investment for other-than-temporary impairment, the Company reviews factors such as the length of time and extent to which fair value has been below cost basis, the financial condition of the issuer and any changes thereto, intent to sell, and whether it is more likely than not the Company will be required to sell the investment before the recovery of its cost basis. If an investment is other-than-temporarily impaired, the Company writes it down through the statement of operations to its fair value and establishes that value as a new cost basis for the investment. The Company did not identify any of its available-for-sale securities as other-than-temporarily impaired in any of the periods presented. As of September 30, 2019, no investment was in a continuous unrealized loss position for more than one year and the Company believes that it is more likely than not that the investments will be held until maturity or a forecasted recovery of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89"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ind w:left="320"/>
              <w:spacing w:after="0"/>
              <w:rPr>
                <w:sz w:val="20"/>
                <w:szCs w:val="20"/>
                <w:color w:val="auto"/>
              </w:rPr>
            </w:pPr>
            <w:r>
              <w:rPr>
                <w:rFonts w:ascii="Arial" w:cs="Arial" w:eastAsia="Arial" w:hAnsi="Arial"/>
                <w:sz w:val="18"/>
                <w:szCs w:val="18"/>
                <w:color w:val="auto"/>
              </w:rPr>
              <w:t>Level 1</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800" w:type="dxa"/>
            <w:vAlign w:val="bottom"/>
          </w:tcPr>
          <w:p>
            <w:pPr>
              <w:jc w:val="right"/>
              <w:spacing w:after="0"/>
              <w:rPr>
                <w:sz w:val="20"/>
                <w:szCs w:val="20"/>
                <w:color w:val="auto"/>
              </w:rPr>
            </w:pPr>
            <w:r>
              <w:rPr>
                <w:rFonts w:ascii="Arial" w:cs="Arial" w:eastAsia="Arial" w:hAnsi="Arial"/>
                <w:sz w:val="18"/>
                <w:szCs w:val="18"/>
                <w:color w:val="auto"/>
                <w:w w:val="98"/>
              </w:rPr>
              <w:t>Valuations are based on quoted prices in active markets for identical assets or liabilities and readily</w:t>
            </w:r>
          </w:p>
        </w:tc>
      </w:tr>
      <w:tr>
        <w:trPr>
          <w:trHeight w:val="176"/>
        </w:trPr>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0" w:type="dxa"/>
            <w:vAlign w:val="bottom"/>
          </w:tcPr>
          <w:p>
            <w:pPr>
              <w:jc w:val="right"/>
              <w:spacing w:after="0" w:line="176" w:lineRule="exact"/>
              <w:rPr>
                <w:sz w:val="20"/>
                <w:szCs w:val="20"/>
                <w:color w:val="auto"/>
              </w:rPr>
            </w:pPr>
            <w:r>
              <w:rPr>
                <w:rFonts w:ascii="Arial" w:cs="Arial" w:eastAsia="Arial" w:hAnsi="Arial"/>
                <w:sz w:val="18"/>
                <w:szCs w:val="18"/>
                <w:color w:val="auto"/>
                <w:w w:val="92"/>
              </w:rPr>
              <w:t>accessible by the Company at the reporting date. Examples of assets and liabilities utilizing Level 1 inputs</w:t>
            </w:r>
          </w:p>
        </w:tc>
      </w:tr>
      <w:tr>
        <w:trPr>
          <w:trHeight w:val="176"/>
        </w:trPr>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0" w:type="dxa"/>
            <w:vAlign w:val="bottom"/>
          </w:tcPr>
          <w:p>
            <w:pPr>
              <w:jc w:val="right"/>
              <w:spacing w:after="0" w:line="176" w:lineRule="exact"/>
              <w:rPr>
                <w:sz w:val="20"/>
                <w:szCs w:val="20"/>
                <w:color w:val="auto"/>
              </w:rPr>
            </w:pPr>
            <w:r>
              <w:rPr>
                <w:rFonts w:ascii="Arial" w:cs="Arial" w:eastAsia="Arial" w:hAnsi="Arial"/>
                <w:sz w:val="18"/>
                <w:szCs w:val="18"/>
                <w:color w:val="auto"/>
                <w:w w:val="98"/>
              </w:rPr>
              <w:t>are certain money market funds, U.S. Treasuries and trading securities with quoted prices on active</w:t>
            </w:r>
          </w:p>
        </w:tc>
      </w:tr>
      <w:tr>
        <w:trPr>
          <w:trHeight w:val="230"/>
        </w:trPr>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0" w:type="dxa"/>
            <w:vAlign w:val="bottom"/>
          </w:tcPr>
          <w:p>
            <w:pPr>
              <w:ind w:left="40"/>
              <w:spacing w:after="0"/>
              <w:rPr>
                <w:sz w:val="20"/>
                <w:szCs w:val="20"/>
                <w:color w:val="auto"/>
              </w:rPr>
            </w:pPr>
            <w:r>
              <w:rPr>
                <w:rFonts w:ascii="Arial" w:cs="Arial" w:eastAsia="Arial" w:hAnsi="Arial"/>
                <w:sz w:val="18"/>
                <w:szCs w:val="18"/>
                <w:color w:val="auto"/>
              </w:rPr>
              <w:t>markets.</w:t>
            </w:r>
          </w:p>
        </w:tc>
      </w:tr>
      <w:tr>
        <w:trPr>
          <w:trHeight w:val="337"/>
        </w:trPr>
        <w:tc>
          <w:tcPr>
            <w:tcW w:w="1000" w:type="dxa"/>
            <w:vAlign w:val="bottom"/>
          </w:tcPr>
          <w:p>
            <w:pPr>
              <w:ind w:left="320"/>
              <w:spacing w:after="0"/>
              <w:rPr>
                <w:sz w:val="20"/>
                <w:szCs w:val="20"/>
                <w:color w:val="auto"/>
              </w:rPr>
            </w:pPr>
            <w:r>
              <w:rPr>
                <w:rFonts w:ascii="Arial" w:cs="Arial" w:eastAsia="Arial" w:hAnsi="Arial"/>
                <w:sz w:val="18"/>
                <w:szCs w:val="18"/>
                <w:color w:val="auto"/>
              </w:rPr>
              <w:t>Level 2</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800" w:type="dxa"/>
            <w:vAlign w:val="bottom"/>
          </w:tcPr>
          <w:p>
            <w:pPr>
              <w:jc w:val="right"/>
              <w:spacing w:after="0"/>
              <w:rPr>
                <w:sz w:val="20"/>
                <w:szCs w:val="20"/>
                <w:color w:val="auto"/>
              </w:rPr>
            </w:pPr>
            <w:r>
              <w:rPr>
                <w:rFonts w:ascii="Arial" w:cs="Arial" w:eastAsia="Arial" w:hAnsi="Arial"/>
                <w:sz w:val="18"/>
                <w:szCs w:val="18"/>
                <w:color w:val="auto"/>
                <w:w w:val="95"/>
              </w:rPr>
              <w:t>Valuations based on inputs other than Level 1 that are observable, either directly or indirectly, such as</w:t>
            </w:r>
          </w:p>
        </w:tc>
      </w:tr>
      <w:tr>
        <w:trPr>
          <w:trHeight w:val="230"/>
        </w:trPr>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0" w:type="dxa"/>
            <w:vAlign w:val="bottom"/>
          </w:tcPr>
          <w:p>
            <w:pPr>
              <w:ind w:left="40"/>
              <w:spacing w:after="0"/>
              <w:rPr>
                <w:sz w:val="20"/>
                <w:szCs w:val="20"/>
                <w:color w:val="auto"/>
              </w:rPr>
            </w:pPr>
            <w:r>
              <w:rPr>
                <w:rFonts w:ascii="Arial" w:cs="Arial" w:eastAsia="Arial" w:hAnsi="Arial"/>
                <w:sz w:val="18"/>
                <w:szCs w:val="18"/>
                <w:color w:val="auto"/>
                <w:w w:val="94"/>
              </w:rPr>
              <w:t>quoted prices for similar assets or liabilities; quoted prices in markets that are not active; or other inputs</w:t>
            </w:r>
          </w:p>
        </w:tc>
      </w:tr>
      <w:tr>
        <w:trPr>
          <w:trHeight w:val="607"/>
        </w:trPr>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0" w:type="dxa"/>
            <w:vAlign w:val="bottom"/>
          </w:tcPr>
          <w:p>
            <w:pPr>
              <w:jc w:val="right"/>
              <w:ind w:right="4350"/>
              <w:spacing w:after="0"/>
              <w:rPr>
                <w:sz w:val="20"/>
                <w:szCs w:val="20"/>
                <w:color w:val="auto"/>
              </w:rPr>
            </w:pPr>
            <w:r>
              <w:rPr>
                <w:rFonts w:ascii="Arial" w:cs="Arial" w:eastAsia="Arial" w:hAnsi="Arial"/>
                <w:sz w:val="18"/>
                <w:szCs w:val="18"/>
                <w:color w:val="auto"/>
              </w:rPr>
              <w:t>14</w:t>
            </w:r>
          </w:p>
        </w:tc>
      </w:tr>
      <w:tr>
        <w:trPr>
          <w:trHeight w:val="534"/>
        </w:trPr>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1300"/>
        <w:spacing w:after="0" w:line="224" w:lineRule="auto"/>
        <w:rPr>
          <w:sz w:val="20"/>
          <w:szCs w:val="20"/>
          <w:color w:val="auto"/>
        </w:rPr>
      </w:pPr>
      <w:r>
        <w:rPr>
          <w:rFonts w:ascii="Arial" w:cs="Arial" w:eastAsia="Arial" w:hAnsi="Arial"/>
          <w:sz w:val="18"/>
          <w:szCs w:val="18"/>
          <w:color w:val="auto"/>
        </w:rPr>
        <w:t>that are observable or can be corroborated by observable market data for substantially the full term of the assets or liabilities. Examples of assets and liabilities utilizing Level 2 inputs are corporate bonds, commercial paper, certificates of deposit and over-the-counter derivatives.</w:t>
      </w:r>
    </w:p>
    <w:p>
      <w:pPr>
        <w:sectPr>
          <w:pgSz w:w="11900" w:h="16838" w:orient="portrait"/>
          <w:cols w:equalWidth="0" w:num="1">
            <w:col w:w="9060"/>
          </w:cols>
          <w:pgMar w:left="1420" w:top="112" w:right="1419" w:bottom="1440" w:gutter="0" w:footer="0" w:header="0"/>
        </w:sectPr>
      </w:pPr>
    </w:p>
    <w:p>
      <w:pPr>
        <w:spacing w:after="0" w:line="16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hanging="195"/>
        <w:spacing w:after="0" w:line="235"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Valuations based on unobservable inputs in which there is little or no market data, which require the Company to develop its own assumptions.</w:t>
      </w:r>
    </w:p>
    <w:p>
      <w:pPr>
        <w:spacing w:after="0" w:line="162" w:lineRule="exact"/>
        <w:rPr>
          <w:sz w:val="20"/>
          <w:szCs w:val="20"/>
          <w:color w:val="auto"/>
        </w:rPr>
      </w:pPr>
    </w:p>
    <w:p>
      <w:pPr>
        <w:sectPr>
          <w:pgSz w:w="11900" w:h="16838" w:orient="portrait"/>
          <w:cols w:equalWidth="0" w:num="2">
            <w:col w:w="900" w:space="400"/>
            <w:col w:w="7760"/>
          </w:cols>
          <w:pgMar w:left="1420" w:top="112" w:right="1419" w:bottom="1440" w:gutter="0" w:footer="0" w:header="0"/>
          <w:type w:val="continuous"/>
        </w:sectPr>
      </w:pPr>
    </w:p>
    <w:p>
      <w:pPr>
        <w:jc w:val="both"/>
        <w:ind w:firstLine="324"/>
        <w:spacing w:after="0" w:line="235"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on a recurring basis by level within the fair value hierarchy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29"/>
        </w:trPr>
        <w:tc>
          <w:tcPr>
            <w:tcW w:w="3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9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1"/>
                <w:szCs w:val="11"/>
                <w:color w:val="auto"/>
              </w:rPr>
            </w:pPr>
          </w:p>
        </w:tc>
        <w:tc>
          <w:tcPr>
            <w:tcW w:w="98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1"/>
                <w:szCs w:val="11"/>
                <w:color w:val="auto"/>
              </w:rPr>
            </w:pPr>
          </w:p>
        </w:tc>
        <w:tc>
          <w:tcPr>
            <w:tcW w:w="76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Level 3</w:t>
            </w:r>
          </w:p>
        </w:tc>
      </w:tr>
      <w:tr>
        <w:trPr>
          <w:trHeight w:val="169"/>
        </w:trPr>
        <w:tc>
          <w:tcPr>
            <w:tcW w:w="37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Assets:</w:t>
            </w:r>
          </w:p>
        </w:tc>
        <w:tc>
          <w:tcPr>
            <w:tcW w:w="9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r>
      <w:tr>
        <w:trPr>
          <w:trHeight w:val="176"/>
        </w:trPr>
        <w:tc>
          <w:tcPr>
            <w:tcW w:w="3720" w:type="dxa"/>
            <w:vAlign w:val="bottom"/>
          </w:tcPr>
          <w:p>
            <w:pPr>
              <w:ind w:left="120"/>
              <w:spacing w:after="0" w:line="176" w:lineRule="exact"/>
              <w:rPr>
                <w:sz w:val="20"/>
                <w:szCs w:val="20"/>
                <w:color w:val="auto"/>
              </w:rPr>
            </w:pPr>
            <w:r>
              <w:rPr>
                <w:rFonts w:ascii="Arial" w:cs="Arial" w:eastAsia="Arial" w:hAnsi="Arial"/>
                <w:sz w:val="18"/>
                <w:szCs w:val="18"/>
                <w:color w:val="auto"/>
              </w:rPr>
              <w:t>Money market funds</w:t>
            </w:r>
          </w:p>
        </w:tc>
        <w:tc>
          <w:tcPr>
            <w:tcW w:w="112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89,078</w:t>
            </w:r>
          </w:p>
        </w:tc>
        <w:tc>
          <w:tcPr>
            <w:tcW w:w="220" w:type="dxa"/>
            <w:vAlign w:val="bottom"/>
          </w:tcPr>
          <w:p>
            <w:pPr>
              <w:spacing w:after="0"/>
              <w:rPr>
                <w:sz w:val="15"/>
                <w:szCs w:val="15"/>
                <w:color w:val="auto"/>
              </w:rPr>
            </w:pP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89,078</w:t>
            </w:r>
          </w:p>
        </w:tc>
        <w:tc>
          <w:tcPr>
            <w:tcW w:w="220" w:type="dxa"/>
            <w:vAlign w:val="bottom"/>
          </w:tcPr>
          <w:p>
            <w:pPr>
              <w:spacing w:after="0"/>
              <w:rPr>
                <w:sz w:val="15"/>
                <w:szCs w:val="15"/>
                <w:color w:val="auto"/>
              </w:rPr>
            </w:pP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7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Corporate bonds</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3,325</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3,325</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720" w:type="dxa"/>
            <w:vAlign w:val="bottom"/>
          </w:tcPr>
          <w:p>
            <w:pPr>
              <w:ind w:left="120"/>
              <w:spacing w:after="0" w:line="176" w:lineRule="exact"/>
              <w:rPr>
                <w:sz w:val="20"/>
                <w:szCs w:val="20"/>
                <w:color w:val="auto"/>
              </w:rPr>
            </w:pPr>
            <w:r>
              <w:rPr>
                <w:rFonts w:ascii="Arial" w:cs="Arial" w:eastAsia="Arial" w:hAnsi="Arial"/>
                <w:sz w:val="18"/>
                <w:szCs w:val="18"/>
                <w:color w:val="auto"/>
              </w:rPr>
              <w:t>Commercial paper</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6,236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6,236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7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Asset-backed securities</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1,309</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1,309</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720" w:type="dxa"/>
            <w:vAlign w:val="bottom"/>
            <w:tcBorders>
              <w:bottom w:val="single" w:sz="8" w:color="CCEEFF"/>
            </w:tcBorders>
          </w:tcPr>
          <w:p>
            <w:pPr>
              <w:jc w:val="center"/>
              <w:ind w:right="2830"/>
              <w:spacing w:after="0" w:line="170" w:lineRule="exact"/>
              <w:rPr>
                <w:sz w:val="20"/>
                <w:szCs w:val="20"/>
                <w:color w:val="auto"/>
              </w:rPr>
            </w:pPr>
            <w:r>
              <w:rPr>
                <w:rFonts w:ascii="Arial" w:cs="Arial" w:eastAsia="Arial" w:hAnsi="Arial"/>
                <w:sz w:val="18"/>
                <w:szCs w:val="18"/>
                <w:color w:val="auto"/>
                <w:w w:val="89"/>
              </w:rPr>
              <w:t>Total</w:t>
            </w:r>
          </w:p>
        </w:tc>
        <w:tc>
          <w:tcPr>
            <w:tcW w:w="9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99,948</w:t>
            </w:r>
          </w:p>
        </w:tc>
        <w:tc>
          <w:tcPr>
            <w:tcW w:w="2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89,078</w:t>
            </w:r>
          </w:p>
        </w:tc>
        <w:tc>
          <w:tcPr>
            <w:tcW w:w="2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10,870</w:t>
            </w:r>
          </w:p>
        </w:tc>
        <w:tc>
          <w:tcPr>
            <w:tcW w:w="2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r>
      <w:tr>
        <w:trPr>
          <w:trHeight w:val="176"/>
        </w:trPr>
        <w:tc>
          <w:tcPr>
            <w:tcW w:w="3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76"/>
        </w:trPr>
        <w:tc>
          <w:tcPr>
            <w:tcW w:w="3720" w:type="dxa"/>
            <w:vAlign w:val="bottom"/>
          </w:tcPr>
          <w:p>
            <w:pPr>
              <w:jc w:val="center"/>
              <w:ind w:right="2850"/>
              <w:spacing w:after="0" w:line="176" w:lineRule="exact"/>
              <w:rPr>
                <w:sz w:val="20"/>
                <w:szCs w:val="20"/>
                <w:color w:val="auto"/>
              </w:rPr>
            </w:pPr>
            <w:r>
              <w:rPr>
                <w:rFonts w:ascii="Arial" w:cs="Arial" w:eastAsia="Arial" w:hAnsi="Arial"/>
                <w:sz w:val="18"/>
                <w:szCs w:val="18"/>
                <w:color w:val="auto"/>
                <w:w w:val="98"/>
              </w:rPr>
              <w:t>Liabilities:</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6"/>
        </w:trPr>
        <w:tc>
          <w:tcPr>
            <w:tcW w:w="37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Derivative liability for exit fee</w:t>
            </w:r>
          </w:p>
        </w:tc>
        <w:tc>
          <w:tcPr>
            <w:tcW w:w="112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779</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779</w:t>
            </w:r>
          </w:p>
        </w:tc>
      </w:tr>
      <w:tr>
        <w:trPr>
          <w:trHeight w:val="176"/>
        </w:trPr>
        <w:tc>
          <w:tcPr>
            <w:tcW w:w="3720" w:type="dxa"/>
            <w:vAlign w:val="bottom"/>
          </w:tcPr>
          <w:p>
            <w:pPr>
              <w:jc w:val="center"/>
              <w:ind w:right="2830"/>
              <w:spacing w:after="0" w:line="170" w:lineRule="exact"/>
              <w:rPr>
                <w:sz w:val="20"/>
                <w:szCs w:val="20"/>
                <w:color w:val="auto"/>
              </w:rPr>
            </w:pPr>
            <w:r>
              <w:rPr>
                <w:rFonts w:ascii="Arial" w:cs="Arial" w:eastAsia="Arial" w:hAnsi="Arial"/>
                <w:sz w:val="18"/>
                <w:szCs w:val="18"/>
                <w:color w:val="auto"/>
                <w:w w:val="89"/>
              </w:rPr>
              <w:t>Total</w:t>
            </w:r>
          </w:p>
        </w:tc>
        <w:tc>
          <w:tcPr>
            <w:tcW w:w="9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779</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779</w:t>
            </w:r>
          </w:p>
        </w:tc>
      </w:tr>
      <w:tr>
        <w:trPr>
          <w:trHeight w:val="324"/>
        </w:trPr>
        <w:tc>
          <w:tcPr>
            <w:tcW w:w="3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29"/>
        </w:trPr>
        <w:tc>
          <w:tcPr>
            <w:tcW w:w="3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9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1"/>
                <w:szCs w:val="11"/>
                <w:color w:val="auto"/>
              </w:rPr>
            </w:pPr>
          </w:p>
        </w:tc>
        <w:tc>
          <w:tcPr>
            <w:tcW w:w="98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1"/>
                <w:szCs w:val="11"/>
                <w:color w:val="auto"/>
              </w:rPr>
            </w:pPr>
          </w:p>
        </w:tc>
        <w:tc>
          <w:tcPr>
            <w:tcW w:w="76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Level 3</w:t>
            </w:r>
          </w:p>
        </w:tc>
      </w:tr>
      <w:tr>
        <w:trPr>
          <w:trHeight w:val="169"/>
        </w:trPr>
        <w:tc>
          <w:tcPr>
            <w:tcW w:w="37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Assets:</w:t>
            </w:r>
          </w:p>
        </w:tc>
        <w:tc>
          <w:tcPr>
            <w:tcW w:w="9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r>
      <w:tr>
        <w:trPr>
          <w:trHeight w:val="176"/>
        </w:trPr>
        <w:tc>
          <w:tcPr>
            <w:tcW w:w="3720" w:type="dxa"/>
            <w:vAlign w:val="bottom"/>
          </w:tcPr>
          <w:p>
            <w:pPr>
              <w:ind w:left="120"/>
              <w:spacing w:after="0" w:line="176" w:lineRule="exact"/>
              <w:rPr>
                <w:sz w:val="20"/>
                <w:szCs w:val="20"/>
                <w:color w:val="auto"/>
              </w:rPr>
            </w:pPr>
            <w:r>
              <w:rPr>
                <w:rFonts w:ascii="Arial" w:cs="Arial" w:eastAsia="Arial" w:hAnsi="Arial"/>
                <w:sz w:val="18"/>
                <w:szCs w:val="18"/>
                <w:color w:val="auto"/>
              </w:rPr>
              <w:t>Money market funds</w:t>
            </w:r>
          </w:p>
        </w:tc>
        <w:tc>
          <w:tcPr>
            <w:tcW w:w="112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73,238</w:t>
            </w:r>
          </w:p>
        </w:tc>
        <w:tc>
          <w:tcPr>
            <w:tcW w:w="220" w:type="dxa"/>
            <w:vAlign w:val="bottom"/>
          </w:tcPr>
          <w:p>
            <w:pPr>
              <w:spacing w:after="0"/>
              <w:rPr>
                <w:sz w:val="15"/>
                <w:szCs w:val="15"/>
                <w:color w:val="auto"/>
              </w:rPr>
            </w:pP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73,238</w:t>
            </w:r>
          </w:p>
        </w:tc>
        <w:tc>
          <w:tcPr>
            <w:tcW w:w="220" w:type="dxa"/>
            <w:vAlign w:val="bottom"/>
          </w:tcPr>
          <w:p>
            <w:pPr>
              <w:spacing w:after="0"/>
              <w:rPr>
                <w:sz w:val="15"/>
                <w:szCs w:val="15"/>
                <w:color w:val="auto"/>
              </w:rPr>
            </w:pP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7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U.S. treasury securities</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3,996</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3,996</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720" w:type="dxa"/>
            <w:vAlign w:val="bottom"/>
          </w:tcPr>
          <w:p>
            <w:pPr>
              <w:ind w:left="120"/>
              <w:spacing w:after="0" w:line="176" w:lineRule="exact"/>
              <w:rPr>
                <w:sz w:val="20"/>
                <w:szCs w:val="20"/>
                <w:color w:val="auto"/>
              </w:rPr>
            </w:pPr>
            <w:r>
              <w:rPr>
                <w:rFonts w:ascii="Arial" w:cs="Arial" w:eastAsia="Arial" w:hAnsi="Arial"/>
                <w:sz w:val="18"/>
                <w:szCs w:val="18"/>
                <w:color w:val="auto"/>
              </w:rPr>
              <w:t>Corporate bonds</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34,590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34,590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7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Commercial paper</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43,154</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43,154</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720" w:type="dxa"/>
            <w:vAlign w:val="bottom"/>
          </w:tcPr>
          <w:p>
            <w:pPr>
              <w:ind w:left="120"/>
              <w:spacing w:after="0" w:line="176" w:lineRule="exact"/>
              <w:rPr>
                <w:sz w:val="20"/>
                <w:szCs w:val="20"/>
                <w:color w:val="auto"/>
              </w:rPr>
            </w:pPr>
            <w:r>
              <w:rPr>
                <w:rFonts w:ascii="Arial" w:cs="Arial" w:eastAsia="Arial" w:hAnsi="Arial"/>
                <w:sz w:val="18"/>
                <w:szCs w:val="18"/>
                <w:color w:val="auto"/>
              </w:rPr>
              <w:t>Asset-backed securities</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9,378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9,378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720" w:type="dxa"/>
            <w:vAlign w:val="bottom"/>
            <w:tcBorders>
              <w:top w:val="single" w:sz="8" w:color="CCEEFF"/>
              <w:bottom w:val="single" w:sz="8" w:color="CCEEFF"/>
            </w:tcBorders>
            <w:shd w:val="clear" w:color="auto" w:fill="CCEEFF"/>
          </w:tcPr>
          <w:p>
            <w:pPr>
              <w:jc w:val="center"/>
              <w:ind w:right="2830"/>
              <w:spacing w:after="0" w:line="170" w:lineRule="exact"/>
              <w:rPr>
                <w:sz w:val="20"/>
                <w:szCs w:val="20"/>
                <w:color w:val="auto"/>
              </w:rPr>
            </w:pPr>
            <w:r>
              <w:rPr>
                <w:rFonts w:ascii="Arial" w:cs="Arial" w:eastAsia="Arial" w:hAnsi="Arial"/>
                <w:sz w:val="18"/>
                <w:szCs w:val="18"/>
                <w:color w:val="auto"/>
                <w:w w:val="89"/>
              </w:rPr>
              <w:t>Total</w:t>
            </w:r>
          </w:p>
        </w:tc>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164,356</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77,234</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87,122</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r>
      <w:tr>
        <w:trPr>
          <w:trHeight w:val="189"/>
        </w:trPr>
        <w:tc>
          <w:tcPr>
            <w:tcW w:w="3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6"/>
        </w:trPr>
        <w:tc>
          <w:tcPr>
            <w:tcW w:w="3720" w:type="dxa"/>
            <w:vAlign w:val="bottom"/>
            <w:shd w:val="clear" w:color="auto" w:fill="CCEEFF"/>
          </w:tcPr>
          <w:p>
            <w:pPr>
              <w:jc w:val="center"/>
              <w:ind w:right="2850"/>
              <w:spacing w:after="0" w:line="176" w:lineRule="exact"/>
              <w:rPr>
                <w:sz w:val="20"/>
                <w:szCs w:val="20"/>
                <w:color w:val="auto"/>
              </w:rPr>
            </w:pPr>
            <w:r>
              <w:rPr>
                <w:rFonts w:ascii="Arial" w:cs="Arial" w:eastAsia="Arial" w:hAnsi="Arial"/>
                <w:sz w:val="18"/>
                <w:szCs w:val="18"/>
                <w:color w:val="auto"/>
                <w:w w:val="98"/>
              </w:rPr>
              <w:t>Liabilities:</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76"/>
        </w:trPr>
        <w:tc>
          <w:tcPr>
            <w:tcW w:w="3720" w:type="dxa"/>
            <w:vAlign w:val="bottom"/>
          </w:tcPr>
          <w:p>
            <w:pPr>
              <w:ind w:left="120"/>
              <w:spacing w:after="0" w:line="176" w:lineRule="exact"/>
              <w:rPr>
                <w:sz w:val="20"/>
                <w:szCs w:val="20"/>
                <w:color w:val="auto"/>
              </w:rPr>
            </w:pPr>
            <w:r>
              <w:rPr>
                <w:rFonts w:ascii="Arial" w:cs="Arial" w:eastAsia="Arial" w:hAnsi="Arial"/>
                <w:sz w:val="18"/>
                <w:szCs w:val="18"/>
                <w:color w:val="auto"/>
              </w:rPr>
              <w:t>Derivative liability for exit fee</w:t>
            </w:r>
          </w:p>
        </w:tc>
        <w:tc>
          <w:tcPr>
            <w:tcW w:w="112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533</w:t>
            </w:r>
          </w:p>
        </w:tc>
        <w:tc>
          <w:tcPr>
            <w:tcW w:w="220" w:type="dxa"/>
            <w:vAlign w:val="bottom"/>
          </w:tcPr>
          <w:p>
            <w:pPr>
              <w:spacing w:after="0"/>
              <w:rPr>
                <w:sz w:val="15"/>
                <w:szCs w:val="15"/>
                <w:color w:val="auto"/>
              </w:rPr>
            </w:pP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533</w:t>
            </w:r>
          </w:p>
        </w:tc>
      </w:tr>
      <w:tr>
        <w:trPr>
          <w:trHeight w:val="176"/>
        </w:trPr>
        <w:tc>
          <w:tcPr>
            <w:tcW w:w="37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Foreign currency derivative contracts</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720" w:type="dxa"/>
            <w:vAlign w:val="bottom"/>
          </w:tcPr>
          <w:p>
            <w:pPr>
              <w:jc w:val="center"/>
              <w:ind w:right="2830"/>
              <w:spacing w:after="0" w:line="170" w:lineRule="exact"/>
              <w:rPr>
                <w:sz w:val="20"/>
                <w:szCs w:val="20"/>
                <w:color w:val="auto"/>
              </w:rPr>
            </w:pPr>
            <w:r>
              <w:rPr>
                <w:rFonts w:ascii="Arial" w:cs="Arial" w:eastAsia="Arial" w:hAnsi="Arial"/>
                <w:sz w:val="18"/>
                <w:szCs w:val="18"/>
                <w:color w:val="auto"/>
                <w:w w:val="89"/>
              </w:rPr>
              <w:t>Total</w:t>
            </w:r>
          </w:p>
        </w:tc>
        <w:tc>
          <w:tcPr>
            <w:tcW w:w="9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585</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52</w:t>
            </w:r>
          </w:p>
        </w:tc>
        <w:tc>
          <w:tcPr>
            <w:tcW w:w="2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533</w:t>
            </w:r>
          </w:p>
        </w:tc>
      </w:tr>
    </w:tbl>
    <w:p>
      <w:pPr>
        <w:spacing w:after="0" w:line="148"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Where quoted prices are available in an active market, securities are classified as Level 1. The Company classifies money market funds, U.S. treasury securities and U.S. treasury notes as Level 1. When quoted market prices are not available for the specific security, the Company estimates fair value by using benchmark yields, reported trades, broker/dealer quotes and issuer spreads. The Company classifies corporate bonds, commercial paper, asset-backed securities and foreign currency derivative contracts as Level 2. In certain cases, where there is limited activity or less transparency around inputs to valuation, securities are classified as Level 3. There were no transfers between Level 1 and Level 2 during the periods presented.</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May 2018, pursuant to the loan and security agreement with Solar Capital Ltd. and Western Alliance Bank (see “Note</w:t>
      </w:r>
    </w:p>
    <w:p>
      <w:pPr>
        <w:spacing w:after="0" w:line="8" w:lineRule="exact"/>
        <w:rPr>
          <w:sz w:val="20"/>
          <w:szCs w:val="20"/>
          <w:color w:val="auto"/>
        </w:rPr>
      </w:pPr>
    </w:p>
    <w:p>
      <w:pPr>
        <w:jc w:val="both"/>
        <w:ind w:firstLine="3"/>
        <w:spacing w:after="0" w:line="222" w:lineRule="auto"/>
        <w:tabs>
          <w:tab w:leader="none" w:pos="188" w:val="left"/>
        </w:tabs>
        <w:numPr>
          <w:ilvl w:val="0"/>
          <w:numId w:val="7"/>
        </w:numPr>
        <w:rPr>
          <w:rFonts w:ascii="Arial" w:cs="Arial" w:eastAsia="Arial" w:hAnsi="Arial"/>
          <w:sz w:val="17"/>
          <w:szCs w:val="17"/>
          <w:color w:val="auto"/>
        </w:rPr>
      </w:pPr>
      <w:r>
        <w:rPr>
          <w:rFonts w:ascii="Arial" w:cs="Arial" w:eastAsia="Arial" w:hAnsi="Arial"/>
          <w:sz w:val="17"/>
          <w:szCs w:val="17"/>
          <w:color w:val="auto"/>
        </w:rPr>
        <w:t>Borrowings”), the Company entered into an Exit Fee Agreement under which the Company agreed to pay $1.5 million in cash, or the Exit Fee, upon any change of control transaction in respect of the Company or if the Company obtains both (i) FDA approval of tenapanor for the treatment of hyperphosphatemia in CKD patients on dialysis and (ii) FDA approval of tenapanor for the treatment of patients with IBS-C, which was obtained on September 12, 2019 when the FDA approved IBSRELA (tenapanor), a 50 mg, twice daily oral pill for the treatment of IBS-C, in adults. Notwithstanding the prepayment or termination of the Term Loan, the Company’s obligation to pay the Exit Fee will expire May 16, 2028. The Company evaluated that the Exit Fee is a freestanding derivative which should be accounted for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type w:val="continuous"/>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at fair value on a recurring basis. The estimated fair value of the Exit Fee is recorded as a derivative liability and included in accrued and other liabilities on the accompanying condensed balance sheets. As of September 30, 2019, the estimated fair value of the Exit Fee was determined to be $779,000, an increase of $246,000 compared with $533,000, the estimated fair value as of December 31, 2018, primarily as a result of changes to the inputs in the calculation including the probability of success and the time value of money, which are presented as a component of change in derivative liabilities in the Company’s condensed consolidated statements of operations.</w:t>
      </w:r>
    </w:p>
    <w:p>
      <w:pPr>
        <w:spacing w:after="0" w:line="16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The fair value of the derivative liability was determined using a discounted cash flow analysis and is classified as a Level 3 measurement within the fair value hierarchy since the Company’s valuation utilized significant unobservable inputs. Specifically, the key assumptions included in the calculation of the estimated fair value of the derivative instrument include:</w:t>
      </w:r>
    </w:p>
    <w:p>
      <w:pPr>
        <w:spacing w:after="0" w:line="2" w:lineRule="exact"/>
        <w:rPr>
          <w:sz w:val="20"/>
          <w:szCs w:val="20"/>
          <w:color w:val="auto"/>
        </w:rPr>
      </w:pPr>
    </w:p>
    <w:p>
      <w:pPr>
        <w:jc w:val="both"/>
        <w:ind w:firstLine="3"/>
        <w:spacing w:after="0" w:line="225" w:lineRule="auto"/>
        <w:tabs>
          <w:tab w:leader="none" w:pos="16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Company’s estimates of both the probability and timing of a potential $1.5 million payment to Solar Capital Ltd. and Western Alliance Bank as a result of the FDA approvals, and ii) a discount rate which was derived from the Company's estimated cost of debt. Generally, increases or decreases in the probability of occurrence would result in a directionally similar impact in the fair value measurement of the derivative instrument and it is estimated that a 10% increase (decrease) in the probability of occurrence would result in a fair value fluctuation of approximately $0.1 million.</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Changes in the fair value of recurring measurements included in Level 3 of the fair value hierarchy are presented as other income (expense), net, in the Company's condensed consolidated statements of operations and were as follows for the three and nine months ended September 30, 2019 (in thousands):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13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Estimated Fair Value</w:t>
            </w:r>
          </w:p>
        </w:tc>
      </w:tr>
      <w:tr>
        <w:trPr>
          <w:trHeight w:val="171"/>
        </w:trPr>
        <w:tc>
          <w:tcPr>
            <w:tcW w:w="1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of Derivative Liability</w:t>
            </w:r>
          </w:p>
        </w:tc>
      </w:tr>
      <w:tr>
        <w:trPr>
          <w:trHeight w:val="169"/>
        </w:trPr>
        <w:tc>
          <w:tcPr>
            <w:tcW w:w="13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1"/>
              </w:rPr>
              <w:t>Balance of Level 3</w:t>
            </w:r>
          </w:p>
        </w:tc>
        <w:tc>
          <w:tcPr>
            <w:tcW w:w="384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Liabilities at December 31, 2018</w:t>
            </w:r>
          </w:p>
        </w:tc>
        <w:tc>
          <w:tcPr>
            <w:tcW w:w="1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533</w:t>
            </w:r>
          </w:p>
        </w:tc>
        <w:tc>
          <w:tcPr>
            <w:tcW w:w="140" w:type="dxa"/>
            <w:vAlign w:val="bottom"/>
            <w:tcBorders>
              <w:top w:val="single" w:sz="8" w:color="CCEEFF"/>
            </w:tcBorders>
            <w:shd w:val="clear" w:color="auto" w:fill="CCEEFF"/>
          </w:tcPr>
          <w:p>
            <w:pPr>
              <w:spacing w:after="0"/>
              <w:rPr>
                <w:sz w:val="14"/>
                <w:szCs w:val="14"/>
                <w:color w:val="auto"/>
              </w:rPr>
            </w:pPr>
          </w:p>
        </w:tc>
      </w:tr>
      <w:tr>
        <w:trPr>
          <w:trHeight w:val="176"/>
        </w:trPr>
        <w:tc>
          <w:tcPr>
            <w:tcW w:w="5220" w:type="dxa"/>
            <w:vAlign w:val="bottom"/>
            <w:tcBorders>
              <w:bottom w:val="single" w:sz="8" w:color="CCEEFF"/>
            </w:tcBorders>
            <w:gridSpan w:val="2"/>
          </w:tcPr>
          <w:p>
            <w:pPr>
              <w:ind w:left="220"/>
              <w:spacing w:after="0" w:line="176" w:lineRule="exact"/>
              <w:rPr>
                <w:sz w:val="20"/>
                <w:szCs w:val="20"/>
                <w:color w:val="auto"/>
              </w:rPr>
            </w:pPr>
            <w:r>
              <w:rPr>
                <w:rFonts w:ascii="Arial" w:cs="Arial" w:eastAsia="Arial" w:hAnsi="Arial"/>
                <w:sz w:val="18"/>
                <w:szCs w:val="18"/>
                <w:color w:val="auto"/>
              </w:rPr>
              <w:t>Change in estimated fair value of derivative liability for exit fee</w:t>
            </w: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246</w:t>
            </w:r>
          </w:p>
        </w:tc>
        <w:tc>
          <w:tcPr>
            <w:tcW w:w="140" w:type="dxa"/>
            <w:vAlign w:val="bottom"/>
            <w:tcBorders>
              <w:bottom w:val="single" w:sz="8" w:color="CCEEFF"/>
            </w:tcBorders>
          </w:tcPr>
          <w:p>
            <w:pPr>
              <w:spacing w:after="0"/>
              <w:rPr>
                <w:sz w:val="15"/>
                <w:szCs w:val="15"/>
                <w:color w:val="auto"/>
              </w:rPr>
            </w:pPr>
          </w:p>
        </w:tc>
      </w:tr>
      <w:tr>
        <w:trPr>
          <w:trHeight w:val="176"/>
        </w:trPr>
        <w:tc>
          <w:tcPr>
            <w:tcW w:w="13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1"/>
              </w:rPr>
              <w:t>Balance of Level 3</w:t>
            </w:r>
          </w:p>
        </w:tc>
        <w:tc>
          <w:tcPr>
            <w:tcW w:w="3840" w:type="dxa"/>
            <w:vAlign w:val="bottom"/>
            <w:tcBorders>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Liabilities at September 30, 2019</w:t>
            </w: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779</w:t>
            </w:r>
          </w:p>
        </w:tc>
        <w:tc>
          <w:tcPr>
            <w:tcW w:w="14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carrying amounts reflected in the balance sheets for cash equivalents, short-term investments, accounts receivable, prepaid expenses and other current assets, accounts payable and accrued expenses approximate their fair values at both September 30, 2019 and December 31, 2018, due to their short-term nature.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FINANCIAL INSTRUMENTS</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Foreign Currency Exchange Rate Exposure</w:t>
      </w:r>
    </w:p>
    <w:p>
      <w:pPr>
        <w:spacing w:after="0" w:line="148"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The Company uses forward foreign currency exchange contracts to secure a foreign currency exchange rate when a contract is executed involving payment in a foreign currency in order to minimize cash flow exposure to fluctuating exchange rates. Such exposure results from portions of the Company’s forecasted cash outflows being denominated in currencies other than the U.S. dollar, primarily the Swiss franc. The derivative instruments the Company uses to hedge this exposure are not designated as cash flow hedges, and as a result, changes in their fair value are recorded in other income (expense), net, on the Company's condensed consolidated statements of operations and comprehensive loss. The fair values of forward foreign currency exchange contracts are estimated using current exchange rates and interest rates, and take into consideration the current creditworthiness of the counterparties.</w:t>
      </w:r>
    </w:p>
    <w:p>
      <w:pPr>
        <w:spacing w:after="0" w:line="127"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In March 2019, the Company settled its forward foreign currency exchange contract in the aggregate notional amount of Swiss francs 3.3 million. As of September 30, 2019, the Company has no open forward foreign currency exchange contracts. The net loss associated with the Company's derivative instruments of zero and $60,558 for the three and nine months ended September 30, 2019, respectively, is recognized in other income (expense), net, on the condensed consolidated statement of operations and comprehensive loss. The net loss related to such derivative instruments was $45,566 for each of the three and nine months ended September 30, 2018.</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Solar Capital and Western Alliance Bank Loan Agreement</w:t>
      </w:r>
    </w:p>
    <w:p>
      <w:pPr>
        <w:spacing w:after="0" w:line="144"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On May 16, 2018, the Company entered into a loan and security agreement, or the Loan Agreement, with Solar Capital Ltd. and Western Alliance Bank, or collectively the Lenders. The Loan Agreement provides for a $50.0 million term loan facility with a maturity date of November 1, 2022, or the Term Loan. The full amount of the loan was funded on May 16, 2018. The Company received net proceeds from the loan of approximately $49.3 million, after deducting the closing fee, legal expenses and issuance cost.</w:t>
      </w:r>
    </w:p>
    <w:p>
      <w:pPr>
        <w:spacing w:after="0" w:line="122" w:lineRule="exact"/>
        <w:rPr>
          <w:sz w:val="20"/>
          <w:szCs w:val="20"/>
          <w:color w:val="auto"/>
        </w:rPr>
      </w:pPr>
    </w:p>
    <w:p>
      <w:pPr>
        <w:jc w:val="both"/>
        <w:ind w:firstLine="324"/>
        <w:spacing w:after="0"/>
        <w:rPr>
          <w:sz w:val="20"/>
          <w:szCs w:val="20"/>
          <w:color w:val="auto"/>
        </w:rPr>
      </w:pPr>
      <w:r>
        <w:rPr>
          <w:rFonts w:ascii="Arial" w:cs="Arial" w:eastAsia="Arial" w:hAnsi="Arial"/>
          <w:sz w:val="16"/>
          <w:szCs w:val="16"/>
          <w:color w:val="auto"/>
        </w:rPr>
        <w:t>Borrowings under the Term Loan bear interest at a floating per annum rate equal to 7.45% plus the one-month LIBOR. The Company is permitted to make interest-only payments on the Term Loan through December 1, 2020 if the Company achieves its primary endpoint in the Phase 3 study of tenapanor for the treatment of hyperphosphatemia in CKD patients on dialysis, prior to June 1, 2020; otherwise, the Company is permitted to make interest-only payments on the Term Loan only through June 1, 2020. Accordingly, beginning on either June 1, 2020 or December 1, 2020, as applicable, through the maturity date, the Company will be required to make monthly payments of interest plus repayment of the Term Loan in consecutive equal monthly installments of principal. The Company paid a closing fee of 1% of the Term Loan, or $0.5 million, upon the closing of the Term Loan. The Company is obligated to pay a final fee equal to 3.95% of the Term Loan upon the earliest to occur of the maturity date, the acceleration of the Term Loan, the prepayment or repayment of the Term Loan or the termination of the Loan Agreement. The Company may voluntarily prepay the outstanding Term Loan, subject to a prepayment premium of (i) 3% of the principal amount of the Term Loan if prepaid prior to or on the first anniversary of the Closing Date, (ii) 2% of the principal amount of the Term Loan if prepaid after the first anniversary of the Closing Date through and including the second anniversary of the Closing Date, or (iii) 1% of the principal amount of the Term Loan if prepaid after the second anniversary of the Closing Date and prior to the maturity date. The Term Loan is secured by substantially all the Company’s assets, except for the Company’s intellectual property and certain other customary exclusions. Additionally, in connection with the Term Loan, the Company entered into an Exit Fee Agreement, whereby the Company agreed to pay an exit fee in the amount of 3% of the Term Loan, or the Exit Fee, upon any change of control transaction in respect of the Company or if the Company obtains both (i) FDA approval of tenapanor in the treatment of hyperphosphatemia in CKD patients on dialysis and (ii) FDA approval of tenapanor for the treatment of patients with IBS-C, which was obtained on September 12, 2019 when the FDA approved IBSRELA (tenapanor), a 50 mg, twice daily oral pill for the treatment of IBS-C, in adults. Notwithstanding the prepayment or termination of the Term Loan, the obligation to pay the Exit Fee will expire 10 years from the Closing Date.</w:t>
      </w:r>
    </w:p>
    <w:p>
      <w:pPr>
        <w:spacing w:after="0" w:line="174"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The Loan Agreement contains customary representations and warranties and customary affirmative and negative covenants. Additionally, if the Company elects to enter into an exclusive license agreement for the use of its intellectual property in the United States (other than for tenapanor for hyperphosphatemia or for the Company’s FXR and TGR5 agonist programs) and has not obtained the written consent of the Lenders to enter into such license agreement, the Company has agreed to maintain unrestricted cash and cash equivalents of at least $50.0 million, until the Company achieves its primary endpoint in the second Phase 3 study of tenapanor for the treatment of hyperphosphatemia in end-stage renal disease patients on dialysis. As of September 30, 2019, the Company was in compliance with all of the covenants set forth in the Loan Agreement.</w:t>
      </w:r>
    </w:p>
    <w:p>
      <w:pPr>
        <w:spacing w:after="0" w:line="124"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In addition, the Loan Agreement contains customary events of default that entitle the Lender to cause the Company’s indebtedness under the Loan Agreement to become immediately due and payable, and to exercise remedies against the Company and the collateral securing the Term Loan, including its cash. Upon the occurrence and for the duration of an event of default, an additional default interest rate equal to 4.0% per annum will apply to all obligations owed under the Loan Agreement. As of September 30, 2019, to the Company’s knowledge, there were no facts or circumstances in existence giving rise to an event of default.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As of September 30, 2019, assuming the principal payments start on December 1, 2020, the Company’s future debt payment obligations towards the principal and final fee, excluding interest payments and exit fee, for the respective fiscal years are as follows (in thousands):</w:t>
      </w:r>
    </w:p>
    <w:p>
      <w:pPr>
        <w:spacing w:after="0" w:line="133"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5960" w:type="dxa"/>
            <w:vAlign w:val="bottom"/>
          </w:tcPr>
          <w:p>
            <w:pPr>
              <w:spacing w:after="0" w:line="176" w:lineRule="exact"/>
              <w:rPr>
                <w:sz w:val="20"/>
                <w:szCs w:val="20"/>
                <w:color w:val="auto"/>
              </w:rPr>
            </w:pPr>
            <w:r>
              <w:rPr>
                <w:rFonts w:ascii="Arial" w:cs="Arial" w:eastAsia="Arial" w:hAnsi="Arial"/>
                <w:sz w:val="18"/>
                <w:szCs w:val="18"/>
                <w:color w:val="auto"/>
              </w:rPr>
              <w:t>2020</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2,083</w:t>
            </w:r>
          </w:p>
        </w:tc>
      </w:tr>
      <w:tr>
        <w:trPr>
          <w:trHeight w:val="176"/>
        </w:trPr>
        <w:tc>
          <w:tcPr>
            <w:tcW w:w="5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25,000</w:t>
            </w:r>
          </w:p>
        </w:tc>
      </w:tr>
      <w:tr>
        <w:trPr>
          <w:trHeight w:val="176"/>
        </w:trPr>
        <w:tc>
          <w:tcPr>
            <w:tcW w:w="59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24,892</w:t>
            </w:r>
          </w:p>
        </w:tc>
      </w:tr>
      <w:tr>
        <w:trPr>
          <w:trHeight w:val="169"/>
        </w:trPr>
        <w:tc>
          <w:tcPr>
            <w:tcW w:w="5960" w:type="dxa"/>
            <w:vAlign w:val="bottom"/>
            <w:shd w:val="clear" w:color="auto" w:fill="CCEEFF"/>
          </w:tcPr>
          <w:p>
            <w:pPr>
              <w:ind w:left="100"/>
              <w:spacing w:after="0" w:line="170" w:lineRule="exact"/>
              <w:rPr>
                <w:sz w:val="20"/>
                <w:szCs w:val="20"/>
                <w:color w:val="auto"/>
              </w:rPr>
            </w:pPr>
            <w:r>
              <w:rPr>
                <w:rFonts w:ascii="Arial" w:cs="Arial" w:eastAsia="Arial" w:hAnsi="Arial"/>
                <w:sz w:val="18"/>
                <w:szCs w:val="18"/>
                <w:color w:val="auto"/>
              </w:rPr>
              <w:t>Total principal and final fee payments</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51,975</w:t>
            </w:r>
          </w:p>
        </w:tc>
      </w:tr>
      <w:tr>
        <w:trPr>
          <w:trHeight w:val="176"/>
        </w:trPr>
        <w:tc>
          <w:tcPr>
            <w:tcW w:w="5960" w:type="dxa"/>
            <w:vAlign w:val="bottom"/>
          </w:tcPr>
          <w:p>
            <w:pPr>
              <w:spacing w:after="0" w:line="176" w:lineRule="exact"/>
              <w:rPr>
                <w:sz w:val="20"/>
                <w:szCs w:val="20"/>
                <w:color w:val="auto"/>
              </w:rPr>
            </w:pPr>
            <w:r>
              <w:rPr>
                <w:rFonts w:ascii="Arial" w:cs="Arial" w:eastAsia="Arial" w:hAnsi="Arial"/>
                <w:sz w:val="18"/>
                <w:szCs w:val="18"/>
                <w:color w:val="auto"/>
              </w:rPr>
              <w:t>Less: Unamortized discount and debt issuance costs</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(827)</w:t>
            </w:r>
          </w:p>
        </w:tc>
      </w:tr>
      <w:tr>
        <w:trPr>
          <w:trHeight w:val="176"/>
        </w:trPr>
        <w:tc>
          <w:tcPr>
            <w:tcW w:w="5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Less: Unaccreted value of final fee</w:t>
            </w:r>
          </w:p>
        </w:tc>
        <w:tc>
          <w:tcPr>
            <w:tcW w:w="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(1,345)</w:t>
            </w:r>
          </w:p>
        </w:tc>
      </w:tr>
      <w:tr>
        <w:trPr>
          <w:trHeight w:val="176"/>
        </w:trPr>
        <w:tc>
          <w:tcPr>
            <w:tcW w:w="5960" w:type="dxa"/>
            <w:vAlign w:val="bottom"/>
          </w:tcPr>
          <w:p>
            <w:pPr>
              <w:ind w:left="100"/>
              <w:spacing w:after="0" w:line="170" w:lineRule="exact"/>
              <w:rPr>
                <w:sz w:val="20"/>
                <w:szCs w:val="20"/>
                <w:color w:val="auto"/>
              </w:rPr>
            </w:pPr>
            <w:r>
              <w:rPr>
                <w:rFonts w:ascii="Arial" w:cs="Arial" w:eastAsia="Arial" w:hAnsi="Arial"/>
                <w:sz w:val="18"/>
                <w:szCs w:val="18"/>
                <w:color w:val="auto"/>
              </w:rPr>
              <w:t>Loan payable, long term</w:t>
            </w: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225"/>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49,803</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56"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The Company has obtained the right of use for office space assets under two operating lease agreements. The Company has evaluated its facility leases and determined that, effective upon the adoption of Topic 842, the leases evaluated are all operating leases. The Company has performed an evaluation of its other contracts with suppliers and collaborators in accordance with Topic 842 and has determined that, except for the facility leases described below, none of the Company’s contracts contain a lease.</w:t>
      </w:r>
    </w:p>
    <w:p>
      <w:pPr>
        <w:spacing w:after="0" w:line="54"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The Company obtained the right of use of office space located in Fremont, CA under a lease agreement entered into in September 2008, which was most recently amended in April 2016. The office space consists of 72,500 square feet, that includes an additional 10,716 square feet added in September 2019, with the entire lease terminating on September 10, 2021. The Company has an option to extend the term by five years as to the entire premises, by giving written notice of its election to exercise such option at least twelve months but not more than eighteen months prior to the end of the expiration of the lease term. This option to extend the lease term by five years has not been included in the calculation since currently the exercise of the option is uncertain and therefore deemed not probable. The Company also obtained the right of use of 3,250 square feet of office space located in Waltham, MA in October 2018 that terminates on September 30, 2021.</w:t>
      </w:r>
    </w:p>
    <w:p>
      <w:pPr>
        <w:spacing w:after="0" w:line="5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All of the Company’s leases are operating leases. Certain of the leases have both lease and non-lease components. The Company has elected to account for each separate lease component and the non-lease components associated with that lease component as a single lease component for all classes of underlying assets. As of September 30, 2019, the weighted average discount rate used for the calculations was 12.99% and the weighted average remaining lease term was 2.0 years.</w:t>
      </w:r>
    </w:p>
    <w:p>
      <w:pPr>
        <w:spacing w:after="0" w:line="47"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 following table provides additional details of the leases presented in the balance sheets (in thousands except remaining life and discount rate):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2019</w:t>
            </w:r>
          </w:p>
        </w:tc>
        <w:tc>
          <w:tcPr>
            <w:tcW w:w="460" w:type="dxa"/>
            <w:vAlign w:val="bottom"/>
          </w:tcPr>
          <w:p>
            <w:pPr>
              <w:spacing w:after="0"/>
              <w:rPr>
                <w:sz w:val="14"/>
                <w:szCs w:val="14"/>
                <w:color w:val="auto"/>
              </w:rPr>
            </w:pPr>
          </w:p>
        </w:tc>
      </w:tr>
      <w:tr>
        <w:trPr>
          <w:trHeight w:val="169"/>
        </w:trPr>
        <w:tc>
          <w:tcPr>
            <w:tcW w:w="460" w:type="dxa"/>
            <w:vAlign w:val="bottom"/>
          </w:tcPr>
          <w:p>
            <w:pPr>
              <w:spacing w:after="0"/>
              <w:rPr>
                <w:sz w:val="14"/>
                <w:szCs w:val="14"/>
                <w:color w:val="auto"/>
              </w:rPr>
            </w:pPr>
          </w:p>
        </w:tc>
        <w:tc>
          <w:tcPr>
            <w:tcW w:w="37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Facilities</w:t>
            </w:r>
          </w:p>
        </w:tc>
        <w:tc>
          <w:tcPr>
            <w:tcW w:w="18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460" w:type="dxa"/>
            <w:vAlign w:val="bottom"/>
          </w:tcPr>
          <w:p>
            <w:pPr>
              <w:spacing w:after="0"/>
              <w:rPr>
                <w:sz w:val="14"/>
                <w:szCs w:val="14"/>
                <w:color w:val="auto"/>
              </w:rPr>
            </w:pPr>
          </w:p>
        </w:tc>
      </w:tr>
      <w:tr>
        <w:trPr>
          <w:trHeight w:val="176"/>
        </w:trPr>
        <w:tc>
          <w:tcPr>
            <w:tcW w:w="460" w:type="dxa"/>
            <w:vAlign w:val="bottom"/>
          </w:tcPr>
          <w:p>
            <w:pPr>
              <w:spacing w:after="0"/>
              <w:rPr>
                <w:sz w:val="15"/>
                <w:szCs w:val="15"/>
                <w:color w:val="auto"/>
              </w:rPr>
            </w:pPr>
          </w:p>
        </w:tc>
        <w:tc>
          <w:tcPr>
            <w:tcW w:w="3780" w:type="dxa"/>
            <w:vAlign w:val="bottom"/>
          </w:tcPr>
          <w:p>
            <w:pPr>
              <w:ind w:left="220"/>
              <w:spacing w:after="0" w:line="176" w:lineRule="exact"/>
              <w:rPr>
                <w:sz w:val="20"/>
                <w:szCs w:val="20"/>
                <w:color w:val="auto"/>
              </w:rPr>
            </w:pPr>
            <w:r>
              <w:rPr>
                <w:rFonts w:ascii="Arial" w:cs="Arial" w:eastAsia="Arial" w:hAnsi="Arial"/>
                <w:sz w:val="18"/>
                <w:szCs w:val="18"/>
                <w:color w:val="auto"/>
              </w:rPr>
              <w:t>Right of use assets</w:t>
            </w:r>
          </w:p>
        </w:tc>
        <w:tc>
          <w:tcPr>
            <w:tcW w:w="2060" w:type="dxa"/>
            <w:vAlign w:val="bottom"/>
            <w:gridSpan w:val="2"/>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660" w:type="dxa"/>
            <w:vAlign w:val="bottom"/>
          </w:tcPr>
          <w:p>
            <w:pPr>
              <w:ind w:left="1200"/>
              <w:spacing w:after="0" w:line="176" w:lineRule="exact"/>
              <w:rPr>
                <w:sz w:val="20"/>
                <w:szCs w:val="20"/>
                <w:color w:val="auto"/>
              </w:rPr>
            </w:pPr>
            <w:r>
              <w:rPr>
                <w:rFonts w:ascii="Arial" w:cs="Arial" w:eastAsia="Arial" w:hAnsi="Arial"/>
                <w:sz w:val="18"/>
                <w:szCs w:val="18"/>
                <w:color w:val="auto"/>
                <w:w w:val="97"/>
              </w:rPr>
              <w:t>4,453</w:t>
            </w: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460" w:type="dxa"/>
            <w:vAlign w:val="bottom"/>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460" w:type="dxa"/>
            <w:vAlign w:val="bottom"/>
          </w:tcPr>
          <w:p>
            <w:pPr>
              <w:spacing w:after="0"/>
              <w:rPr>
                <w:sz w:val="15"/>
                <w:szCs w:val="15"/>
                <w:color w:val="auto"/>
              </w:rPr>
            </w:pPr>
          </w:p>
        </w:tc>
        <w:tc>
          <w:tcPr>
            <w:tcW w:w="3780" w:type="dxa"/>
            <w:vAlign w:val="bottom"/>
          </w:tcPr>
          <w:p>
            <w:pPr>
              <w:ind w:left="220"/>
              <w:spacing w:after="0" w:line="176" w:lineRule="exact"/>
              <w:rPr>
                <w:sz w:val="20"/>
                <w:szCs w:val="20"/>
                <w:color w:val="auto"/>
              </w:rPr>
            </w:pPr>
            <w:r>
              <w:rPr>
                <w:rFonts w:ascii="Arial" w:cs="Arial" w:eastAsia="Arial" w:hAnsi="Arial"/>
                <w:sz w:val="18"/>
                <w:szCs w:val="18"/>
                <w:color w:val="auto"/>
              </w:rPr>
              <w:t>Current portion of lease liabilities</w:t>
            </w: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ind w:left="1200"/>
              <w:spacing w:after="0" w:line="176" w:lineRule="exact"/>
              <w:rPr>
                <w:sz w:val="20"/>
                <w:szCs w:val="20"/>
                <w:color w:val="auto"/>
              </w:rPr>
            </w:pPr>
            <w:r>
              <w:rPr>
                <w:rFonts w:ascii="Arial" w:cs="Arial" w:eastAsia="Arial" w:hAnsi="Arial"/>
                <w:sz w:val="18"/>
                <w:szCs w:val="18"/>
                <w:color w:val="auto"/>
                <w:w w:val="97"/>
              </w:rPr>
              <w:t>2,504</w:t>
            </w: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460" w:type="dxa"/>
            <w:vAlign w:val="bottom"/>
          </w:tcPr>
          <w:p>
            <w:pPr>
              <w:spacing w:after="0"/>
              <w:rPr>
                <w:sz w:val="15"/>
                <w:szCs w:val="15"/>
                <w:color w:val="auto"/>
              </w:rPr>
            </w:pPr>
          </w:p>
        </w:tc>
        <w:tc>
          <w:tcPr>
            <w:tcW w:w="37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Operating lease liability, net of current portion</w:t>
            </w:r>
          </w:p>
        </w:tc>
        <w:tc>
          <w:tcPr>
            <w:tcW w:w="18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ind w:left="1200"/>
              <w:spacing w:after="0" w:line="176" w:lineRule="exact"/>
              <w:rPr>
                <w:sz w:val="20"/>
                <w:szCs w:val="20"/>
                <w:color w:val="auto"/>
              </w:rPr>
            </w:pPr>
            <w:r>
              <w:rPr>
                <w:rFonts w:ascii="Arial" w:cs="Arial" w:eastAsia="Arial" w:hAnsi="Arial"/>
                <w:sz w:val="18"/>
                <w:szCs w:val="18"/>
                <w:color w:val="auto"/>
                <w:w w:val="97"/>
              </w:rPr>
              <w:t>2,770</w:t>
            </w:r>
          </w:p>
        </w:tc>
        <w:tc>
          <w:tcPr>
            <w:tcW w:w="640" w:type="dxa"/>
            <w:vAlign w:val="bottom"/>
            <w:shd w:val="clear" w:color="auto" w:fill="CCEEFF"/>
          </w:tcPr>
          <w:p>
            <w:pPr>
              <w:spacing w:after="0"/>
              <w:rPr>
                <w:sz w:val="15"/>
                <w:szCs w:val="15"/>
                <w:color w:val="auto"/>
              </w:rPr>
            </w:pPr>
          </w:p>
        </w:tc>
        <w:tc>
          <w:tcPr>
            <w:tcW w:w="460" w:type="dxa"/>
            <w:vAlign w:val="bottom"/>
          </w:tcPr>
          <w:p>
            <w:pPr>
              <w:spacing w:after="0"/>
              <w:rPr>
                <w:sz w:val="15"/>
                <w:szCs w:val="15"/>
                <w:color w:val="auto"/>
              </w:rPr>
            </w:pPr>
          </w:p>
        </w:tc>
      </w:tr>
      <w:tr>
        <w:trPr>
          <w:trHeight w:val="169"/>
        </w:trPr>
        <w:tc>
          <w:tcPr>
            <w:tcW w:w="460" w:type="dxa"/>
            <w:vAlign w:val="bottom"/>
          </w:tcPr>
          <w:p>
            <w:pPr>
              <w:spacing w:after="0"/>
              <w:rPr>
                <w:sz w:val="14"/>
                <w:szCs w:val="14"/>
                <w:color w:val="auto"/>
              </w:rPr>
            </w:pPr>
          </w:p>
        </w:tc>
        <w:tc>
          <w:tcPr>
            <w:tcW w:w="3780" w:type="dxa"/>
            <w:vAlign w:val="bottom"/>
          </w:tcPr>
          <w:p>
            <w:pPr>
              <w:ind w:left="320"/>
              <w:spacing w:after="0" w:line="170" w:lineRule="exact"/>
              <w:rPr>
                <w:sz w:val="20"/>
                <w:szCs w:val="20"/>
                <w:color w:val="auto"/>
              </w:rPr>
            </w:pPr>
            <w:r>
              <w:rPr>
                <w:rFonts w:ascii="Arial" w:cs="Arial" w:eastAsia="Arial" w:hAnsi="Arial"/>
                <w:sz w:val="18"/>
                <w:szCs w:val="18"/>
                <w:color w:val="auto"/>
              </w:rPr>
              <w:t>Total liabilities</w:t>
            </w:r>
          </w:p>
        </w:tc>
        <w:tc>
          <w:tcPr>
            <w:tcW w:w="1840" w:type="dxa"/>
            <w:vAlign w:val="bottom"/>
          </w:tcPr>
          <w:p>
            <w:pPr>
              <w:spacing w:after="0"/>
              <w:rPr>
                <w:sz w:val="14"/>
                <w:szCs w:val="14"/>
                <w:color w:val="auto"/>
              </w:rPr>
            </w:pPr>
          </w:p>
        </w:tc>
        <w:tc>
          <w:tcPr>
            <w:tcW w:w="220" w:type="dxa"/>
            <w:vAlign w:val="bottom"/>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1660" w:type="dxa"/>
            <w:vAlign w:val="bottom"/>
          </w:tcPr>
          <w:p>
            <w:pPr>
              <w:ind w:left="1200"/>
              <w:spacing w:after="0" w:line="170" w:lineRule="exact"/>
              <w:rPr>
                <w:sz w:val="20"/>
                <w:szCs w:val="20"/>
                <w:color w:val="auto"/>
              </w:rPr>
            </w:pPr>
            <w:r>
              <w:rPr>
                <w:rFonts w:ascii="Arial" w:cs="Arial" w:eastAsia="Arial" w:hAnsi="Arial"/>
                <w:sz w:val="18"/>
                <w:szCs w:val="18"/>
                <w:color w:val="auto"/>
                <w:w w:val="97"/>
              </w:rPr>
              <w:t>5,274</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6"/>
        </w:trPr>
        <w:tc>
          <w:tcPr>
            <w:tcW w:w="460" w:type="dxa"/>
            <w:vAlign w:val="bottom"/>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tcPr>
          <w:p>
            <w:pPr>
              <w:spacing w:after="0"/>
              <w:rPr>
                <w:sz w:val="15"/>
                <w:szCs w:val="15"/>
                <w:color w:val="auto"/>
              </w:rPr>
            </w:pPr>
          </w:p>
        </w:tc>
      </w:tr>
      <w:tr>
        <w:trPr>
          <w:trHeight w:val="216"/>
        </w:trPr>
        <w:tc>
          <w:tcPr>
            <w:tcW w:w="4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Weighted-average remaining life</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2"/>
          </w:tcPr>
          <w:p>
            <w:pPr>
              <w:ind w:left="1380"/>
              <w:spacing w:after="0"/>
              <w:rPr>
                <w:sz w:val="20"/>
                <w:szCs w:val="20"/>
                <w:color w:val="auto"/>
              </w:rPr>
            </w:pPr>
            <w:r>
              <w:rPr>
                <w:rFonts w:ascii="Arial" w:cs="Arial" w:eastAsia="Arial" w:hAnsi="Arial"/>
                <w:sz w:val="18"/>
                <w:szCs w:val="18"/>
                <w:color w:val="auto"/>
              </w:rPr>
              <w:t>2.0 years</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12.99 %</w:t>
            </w:r>
          </w:p>
        </w:tc>
        <w:tc>
          <w:tcPr>
            <w:tcW w:w="460" w:type="dxa"/>
            <w:vAlign w:val="bottom"/>
          </w:tcPr>
          <w:p>
            <w:pPr>
              <w:spacing w:after="0"/>
              <w:rPr>
                <w:sz w:val="18"/>
                <w:szCs w:val="18"/>
                <w:color w:val="auto"/>
              </w:rPr>
            </w:pPr>
          </w:p>
        </w:tc>
      </w:tr>
      <w:tr>
        <w:trPr>
          <w:trHeight w:val="810"/>
        </w:trPr>
        <w:tc>
          <w:tcPr>
            <w:tcW w:w="4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840" w:type="dxa"/>
            <w:vAlign w:val="bottom"/>
          </w:tcPr>
          <w:p>
            <w:pPr>
              <w:jc w:val="right"/>
              <w:ind w:right="137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34"/>
        </w:trPr>
        <w:tc>
          <w:tcPr>
            <w:tcW w:w="4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firstLine="324"/>
        <w:spacing w:after="0" w:line="235" w:lineRule="auto"/>
        <w:rPr>
          <w:sz w:val="20"/>
          <w:szCs w:val="20"/>
          <w:color w:val="auto"/>
        </w:rPr>
      </w:pPr>
      <w:r>
        <w:rPr>
          <w:rFonts w:ascii="Arial" w:cs="Arial" w:eastAsia="Arial" w:hAnsi="Arial"/>
          <w:sz w:val="18"/>
          <w:szCs w:val="18"/>
          <w:color w:val="auto"/>
        </w:rPr>
        <w:t>The lease costs, which are included in operating expenses in our condensed consolidated statements of operations, were as follows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3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ind w:right="19"/>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32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1"/>
              </w:rPr>
              <w:t>September 30, 2019</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1"/>
              </w:rPr>
              <w:t>September 30, 2019</w:t>
            </w:r>
          </w:p>
        </w:tc>
      </w:tr>
      <w:tr>
        <w:trPr>
          <w:trHeight w:val="169"/>
        </w:trPr>
        <w:tc>
          <w:tcPr>
            <w:tcW w:w="32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Facilities</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Operating lease cost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1,944</w:t>
            </w:r>
          </w:p>
        </w:tc>
      </w:tr>
      <w:tr>
        <w:trPr>
          <w:trHeight w:val="216"/>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operating lease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r>
    </w:tbl>
    <w:p>
      <w:pPr>
        <w:spacing w:after="0" w:line="200" w:lineRule="exact"/>
        <w:rPr>
          <w:sz w:val="20"/>
          <w:szCs w:val="20"/>
          <w:color w:val="auto"/>
        </w:rPr>
      </w:pPr>
    </w:p>
    <w:p>
      <w:pPr>
        <w:spacing w:after="0" w:line="33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 following table summarizes the Company’s undiscounted cash payment obligations for its operating lease liabilities as of September 30, 2019 (in thousands):</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4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Ending September 30,</w:t>
            </w:r>
          </w:p>
        </w:tc>
        <w:tc>
          <w:tcPr>
            <w:tcW w:w="9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r>
      <w:tr>
        <w:trPr>
          <w:trHeight w:val="169"/>
        </w:trPr>
        <w:tc>
          <w:tcPr>
            <w:tcW w:w="4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2019 (remaining three months)</w:t>
            </w:r>
          </w:p>
        </w:tc>
        <w:tc>
          <w:tcPr>
            <w:tcW w:w="900" w:type="dxa"/>
            <w:vAlign w:val="bottom"/>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755</w:t>
            </w:r>
          </w:p>
        </w:tc>
      </w:tr>
      <w:tr>
        <w:trPr>
          <w:trHeight w:val="176"/>
        </w:trPr>
        <w:tc>
          <w:tcPr>
            <w:tcW w:w="4980" w:type="dxa"/>
            <w:vAlign w:val="bottom"/>
          </w:tcPr>
          <w:p>
            <w:pPr>
              <w:spacing w:after="0" w:line="176" w:lineRule="exact"/>
              <w:rPr>
                <w:sz w:val="20"/>
                <w:szCs w:val="20"/>
                <w:color w:val="auto"/>
              </w:rPr>
            </w:pPr>
            <w:r>
              <w:rPr>
                <w:rFonts w:ascii="Arial" w:cs="Arial" w:eastAsia="Arial" w:hAnsi="Arial"/>
                <w:sz w:val="18"/>
                <w:szCs w:val="18"/>
                <w:color w:val="auto"/>
              </w:rPr>
              <w:t>2020</w:t>
            </w:r>
          </w:p>
        </w:tc>
        <w:tc>
          <w:tcPr>
            <w:tcW w:w="900" w:type="dxa"/>
            <w:vAlign w:val="bottom"/>
          </w:tcPr>
          <w:p>
            <w:pPr>
              <w:spacing w:after="0"/>
              <w:rPr>
                <w:sz w:val="15"/>
                <w:szCs w:val="15"/>
                <w:color w:val="auto"/>
              </w:rPr>
            </w:pPr>
          </w:p>
        </w:tc>
        <w:tc>
          <w:tcPr>
            <w:tcW w:w="1360" w:type="dxa"/>
            <w:vAlign w:val="bottom"/>
          </w:tcPr>
          <w:p>
            <w:pPr>
              <w:jc w:val="right"/>
              <w:spacing w:after="0" w:line="176" w:lineRule="exact"/>
              <w:rPr>
                <w:sz w:val="20"/>
                <w:szCs w:val="20"/>
                <w:color w:val="auto"/>
              </w:rPr>
            </w:pPr>
            <w:r>
              <w:rPr>
                <w:rFonts w:ascii="Arial" w:cs="Arial" w:eastAsia="Arial" w:hAnsi="Arial"/>
                <w:sz w:val="18"/>
                <w:szCs w:val="18"/>
                <w:color w:val="auto"/>
              </w:rPr>
              <w:t>3,065</w:t>
            </w:r>
          </w:p>
        </w:tc>
      </w:tr>
      <w:tr>
        <w:trPr>
          <w:trHeight w:val="176"/>
        </w:trPr>
        <w:tc>
          <w:tcPr>
            <w:tcW w:w="4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2021</w:t>
            </w:r>
          </w:p>
        </w:tc>
        <w:tc>
          <w:tcPr>
            <w:tcW w:w="9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2,183</w:t>
            </w:r>
          </w:p>
        </w:tc>
      </w:tr>
      <w:tr>
        <w:trPr>
          <w:trHeight w:val="176"/>
        </w:trPr>
        <w:tc>
          <w:tcPr>
            <w:tcW w:w="49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r>
      <w:tr>
        <w:trPr>
          <w:trHeight w:val="169"/>
        </w:trPr>
        <w:tc>
          <w:tcPr>
            <w:tcW w:w="4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lease payments</w:t>
            </w:r>
          </w:p>
        </w:tc>
        <w:tc>
          <w:tcPr>
            <w:tcW w:w="90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6,003</w:t>
            </w:r>
          </w:p>
        </w:tc>
      </w:tr>
      <w:tr>
        <w:trPr>
          <w:trHeight w:val="169"/>
        </w:trPr>
        <w:tc>
          <w:tcPr>
            <w:tcW w:w="498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Imputed interest</w:t>
            </w:r>
          </w:p>
        </w:tc>
        <w:tc>
          <w:tcPr>
            <w:tcW w:w="9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(729)</w:t>
            </w:r>
          </w:p>
        </w:tc>
      </w:tr>
      <w:tr>
        <w:trPr>
          <w:trHeight w:val="176"/>
        </w:trPr>
        <w:tc>
          <w:tcPr>
            <w:tcW w:w="49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lease liabilities</w:t>
            </w:r>
          </w:p>
        </w:tc>
        <w:tc>
          <w:tcPr>
            <w:tcW w:w="900" w:type="dxa"/>
            <w:vAlign w:val="bottom"/>
            <w:tcBorders>
              <w:bottom w:val="single" w:sz="8" w:color="CCEEFF"/>
            </w:tcBorders>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5,274</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SHAREHOLDERS EQUITY</w:t>
      </w:r>
    </w:p>
    <w:p>
      <w:pPr>
        <w:spacing w:after="0" w:line="162"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On May 25, 2018, the Company completed an underwritten public offering of 12,500,000 shares of its common stock at a price to the public of $4.00 per share less underwriting discounts and commissions of $0.24 per share, that were purchased by Jefferies LLC, or Jefferies, and SVB Leerink (formerly known as Leerink Partners LLC), or Leerink, or collectively the Underwriters from the Company, at a price of $3.76 per share, and on June 25, 2018, the Company sold an additional 1,875,000 shares of its common stock at a price to the public of $4.00 per share less underwriting discounts and commissions of $0.24 per share, that were purchased by the Underwriters from the Company at a price of $3.76 per share, following the exercise in full of the underwriters’ option to purchase additional shares of common stock. The Company received net proceeds from the offering of $53.8 million, after deducting the underwriting discounts, commissions and offering expenses.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18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following table presents stock-based compensation expense recognized for stock options, restricted stock units, or RSUs, performance-based restricted stock units, or PRSUs, and the Company’s employee stock purchase program, or ESPP, in the Company’s statements of operations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5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5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20" w:type="dxa"/>
            <w:vAlign w:val="bottom"/>
            <w:tcBorders>
              <w:top w:val="single" w:sz="8" w:color="auto"/>
            </w:tcBorders>
          </w:tcPr>
          <w:p>
            <w:pPr>
              <w:jc w:val="right"/>
              <w:ind w:right="104"/>
              <w:spacing w:after="0" w:line="12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right"/>
              <w:ind w:right="84"/>
              <w:spacing w:after="0" w:line="129"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tcBorders>
            <w:gridSpan w:val="2"/>
          </w:tcPr>
          <w:p>
            <w:pPr>
              <w:jc w:val="right"/>
              <w:ind w:right="90"/>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20" w:type="dxa"/>
            <w:vAlign w:val="bottom"/>
            <w:vMerge w:val="restart"/>
          </w:tcPr>
          <w:p>
            <w:pPr>
              <w:spacing w:after="0"/>
              <w:rPr>
                <w:sz w:val="11"/>
                <w:szCs w:val="11"/>
                <w:color w:val="auto"/>
              </w:rPr>
            </w:pPr>
          </w:p>
        </w:tc>
        <w:tc>
          <w:tcPr>
            <w:tcW w:w="27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20" w:type="dxa"/>
            <w:vAlign w:val="bottom"/>
            <w:vMerge w:val="continue"/>
          </w:tcPr>
          <w:p>
            <w:pPr>
              <w:spacing w:after="0"/>
              <w:rPr>
                <w:sz w:val="15"/>
                <w:szCs w:val="15"/>
                <w:color w:val="auto"/>
              </w:rPr>
            </w:pPr>
          </w:p>
        </w:tc>
        <w:tc>
          <w:tcPr>
            <w:tcW w:w="2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20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$ 1,670</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880</w:t>
            </w:r>
          </w:p>
        </w:tc>
        <w:tc>
          <w:tcPr>
            <w:tcW w:w="7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$ 3,197</w:t>
            </w:r>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$ 2,770</w:t>
            </w:r>
          </w:p>
        </w:tc>
        <w:tc>
          <w:tcPr>
            <w:tcW w:w="16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2740" w:type="dxa"/>
            <w:vAlign w:val="bottom"/>
          </w:tcPr>
          <w:p>
            <w:pPr>
              <w:spacing w:after="0" w:line="176" w:lineRule="exact"/>
              <w:rPr>
                <w:sz w:val="20"/>
                <w:szCs w:val="20"/>
                <w:color w:val="auto"/>
              </w:rPr>
            </w:pPr>
            <w:r>
              <w:rPr>
                <w:rFonts w:ascii="Arial" w:cs="Arial" w:eastAsia="Arial" w:hAnsi="Arial"/>
                <w:sz w:val="18"/>
                <w:szCs w:val="18"/>
                <w:color w:val="auto"/>
              </w:rPr>
              <w:t>General and administrative</w:t>
            </w:r>
          </w:p>
        </w:tc>
        <w:tc>
          <w:tcPr>
            <w:tcW w:w="20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2,209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w w:val="93"/>
              </w:rPr>
              <w:t>1,068</w:t>
            </w:r>
          </w:p>
        </w:tc>
        <w:tc>
          <w:tcPr>
            <w:tcW w:w="7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4,527</w:t>
            </w:r>
          </w:p>
        </w:tc>
        <w:tc>
          <w:tcPr>
            <w:tcW w:w="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4,206</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740" w:type="dxa"/>
            <w:vAlign w:val="bottom"/>
            <w:tcBorders>
              <w:top w:val="single" w:sz="8" w:color="CCEEFF"/>
              <w:bottom w:val="single" w:sz="8" w:color="CCEEFF"/>
            </w:tcBorders>
            <w:shd w:val="clear" w:color="auto" w:fill="CCEEFF"/>
          </w:tcPr>
          <w:p>
            <w:pPr>
              <w:ind w:left="100"/>
              <w:spacing w:after="0" w:line="170" w:lineRule="exact"/>
              <w:rPr>
                <w:sz w:val="20"/>
                <w:szCs w:val="20"/>
                <w:color w:val="auto"/>
              </w:rPr>
            </w:pPr>
            <w:r>
              <w:rPr>
                <w:rFonts w:ascii="Arial" w:cs="Arial" w:eastAsia="Arial" w:hAnsi="Arial"/>
                <w:sz w:val="18"/>
                <w:szCs w:val="18"/>
                <w:color w:val="auto"/>
              </w:rPr>
              <w:t>Total</w:t>
            </w:r>
          </w:p>
        </w:tc>
        <w:tc>
          <w:tcPr>
            <w:tcW w:w="144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$ 3,879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1,948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6"/>
              </w:rPr>
              <w:t>$ 7,724</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$ 6,976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7"/>
        </w:trPr>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9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At September 30, 2019, the Company had total unrecognized stock-based compensation expense, net of estimated forfeitures, of the following:</w:t>
      </w:r>
    </w:p>
    <w:p>
      <w:pPr>
        <w:spacing w:after="0" w:line="31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3"/>
          </w:tcPr>
          <w:p>
            <w:pPr>
              <w:jc w:val="right"/>
              <w:ind w:right="658"/>
              <w:spacing w:after="0"/>
              <w:rPr>
                <w:sz w:val="20"/>
                <w:szCs w:val="20"/>
                <w:color w:val="auto"/>
              </w:rPr>
            </w:pPr>
            <w:r>
              <w:rPr>
                <w:rFonts w:ascii="Arial" w:cs="Arial" w:eastAsia="Arial" w:hAnsi="Arial"/>
                <w:sz w:val="14"/>
                <w:szCs w:val="14"/>
                <w:b w:val="1"/>
                <w:bCs w:val="1"/>
                <w:color w:val="auto"/>
              </w:rPr>
              <w:t>At September 30, 2019</w:t>
            </w:r>
          </w:p>
        </w:tc>
        <w:tc>
          <w:tcPr>
            <w:tcW w:w="0" w:type="dxa"/>
            <w:vAlign w:val="bottom"/>
          </w:tcPr>
          <w:p>
            <w:pPr>
              <w:spacing w:after="0"/>
              <w:rPr>
                <w:sz w:val="1"/>
                <w:szCs w:val="1"/>
                <w:color w:val="auto"/>
              </w:rPr>
            </w:pPr>
          </w:p>
        </w:tc>
      </w:tr>
      <w:tr>
        <w:trPr>
          <w:trHeight w:val="102"/>
        </w:trPr>
        <w:tc>
          <w:tcPr>
            <w:tcW w:w="4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20" w:type="dxa"/>
            <w:vAlign w:val="bottom"/>
            <w:gridSpan w:val="2"/>
          </w:tcPr>
          <w:p>
            <w:pPr>
              <w:jc w:val="center"/>
              <w:ind w:right="620"/>
              <w:spacing w:after="0" w:line="102" w:lineRule="exact"/>
              <w:rPr>
                <w:sz w:val="20"/>
                <w:szCs w:val="20"/>
                <w:color w:val="auto"/>
              </w:rPr>
            </w:pPr>
            <w:r>
              <w:rPr>
                <w:rFonts w:ascii="Arial" w:cs="Arial" w:eastAsia="Arial" w:hAnsi="Arial"/>
                <w:sz w:val="11"/>
                <w:szCs w:val="11"/>
                <w:b w:val="1"/>
                <w:bCs w:val="1"/>
                <w:color w:val="auto"/>
              </w:rPr>
              <w:t>Unrecognized</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Average Vesting</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90"/>
              </w:rPr>
              <w:t>Expense</w:t>
            </w: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 thousands)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Stock options grants</w:t>
            </w:r>
          </w:p>
        </w:tc>
        <w:tc>
          <w:tcPr>
            <w:tcW w:w="160" w:type="dxa"/>
            <w:vAlign w:val="bottom"/>
            <w:tcBorders>
              <w:top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8"/>
              </w:rPr>
              <w:t>9,677</w:t>
            </w:r>
          </w:p>
        </w:tc>
        <w:tc>
          <w:tcPr>
            <w:tcW w:w="4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338"/>
              <w:spacing w:after="0" w:line="170"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76"/>
        </w:trPr>
        <w:tc>
          <w:tcPr>
            <w:tcW w:w="4400" w:type="dxa"/>
            <w:vAlign w:val="bottom"/>
          </w:tcPr>
          <w:p>
            <w:pPr>
              <w:ind w:left="220"/>
              <w:spacing w:after="0" w:line="176" w:lineRule="exact"/>
              <w:rPr>
                <w:sz w:val="20"/>
                <w:szCs w:val="20"/>
                <w:color w:val="auto"/>
              </w:rPr>
            </w:pPr>
            <w:r>
              <w:rPr>
                <w:rFonts w:ascii="Arial" w:cs="Arial" w:eastAsia="Arial" w:hAnsi="Arial"/>
                <w:sz w:val="18"/>
                <w:szCs w:val="18"/>
                <w:color w:val="auto"/>
              </w:rPr>
              <w:t>RSU grants</w:t>
            </w:r>
          </w:p>
        </w:tc>
        <w:tc>
          <w:tcPr>
            <w:tcW w:w="160" w:type="dxa"/>
            <w:vAlign w:val="bottom"/>
          </w:tcPr>
          <w:p>
            <w:pPr>
              <w:spacing w:after="0"/>
              <w:rPr>
                <w:sz w:val="15"/>
                <w:szCs w:val="15"/>
                <w:color w:val="auto"/>
              </w:rPr>
            </w:pPr>
          </w:p>
        </w:tc>
        <w:tc>
          <w:tcPr>
            <w:tcW w:w="1620" w:type="dxa"/>
            <w:vAlign w:val="bottom"/>
            <w:gridSpan w:val="2"/>
          </w:tcPr>
          <w:p>
            <w:pPr>
              <w:ind w:left="520"/>
              <w:spacing w:after="0" w:line="17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38"/>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PRSU grants</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1,391</w:t>
            </w: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38"/>
              <w:spacing w:after="0" w:line="176"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4400" w:type="dxa"/>
            <w:vAlign w:val="bottom"/>
          </w:tcPr>
          <w:p>
            <w:pPr>
              <w:ind w:left="220"/>
              <w:spacing w:after="0"/>
              <w:rPr>
                <w:sz w:val="20"/>
                <w:szCs w:val="20"/>
                <w:color w:val="auto"/>
              </w:rPr>
            </w:pPr>
            <w:r>
              <w:rPr>
                <w:rFonts w:ascii="Arial" w:cs="Arial" w:eastAsia="Arial" w:hAnsi="Arial"/>
                <w:sz w:val="18"/>
                <w:szCs w:val="18"/>
                <w:color w:val="auto"/>
              </w:rPr>
              <w:t>ESPP</w:t>
            </w:r>
          </w:p>
        </w:tc>
        <w:tc>
          <w:tcPr>
            <w:tcW w:w="1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6"/>
              </w:rPr>
              <w:t>132</w:t>
            </w:r>
          </w:p>
        </w:tc>
        <w:tc>
          <w:tcPr>
            <w:tcW w:w="460" w:type="dxa"/>
            <w:vAlign w:val="bottom"/>
          </w:tcPr>
          <w:p>
            <w:pPr>
              <w:spacing w:after="0"/>
              <w:rPr>
                <w:sz w:val="20"/>
                <w:szCs w:val="20"/>
                <w:color w:val="auto"/>
              </w:rPr>
            </w:pPr>
          </w:p>
        </w:tc>
        <w:tc>
          <w:tcPr>
            <w:tcW w:w="1060" w:type="dxa"/>
            <w:vAlign w:val="bottom"/>
          </w:tcPr>
          <w:p>
            <w:pPr>
              <w:jc w:val="right"/>
              <w:ind w:right="338"/>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w:t>
      </w:r>
    </w:p>
    <w:p>
      <w:pPr>
        <w:spacing w:after="0" w:line="185"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For the three and nine months ended September 30, 2019, options were exercised to purchase 4,513 and 6,964 shares, respectively, of the Company's common stock, with $13,000 and $21,000 net proceeds, respectively, to the Company in the three and nine months ended September 30, 2019. For each of the three and nine months ended September 30, 2018, zero options were exercised to purchase shares of the Company's common stock, with zero net proceeds to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In July 2018, the Company granted 903,374 PRSUs to its employees that vest upon the achievement of certain performance conditions, subject to the employees’ continued service relationship with the Company through the achievement date. At September 30, 2019, 850,309 of these PRSUs were outstanding. Based on the evaluation of the performance conditions at September 30, 2019, the Company concluded that the PRSU assumptions are probable and recorded a one-time catch-up of stock-based compensation expense of $2.1 million for each of the three and nine months ended September 30, 2019. Stock-based compensation expense recorded related to these PRSUs were zero for the three and nine months ended September 30, 2018. The related compensation cost was recognized as an expense over the estimated vesting period ratably when achievement of the milestone was considered probable. The expense recognized for these awards is based on the grant date fair value of the Company’s common stock multiplied by the number of units granted.</w:t>
      </w:r>
    </w:p>
    <w:p>
      <w:pPr>
        <w:spacing w:after="0" w:line="168"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For the three and nine months ended September 30, 2019, the Company issued zero and 85,609 shares of its common stock upon vesting of the time-based RSUs to its employees. No PRSUs were issued for the three and nine months ended September 30, 2019. For each of the three and nine months ended September 30, 2018, the Company issued zero shares of its common stock upon vesting of RSUs or PRSUs to its employees.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In August 2019, the Company sold 77,698 shares of its common stock under the ESPP. The shares were purchased by employees at a purchase price of $2.58 per share with proceeds to the Company of approximately $0.2 million. In February 2019, the Company sold 83,046 shares of its common stock under the ESPP. The shares were purchased by employees at a purchase price of $2.39 per share with proceeds to the Company of approximately $0.2 million.</w:t>
      </w:r>
    </w:p>
    <w:p>
      <w:pPr>
        <w:spacing w:after="0" w:line="155"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In August 2018, the Company sold 52,370 shares of its common stock under the ESPP. The shares were purchased by employees at a purchase price of $3.66 per share with proceeds to the Company of approximately $0.2 million. In February 2018, the Company sold 68,589 shares of its common stock under the ESPP. The shares were purchased by employees at a purchase price of $4.38 per share with proceeds to the Company of approximately $0.3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for Services</w:t>
      </w:r>
    </w:p>
    <w:p>
      <w:pPr>
        <w:spacing w:after="0" w:line="18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 the three and nine months ended September 30, 2019, the Company issued zero and 113,136 shares of its common stock to members of the board of directors who elected to receive stock in lieu of their cash fees under the Company’s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Amended and Restated Non-Employee Director Compensation Program. The shares issued were valued at $0.3 million based on the fair value of the common stock on the date of grant. For the three and nine months ended September 30, 2018, the Company issued zero and 75,183 shares of its common stock to members of the board of directors who elected to receive stock in lieu of their cash fees under the Company’s Amended and Restated Non-Employee Director Compensation Program. The shares issued were valued at $0.3 million based on the fair value of the common stock on the date of grant.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LOSS PER SHARE</w:t>
      </w:r>
    </w:p>
    <w:p>
      <w:pPr>
        <w:spacing w:after="0" w:line="189"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the Company had net losses for the three and nine months ended September 30, 2019 and 2018, all potential common shares were determined to be anti-dilutive. The following table sets forth the computation of net loss per common share (in thousands, except share and per share amounts):</w:t>
      </w:r>
    </w:p>
    <w:p>
      <w:pPr>
        <w:sectPr>
          <w:pgSz w:w="11900" w:h="16838" w:orient="portrait"/>
          <w:cols w:equalWidth="0" w:num="1">
            <w:col w:w="9060"/>
          </w:cols>
          <w:pgMar w:left="1420" w:top="11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ind w:left="120"/>
        <w:spacing w:after="0" w:line="221" w:lineRule="auto"/>
        <w:rPr>
          <w:sz w:val="20"/>
          <w:szCs w:val="20"/>
          <w:color w:val="auto"/>
        </w:rPr>
      </w:pPr>
      <w:r>
        <w:rPr>
          <w:rFonts w:ascii="Arial" w:cs="Arial" w:eastAsia="Arial" w:hAnsi="Arial"/>
          <w:sz w:val="18"/>
          <w:szCs w:val="18"/>
          <w:color w:val="auto"/>
        </w:rPr>
        <w:t>Net loss</w:t>
      </w:r>
    </w:p>
    <w:p>
      <w:pPr>
        <w:ind w:left="120"/>
        <w:spacing w:after="0" w:line="204" w:lineRule="auto"/>
        <w:rPr>
          <w:sz w:val="20"/>
          <w:szCs w:val="20"/>
          <w:color w:val="auto"/>
        </w:rPr>
      </w:pPr>
      <w:r>
        <w:rPr>
          <w:rFonts w:ascii="Arial" w:cs="Arial" w:eastAsia="Arial" w:hAnsi="Arial"/>
          <w:sz w:val="18"/>
          <w:szCs w:val="18"/>
          <w:b w:val="1"/>
          <w:bCs w:val="1"/>
          <w:color w:val="auto"/>
        </w:rPr>
        <w:t>Denominator:</w:t>
      </w:r>
    </w:p>
    <w:p>
      <w:pPr>
        <w:ind w:left="220"/>
        <w:spacing w:after="0" w:line="219" w:lineRule="auto"/>
        <w:rPr>
          <w:sz w:val="20"/>
          <w:szCs w:val="20"/>
          <w:color w:val="auto"/>
        </w:rPr>
      </w:pPr>
      <w:r>
        <w:rPr>
          <w:rFonts w:ascii="Arial" w:cs="Arial" w:eastAsia="Arial" w:hAnsi="Arial"/>
          <w:sz w:val="18"/>
          <w:szCs w:val="18"/>
          <w:color w:val="auto"/>
        </w:rPr>
        <w:t>Weighted average common shares outstanding - basic and diluted</w:t>
      </w:r>
    </w:p>
    <w:p>
      <w:pPr>
        <w:ind w:left="120"/>
        <w:spacing w:after="0"/>
        <w:rPr>
          <w:sz w:val="20"/>
          <w:szCs w:val="20"/>
          <w:color w:val="auto"/>
        </w:rPr>
      </w:pPr>
      <w:r>
        <w:rPr>
          <w:rFonts w:ascii="Arial" w:cs="Arial" w:eastAsia="Arial" w:hAnsi="Arial"/>
          <w:sz w:val="18"/>
          <w:szCs w:val="18"/>
          <w:color w:val="auto"/>
        </w:rPr>
        <w:t>Net loss per share - basic and diluted</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2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62"/>
        </w:trPr>
        <w:tc>
          <w:tcPr>
            <w:tcW w:w="156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Borders>
              <w:bottom w:val="single" w:sz="8" w:color="auto"/>
            </w:tcBorders>
            <w:gridSpan w:val="3"/>
          </w:tcPr>
          <w:p>
            <w:pPr>
              <w:jc w:val="center"/>
              <w:ind w:left="548"/>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4"/>
                <w:szCs w:val="14"/>
                <w:color w:val="auto"/>
              </w:rPr>
            </w:pPr>
          </w:p>
        </w:tc>
      </w:tr>
      <w:tr>
        <w:trPr>
          <w:trHeight w:val="129"/>
        </w:trPr>
        <w:tc>
          <w:tcPr>
            <w:tcW w:w="1060" w:type="dxa"/>
            <w:vAlign w:val="bottom"/>
            <w:tcBorders>
              <w:bottom w:val="single" w:sz="8" w:color="auto"/>
            </w:tcBorders>
          </w:tcPr>
          <w:p>
            <w:pPr>
              <w:jc w:val="right"/>
              <w:ind w:right="308"/>
              <w:spacing w:after="0" w:line="129"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08"/>
              <w:spacing w:after="0" w:line="129"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1"/>
                <w:szCs w:val="11"/>
                <w:color w:val="auto"/>
              </w:rPr>
            </w:pPr>
          </w:p>
        </w:tc>
        <w:tc>
          <w:tcPr>
            <w:tcW w:w="1040" w:type="dxa"/>
            <w:vAlign w:val="bottom"/>
            <w:tcBorders>
              <w:bottom w:val="single" w:sz="8" w:color="auto"/>
            </w:tcBorders>
          </w:tcPr>
          <w:p>
            <w:pPr>
              <w:jc w:val="right"/>
              <w:ind w:right="308"/>
              <w:spacing w:after="0" w:line="129"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88"/>
              <w:spacing w:after="0" w:line="129" w:lineRule="exact"/>
              <w:rPr>
                <w:sz w:val="20"/>
                <w:szCs w:val="20"/>
                <w:color w:val="auto"/>
              </w:rPr>
            </w:pPr>
            <w:r>
              <w:rPr>
                <w:rFonts w:ascii="Arial" w:cs="Arial" w:eastAsia="Arial" w:hAnsi="Arial"/>
                <w:sz w:val="14"/>
                <w:szCs w:val="14"/>
                <w:b w:val="1"/>
                <w:bCs w:val="1"/>
                <w:color w:val="auto"/>
                <w:w w:val="89"/>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-8255</wp:posOffset>
            </wp:positionV>
            <wp:extent cx="575437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20015"/>
                    </a:xfrm>
                    <a:prstGeom prst="rect">
                      <a:avLst/>
                    </a:prstGeom>
                    <a:noFill/>
                  </pic:spPr>
                </pic:pic>
              </a:graphicData>
            </a:graphic>
          </wp:anchor>
        </w:drawing>
      </w:r>
    </w:p>
    <w:p>
      <w:pPr>
        <w:spacing w:after="0" w:line="128" w:lineRule="exact"/>
        <w:rPr>
          <w:sz w:val="20"/>
          <w:szCs w:val="20"/>
          <w:color w:val="auto"/>
        </w:rPr>
      </w:pPr>
    </w:p>
    <w:p>
      <w:pPr>
        <w:ind w:left="440" w:hanging="433"/>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(23,539)  </w:t>
      </w:r>
      <w:r>
        <w:rPr>
          <w:rFonts w:ascii="Arial" w:cs="Arial" w:eastAsia="Arial" w:hAnsi="Arial"/>
          <w:sz w:val="18"/>
          <w:szCs w:val="18"/>
          <w:u w:val="single" w:color="auto"/>
          <w:color w:val="auto"/>
        </w:rPr>
        <w:t>$    (24,126)  $    (75,150)  $    (63,436)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-1905</wp:posOffset>
            </wp:positionV>
            <wp:extent cx="575437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28905"/>
                    </a:xfrm>
                    <a:prstGeom prst="rect">
                      <a:avLst/>
                    </a:prstGeom>
                    <a:noFill/>
                  </pic:spPr>
                </pic:pic>
              </a:graphicData>
            </a:graphic>
          </wp:anchor>
        </w:drawing>
      </w:r>
    </w:p>
    <w:p>
      <w:pPr>
        <w:spacing w:after="0" w:line="325" w:lineRule="exact"/>
        <w:rPr>
          <w:sz w:val="20"/>
          <w:szCs w:val="20"/>
          <w:color w:val="auto"/>
        </w:rPr>
      </w:pPr>
    </w:p>
    <w:p>
      <w:pPr>
        <w:ind w:left="200"/>
        <w:spacing w:after="0"/>
        <w:tabs>
          <w:tab w:leader="none" w:pos="1360" w:val="left"/>
          <w:tab w:leader="none" w:pos="2520" w:val="left"/>
          <w:tab w:leader="none" w:pos="3700" w:val="left"/>
        </w:tabs>
        <w:rPr>
          <w:sz w:val="20"/>
          <w:szCs w:val="20"/>
          <w:color w:val="auto"/>
        </w:rPr>
      </w:pPr>
      <w:r>
        <w:rPr>
          <w:rFonts w:ascii="Arial" w:cs="Arial" w:eastAsia="Arial" w:hAnsi="Arial"/>
          <w:sz w:val="18"/>
          <w:szCs w:val="18"/>
          <w:color w:val="auto"/>
        </w:rPr>
        <w:t>62,828,513</w:t>
      </w:r>
      <w:r>
        <w:rPr>
          <w:sz w:val="20"/>
          <w:szCs w:val="20"/>
          <w:color w:val="auto"/>
        </w:rPr>
        <w:tab/>
      </w:r>
      <w:r>
        <w:rPr>
          <w:rFonts w:ascii="Arial" w:cs="Arial" w:eastAsia="Arial" w:hAnsi="Arial"/>
          <w:sz w:val="18"/>
          <w:szCs w:val="18"/>
          <w:color w:val="auto"/>
        </w:rPr>
        <w:t>62,071,397</w:t>
      </w:r>
      <w:r>
        <w:rPr>
          <w:sz w:val="20"/>
          <w:szCs w:val="20"/>
          <w:color w:val="auto"/>
        </w:rPr>
        <w:tab/>
      </w:r>
      <w:r>
        <w:rPr>
          <w:rFonts w:ascii="Arial" w:cs="Arial" w:eastAsia="Arial" w:hAnsi="Arial"/>
          <w:sz w:val="18"/>
          <w:szCs w:val="18"/>
          <w:color w:val="auto"/>
        </w:rPr>
        <w:t>62,676,591</w:t>
      </w:r>
      <w:r>
        <w:rPr>
          <w:sz w:val="20"/>
          <w:szCs w:val="20"/>
          <w:color w:val="auto"/>
        </w:rPr>
        <w:tab/>
      </w:r>
      <w:r>
        <w:rPr>
          <w:rFonts w:ascii="Arial" w:cs="Arial" w:eastAsia="Arial" w:hAnsi="Arial"/>
          <w:sz w:val="16"/>
          <w:szCs w:val="16"/>
          <w:color w:val="auto"/>
        </w:rPr>
        <w:t>54,204,907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-635</wp:posOffset>
            </wp:positionV>
            <wp:extent cx="575437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tabs>
          <w:tab w:leader="none" w:pos="600" w:val="left"/>
          <w:tab w:leader="none" w:pos="1180" w:val="left"/>
          <w:tab w:leader="none" w:pos="1780" w:val="left"/>
          <w:tab w:leader="none" w:pos="2360" w:val="left"/>
          <w:tab w:leader="none" w:pos="2960" w:val="left"/>
          <w:tab w:leader="none" w:pos="3540" w:val="left"/>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(0.37)</w:t>
        <w:tab/>
        <w:t>$</w:t>
      </w:r>
      <w:r>
        <w:rPr>
          <w:sz w:val="20"/>
          <w:szCs w:val="20"/>
          <w:color w:val="auto"/>
        </w:rPr>
        <w:tab/>
      </w:r>
      <w:r>
        <w:rPr>
          <w:rFonts w:ascii="Arial" w:cs="Arial" w:eastAsia="Arial" w:hAnsi="Arial"/>
          <w:sz w:val="18"/>
          <w:szCs w:val="18"/>
          <w:color w:val="auto"/>
        </w:rPr>
        <w:t>(0.39)</w:t>
        <w:tab/>
        <w:t>$</w:t>
      </w:r>
      <w:r>
        <w:rPr>
          <w:sz w:val="20"/>
          <w:szCs w:val="20"/>
          <w:color w:val="auto"/>
        </w:rPr>
        <w:tab/>
      </w:r>
      <w:r>
        <w:rPr>
          <w:rFonts w:ascii="Arial" w:cs="Arial" w:eastAsia="Arial" w:hAnsi="Arial"/>
          <w:sz w:val="18"/>
          <w:szCs w:val="18"/>
          <w:color w:val="auto"/>
        </w:rPr>
        <w:t>(1.20)</w:t>
        <w:tab/>
        <w:t>$</w:t>
      </w:r>
      <w:r>
        <w:rPr>
          <w:sz w:val="20"/>
          <w:szCs w:val="20"/>
          <w:color w:val="auto"/>
        </w:rPr>
        <w:tab/>
      </w:r>
      <w:r>
        <w:rPr>
          <w:rFonts w:ascii="Arial" w:cs="Arial" w:eastAsia="Arial" w:hAnsi="Arial"/>
          <w:sz w:val="16"/>
          <w:szCs w:val="16"/>
          <w:color w:val="auto"/>
        </w:rPr>
        <w:t>(1.17)</w:t>
      </w:r>
    </w:p>
    <w:p>
      <w:pPr>
        <w:spacing w:after="0" w:line="155" w:lineRule="exact"/>
        <w:rPr>
          <w:sz w:val="20"/>
          <w:szCs w:val="20"/>
          <w:color w:val="auto"/>
        </w:rPr>
      </w:pPr>
    </w:p>
    <w:p>
      <w:pPr>
        <w:sectPr>
          <w:pgSz w:w="11900" w:h="16838" w:orient="portrait"/>
          <w:cols w:equalWidth="0" w:num="2">
            <w:col w:w="4080" w:space="400"/>
            <w:col w:w="4580"/>
          </w:cols>
          <w:pgMar w:left="1420" w:top="111" w:right="1419" w:bottom="1440" w:gutter="0" w:footer="0" w:header="0"/>
          <w:type w:val="continuous"/>
        </w:sectPr>
      </w:pPr>
    </w:p>
    <w:p>
      <w:pPr>
        <w:jc w:val="both"/>
        <w:ind w:firstLine="324"/>
        <w:spacing w:after="0" w:line="224" w:lineRule="auto"/>
        <w:rPr>
          <w:sz w:val="20"/>
          <w:szCs w:val="20"/>
          <w:color w:val="auto"/>
        </w:rPr>
      </w:pPr>
      <w:r>
        <w:rPr>
          <w:rFonts w:ascii="Arial" w:cs="Arial" w:eastAsia="Arial" w:hAnsi="Arial"/>
          <w:sz w:val="18"/>
          <w:szCs w:val="18"/>
          <w:color w:val="auto"/>
        </w:rPr>
        <w:t>For the three and nine months ended September 30, 2019, the total number of securities that could potentially dilute basic net loss per share in the future that were not included in the computation of diluted net loss per share because the effect would have been antidilutive was 10.5 million and 10.2 million, respectively.</w:t>
      </w:r>
    </w:p>
    <w:p>
      <w:pPr>
        <w:spacing w:after="0" w:line="163"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For the three and nine months ended September 30, 2018, the total number of securities that could potentially dilute basic net loss per share in the future that were not included in the computation of diluted net loss per share because the effect would have been antidilutive was 8.3 million and 8.1 million, respectively.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ACCRUED AND OTHER LIABILITIES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Accrued liabilities and other liabilities consist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4"/>
                <w:szCs w:val="14"/>
                <w:color w:val="auto"/>
              </w:rPr>
            </w:pPr>
          </w:p>
        </w:tc>
      </w:tr>
      <w:tr>
        <w:trPr>
          <w:trHeight w:val="162"/>
        </w:trPr>
        <w:tc>
          <w:tcPr>
            <w:tcW w:w="920" w:type="dxa"/>
            <w:vAlign w:val="bottom"/>
          </w:tcPr>
          <w:p>
            <w:pPr>
              <w:spacing w:after="0"/>
              <w:rPr>
                <w:sz w:val="14"/>
                <w:szCs w:val="14"/>
                <w:color w:val="auto"/>
              </w:rPr>
            </w:pPr>
          </w:p>
        </w:tc>
        <w:tc>
          <w:tcPr>
            <w:tcW w:w="338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900" w:type="dxa"/>
            <w:vAlign w:val="bottom"/>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33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w w:val="99"/>
              </w:rPr>
              <w:t>Accrued clinical and non-clinical expenses</w:t>
            </w: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6,504</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9,790</w:t>
            </w:r>
          </w:p>
        </w:tc>
        <w:tc>
          <w:tcPr>
            <w:tcW w:w="120" w:type="dxa"/>
            <w:vAlign w:val="bottom"/>
            <w:shd w:val="clear" w:color="auto" w:fill="CCEEFF"/>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3380" w:type="dxa"/>
            <w:vAlign w:val="bottom"/>
          </w:tcPr>
          <w:p>
            <w:pPr>
              <w:spacing w:after="0" w:line="176" w:lineRule="exact"/>
              <w:rPr>
                <w:sz w:val="20"/>
                <w:szCs w:val="20"/>
                <w:color w:val="auto"/>
              </w:rPr>
            </w:pPr>
            <w:r>
              <w:rPr>
                <w:rFonts w:ascii="Arial" w:cs="Arial" w:eastAsia="Arial" w:hAnsi="Arial"/>
                <w:sz w:val="18"/>
                <w:szCs w:val="18"/>
                <w:color w:val="auto"/>
                <w:w w:val="99"/>
              </w:rPr>
              <w:t>Accrued contract manufacturing expenses</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1,627</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1,971</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3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Derivative liability for exit fee</w:t>
            </w: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779</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380" w:type="dxa"/>
            <w:vAlign w:val="bottom"/>
          </w:tcPr>
          <w:p>
            <w:pPr>
              <w:spacing w:after="0" w:line="176" w:lineRule="exact"/>
              <w:rPr>
                <w:sz w:val="20"/>
                <w:szCs w:val="20"/>
                <w:color w:val="auto"/>
              </w:rPr>
            </w:pPr>
            <w:r>
              <w:rPr>
                <w:rFonts w:ascii="Arial" w:cs="Arial" w:eastAsia="Arial" w:hAnsi="Arial"/>
                <w:sz w:val="18"/>
                <w:szCs w:val="18"/>
                <w:color w:val="auto"/>
                <w:w w:val="93"/>
              </w:rPr>
              <w:t>Accrued professional and consulting services</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602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112</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3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Foreign currency derivative contract</w:t>
            </w: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3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w:t>
            </w:r>
          </w:p>
        </w:tc>
        <w:tc>
          <w:tcPr>
            <w:tcW w:w="1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170</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tcPr>
          <w:p>
            <w:pPr>
              <w:spacing w:after="0"/>
              <w:rPr>
                <w:sz w:val="15"/>
                <w:szCs w:val="15"/>
                <w:color w:val="auto"/>
              </w:rPr>
            </w:pPr>
          </w:p>
        </w:tc>
        <w:tc>
          <w:tcPr>
            <w:tcW w:w="900" w:type="dxa"/>
            <w:vAlign w:val="bottom"/>
          </w:tcPr>
          <w:p>
            <w:pPr>
              <w:spacing w:after="0"/>
              <w:rPr>
                <w:sz w:val="15"/>
                <w:szCs w:val="15"/>
                <w:color w:val="auto"/>
              </w:rPr>
            </w:pPr>
          </w:p>
        </w:tc>
      </w:tr>
      <w:tr>
        <w:trPr>
          <w:trHeight w:val="189"/>
        </w:trPr>
        <w:tc>
          <w:tcPr>
            <w:tcW w:w="920" w:type="dxa"/>
            <w:vAlign w:val="bottom"/>
          </w:tcPr>
          <w:p>
            <w:pPr>
              <w:spacing w:after="0"/>
              <w:rPr>
                <w:sz w:val="16"/>
                <w:szCs w:val="16"/>
                <w:color w:val="auto"/>
              </w:rPr>
            </w:pPr>
          </w:p>
        </w:tc>
        <w:tc>
          <w:tcPr>
            <w:tcW w:w="3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9,682</w:t>
            </w: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12,857</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Pr>
          <w:p>
            <w:pPr>
              <w:spacing w:after="0"/>
              <w:rPr>
                <w:sz w:val="16"/>
                <w:szCs w:val="16"/>
                <w:color w:val="auto"/>
              </w:rPr>
            </w:pPr>
          </w:p>
        </w:tc>
      </w:tr>
      <w:tr>
        <w:trPr>
          <w:trHeight w:val="811"/>
        </w:trPr>
        <w:tc>
          <w:tcPr>
            <w:tcW w:w="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20" w:type="dxa"/>
            <w:vAlign w:val="bottom"/>
          </w:tcPr>
          <w:p>
            <w:pPr>
              <w:jc w:val="right"/>
              <w:ind w:right="81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34"/>
        </w:trPr>
        <w:tc>
          <w:tcPr>
            <w:tcW w:w="9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1" w:right="1419" w:bottom="1440" w:gutter="0" w:footer="0" w:header="0"/>
          <w:type w:val="continuous"/>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COLLABORATION AND LICENSING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Kyowa Kirin Co., Ltd., or KKC (formerly known as Kyowa Hakko Kirin Co., Ltd, or KHK)</w:t>
      </w:r>
    </w:p>
    <w:p>
      <w:pPr>
        <w:spacing w:after="0" w:line="185"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In November 2017, the Company entered into an exclusive license agreement with KKC, or the KKC Agreement, for the development, commercialization and distribution of tenapanor in Japan for cardiorenal indications. The Company assessed these arrangements in accordance with Topic 606 and concluded that the contract counterparty, KKC, is a customer. Under the terms of the KKC Agreement, the Company received $30.0 million in up-front license fees which was recognized as revenue when the agreement was executed. Based on the Company’s assessment, it identified that the license and the manufacturing supply services were its material performance obligations at the inception of the agreement, and as such each of the performance obligations are distinct. Additionally, on January 1, 2018, the Company recorded unbilled license revenue under current assets of $5.0 million and uncharged license fees under current liabilities of $1.0 million related to the first milestone under the KKC Agreement that KKC achieved in February 2019, reflecting revenues and cost of revenue, respectively, that would have been recognized in the fourth quarter 2017 if the Company had adopted Topic 606 prior to January 1, 2018. On KKC’s achievement of the milestone in February 2019, the balance related to unbilled license revenue was adjusted to zero. Correspondingly, the $1.0 million balance related to uncharged license fees that the Company owed to AstraZeneca was reclassified to accounts payable during the three months ended March 31, 2019, and subsequently paid to AstraZeneca during the three months ended June 30, 2019.</w:t>
      </w:r>
    </w:p>
    <w:p>
      <w:pPr>
        <w:spacing w:after="0" w:line="163"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In addition to the up-front license fee received of $30.0 million, the Company may be entitled to receive up to $55.0 million in total development milestones, of which $5.0 million has been received to date, and 8.5 billion yen in commercialization milestones, worth up to $78.5 million at the currency exchange rate on September 30, 2019, as well as reimbursement of cost, plus a reasonable overhead for the supply of product and high-teen royalties on net sales throughout the term of the agreement. The variable consideration related to the remaining development milestone payments has not been included in the transaction price as these were fully constrained at September 30, 2019.</w:t>
      </w:r>
    </w:p>
    <w:p>
      <w:pPr>
        <w:spacing w:after="0" w:line="165"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For the three and nine months ended September 30, 2019, $13,000 and $31,000 of other revenue was recorded, and for each of the three and nine months ended September 30, 2018, $0.2 million of other revenue was recorded. For both periods the other revenue recorded was for manufacturing supply of tenapanor and other materials delivered to KKC for its product development and clinical trials in Japan, in accordance with the Company’s agreement with KKC.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Shanghai Fosun Pharmaceutical Industrial Development Co. Ltd., or Fosun Pharma</w:t>
      </w:r>
    </w:p>
    <w:p>
      <w:pPr>
        <w:spacing w:after="0" w:line="185"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In December 2017, the Company entered into an exclusive license agreement with Fosun Pharma, or the Fosun Agreement, for the development, commercialization and distribution of tenapanor in China for both hyperphosphatemia and irritable bowel syndrome with constipation, or IBS-C. The Company assessed these arrangements in accordance with Topic 606 and concluded that the contract counterparty, Fosun Pharma, is a customer. Under the terms of the Fosun Agreement, the Company received $12.0 million in up-front license fees which was recognized as revenue when the agreement was executed. Based on the Company’s assessment, it identified that the license and the manufacturing supply services were its material performance obligations at the inception of the agreement, and as such each of the performance obligations are distinct.</w:t>
      </w:r>
    </w:p>
    <w:p>
      <w:pPr>
        <w:spacing w:after="0" w:line="165"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In addition, the Company may be entitled to additional development and commercialization milestones of up to $110.0 million, as well as reimbursement of cost plus a reasonable overhead for the supply of product and tiered royalties on net sales ranging from the mid-teens to 20%. The variable consideration related to the remaining development milestone payments has not been included in the transaction price as these were fully constrained at September 30, 2019.</w:t>
      </w:r>
    </w:p>
    <w:p>
      <w:pPr>
        <w:spacing w:after="0" w:line="155"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For each of the three and nine months ended September 30, 2019, $3.0 million revenue was recorded related to the Fosun Agreement upon the achievement of a development milestone pursuant to the agreement. In October 2019, the Company received corresponding payment of $2.7 million, net of $0.3 million withholding tax. For each of the three and nine months ended September 30, 2018, no revenue was recorded related to the Fosun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Knight Therapeutics, Inc., or Knight</w:t>
      </w:r>
    </w:p>
    <w:p>
      <w:pPr>
        <w:spacing w:after="0" w:line="185"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In March 2018, the Company entered into an exclusive license agreement with Knight Therapeutics, Inc., or the Knight Agreement, for the development, commercialization and distribution of tenapanor in Canada for hyperphosphatemia and IBS-C. The Company assessed these arrangements in accordance with Topic 606 and concluded that the contract counterparty, Knight, is a customer. Based on the Company’s assessment, it identified that the license and the manufacturing supply services were its material performance obligations at the inception of the agreement, and as such each of the performance obligations are distinct.</w:t>
      </w:r>
    </w:p>
    <w:p>
      <w:pPr>
        <w:spacing w:after="0" w:line="162"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Under the terms of the agreement, the Company is eligible to receive up to CAD 25 million in total payments, worth up to $18.9 million at the currency exchange rate on September 30, 2019, including an up-front payment and development and sales milestones, reimbursement of supply costs on a schedule specifying cost per tablet, with a reasonable mark up for overhead, as well as tiered royalty rates on net sales ranging from the mid-single digits to the low twenties. The variable consideration related to the remaining development milestone payments has not been included in the transaction price as these were fully constrained at September 30, 2019.</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For each of the three and nine months ended September 30, 2019, no revenue was recorded related to the Knight Agreement. For the three and nine months ended September 30, 2018, zero and $2.3 million of revenue, respectively, was recorded related to the Knight Agreement, and zero and $0.5 million of cost of revenue, respectively, was recorded pursuant to the AstraZeneca Termination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185"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In June 2015, the Company entered into a termination agreement with AstraZeneca, or the AstraZeneca Termination Agreement, pursuant to which the Company remains liable to pay AstraZeneca fees for (i) future royalties at a royalty rate of 10% of net sales of tenapanor or other NHE3 products by the Company or its licensees, and (ii) 20% of non-royalty revenue received from a new collaboration partner should the Company elect to license, or otherwise provide rights to develop and commercialize tenapanor or another NHE3 inhibitor, up to a maximum of $75.0 million in aggregate for (i) and (ii). To date in aggregate, the Company has recognized $10.5 million of the $75.0 million, recorded as cost of revenue, as follows:</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Cost of Revenue</w:t>
            </w:r>
          </w:p>
        </w:tc>
      </w:tr>
      <w:tr>
        <w:trPr>
          <w:trHeight w:val="129"/>
        </w:trPr>
        <w:tc>
          <w:tcPr>
            <w:tcW w:w="4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Recognized</w:t>
            </w: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4"/>
              </w:rPr>
              <w:t>Amount Paid</w:t>
            </w:r>
          </w:p>
        </w:tc>
      </w:tr>
      <w:tr>
        <w:trPr>
          <w:trHeight w:val="129"/>
        </w:trPr>
        <w:tc>
          <w:tcPr>
            <w:tcW w:w="4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tcPr>
          <w:p>
            <w:pPr>
              <w:ind w:left="300"/>
              <w:spacing w:after="0" w:line="129" w:lineRule="exact"/>
              <w:rPr>
                <w:sz w:val="20"/>
                <w:szCs w:val="20"/>
                <w:color w:val="auto"/>
              </w:rPr>
            </w:pPr>
            <w:r>
              <w:rPr>
                <w:rFonts w:ascii="Arial" w:cs="Arial" w:eastAsia="Arial" w:hAnsi="Arial"/>
                <w:sz w:val="14"/>
                <w:szCs w:val="14"/>
                <w:b w:val="1"/>
                <w:bCs w:val="1"/>
                <w:color w:val="auto"/>
              </w:rPr>
              <w:t>(in million)</w:t>
            </w:r>
          </w:p>
        </w:tc>
        <w:tc>
          <w:tcPr>
            <w:tcW w:w="480" w:type="dxa"/>
            <w:vAlign w:val="bottom"/>
          </w:tcPr>
          <w:p>
            <w:pPr>
              <w:spacing w:after="0"/>
              <w:rPr>
                <w:sz w:val="11"/>
                <w:szCs w:val="11"/>
                <w:color w:val="auto"/>
              </w:rPr>
            </w:pPr>
          </w:p>
        </w:tc>
      </w:tr>
      <w:tr>
        <w:trPr>
          <w:trHeight w:val="176"/>
        </w:trPr>
        <w:tc>
          <w:tcPr>
            <w:tcW w:w="4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Year 2017</w:t>
            </w:r>
          </w:p>
        </w:tc>
        <w:tc>
          <w:tcPr>
            <w:tcW w:w="1300" w:type="dxa"/>
            <w:vAlign w:val="bottom"/>
            <w:gridSpan w:val="2"/>
            <w:shd w:val="clear" w:color="auto" w:fill="CCEEFF"/>
          </w:tcPr>
          <w:p>
            <w:pPr>
              <w:jc w:val="right"/>
              <w:ind w:right="67"/>
              <w:spacing w:after="0" w:line="17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8.4</w:t>
            </w:r>
          </w:p>
        </w:tc>
        <w:tc>
          <w:tcPr>
            <w:tcW w:w="5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r>
      <w:tr>
        <w:trPr>
          <w:trHeight w:val="176"/>
        </w:trPr>
        <w:tc>
          <w:tcPr>
            <w:tcW w:w="4420" w:type="dxa"/>
            <w:vAlign w:val="bottom"/>
          </w:tcPr>
          <w:p>
            <w:pPr>
              <w:spacing w:after="0" w:line="176" w:lineRule="exact"/>
              <w:rPr>
                <w:sz w:val="20"/>
                <w:szCs w:val="20"/>
                <w:color w:val="auto"/>
              </w:rPr>
            </w:pPr>
            <w:r>
              <w:rPr>
                <w:rFonts w:ascii="Arial" w:cs="Arial" w:eastAsia="Arial" w:hAnsi="Arial"/>
                <w:sz w:val="18"/>
                <w:szCs w:val="18"/>
                <w:color w:val="auto"/>
              </w:rPr>
              <w:t>Year 2018</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0.5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r>
      <w:tr>
        <w:trPr>
          <w:trHeight w:val="176"/>
        </w:trPr>
        <w:tc>
          <w:tcPr>
            <w:tcW w:w="4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Year 2019</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76"/>
        </w:trPr>
        <w:tc>
          <w:tcPr>
            <w:tcW w:w="4420" w:type="dxa"/>
            <w:vAlign w:val="bottom"/>
          </w:tcPr>
          <w:p>
            <w:pPr>
              <w:ind w:left="100"/>
              <w:spacing w:after="0" w:line="176" w:lineRule="exact"/>
              <w:rPr>
                <w:sz w:val="20"/>
                <w:szCs w:val="20"/>
                <w:color w:val="auto"/>
              </w:rPr>
            </w:pPr>
            <w:r>
              <w:rPr>
                <w:rFonts w:ascii="Arial" w:cs="Arial" w:eastAsia="Arial" w:hAnsi="Arial"/>
                <w:sz w:val="18"/>
                <w:szCs w:val="18"/>
                <w:color w:val="auto"/>
              </w:rPr>
              <w:t>First Quarter</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w:t>
            </w:r>
          </w:p>
        </w:tc>
      </w:tr>
      <w:tr>
        <w:trPr>
          <w:trHeight w:val="176"/>
        </w:trPr>
        <w:tc>
          <w:tcPr>
            <w:tcW w:w="44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Second Quarter</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r>
      <w:tr>
        <w:trPr>
          <w:trHeight w:val="176"/>
        </w:trPr>
        <w:tc>
          <w:tcPr>
            <w:tcW w:w="442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Third Quarter</w:t>
            </w:r>
          </w:p>
        </w:tc>
        <w:tc>
          <w:tcPr>
            <w:tcW w:w="10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0.6</w:t>
            </w: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70"/>
              <w:spacing w:after="0" w:line="176" w:lineRule="exact"/>
              <w:rPr>
                <w:sz w:val="20"/>
                <w:szCs w:val="20"/>
                <w:color w:val="auto"/>
              </w:rPr>
            </w:pPr>
            <w:r>
              <w:rPr>
                <w:rFonts w:ascii="Arial" w:cs="Arial" w:eastAsia="Arial" w:hAnsi="Arial"/>
                <w:sz w:val="18"/>
                <w:szCs w:val="18"/>
                <w:color w:val="auto"/>
              </w:rPr>
              <w:t>—</w:t>
            </w:r>
          </w:p>
        </w:tc>
      </w:tr>
      <w:tr>
        <w:trPr>
          <w:trHeight w:val="189"/>
        </w:trPr>
        <w:tc>
          <w:tcPr>
            <w:tcW w:w="4420" w:type="dxa"/>
            <w:vAlign w:val="bottom"/>
            <w:tcBorders>
              <w:bottom w:val="single" w:sz="8" w:color="CCEEFF"/>
            </w:tcBorders>
            <w:shd w:val="clear" w:color="auto" w:fill="CCEEFF"/>
          </w:tcPr>
          <w:p>
            <w:pPr>
              <w:ind w:left="420"/>
              <w:spacing w:after="0" w:line="170" w:lineRule="exact"/>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10.5</w:t>
            </w: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9.9</w:t>
            </w:r>
          </w:p>
        </w:tc>
      </w:tr>
      <w:tr>
        <w:trPr>
          <w:trHeight w:val="176"/>
        </w:trPr>
        <w:tc>
          <w:tcPr>
            <w:tcW w:w="44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Maximum payment per termination agreement</w:t>
            </w:r>
          </w:p>
        </w:tc>
        <w:tc>
          <w:tcPr>
            <w:tcW w:w="10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75.0</w:t>
            </w:r>
          </w:p>
        </w:tc>
      </w:tr>
      <w:tr>
        <w:trPr>
          <w:trHeight w:val="176"/>
        </w:trPr>
        <w:tc>
          <w:tcPr>
            <w:tcW w:w="44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Remaining balance</w:t>
            </w:r>
          </w:p>
        </w:tc>
        <w:tc>
          <w:tcPr>
            <w:tcW w:w="10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65.1</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CONTINGENCIES</w:t>
      </w:r>
    </w:p>
    <w:p>
      <w:pPr>
        <w:spacing w:after="0" w:line="189"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From time to time the Company may be involved in claims arising in connection with its business. Based on information currently available, the Company believes that the amount, or range, of reasonably possible losses in connection with any pending actions against it in excess of established reserves, in the aggregate, not to be material to its consolidated financial condition or cash flows. However, losses may be material to the Company’s operating results for any particular future period, depending on the level of income or loss for such period.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both"/>
        <w:ind w:left="980" w:hanging="971"/>
        <w:spacing w:after="0" w:line="237"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2" w:lineRule="exact"/>
        <w:rPr>
          <w:sz w:val="20"/>
          <w:szCs w:val="20"/>
          <w:color w:val="auto"/>
        </w:rPr>
      </w:pPr>
    </w:p>
    <w:p>
      <w:pPr>
        <w:jc w:val="both"/>
        <w:ind w:firstLine="324"/>
        <w:spacing w:after="0" w:line="181" w:lineRule="exact"/>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condensed consolidated financial statements and notes thereto included elsewhere in this report and with the audited consolidated financial statements and related notes thereto included as part of our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for the year ended December 31, 2018.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Ardelyx</w:t>
      </w:r>
    </w:p>
    <w:p>
      <w:pPr>
        <w:spacing w:after="0" w:line="189"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are a biopharmaceutical company focused on developing first-in-class medicines to improve treatment choices for people with cardiorenal diseases. This includes patients with chronic kidney disease, or CKD, suffering from elevated serum phosphorus, or hyperphosphatemia; and patients with CKD and/or heart failure patients with elevated serum potassium, or hyperkalemia.</w:t>
      </w:r>
    </w:p>
    <w:p>
      <w:pPr>
        <w:spacing w:after="0" w:line="16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Our portfolio is led by the development of tenapanor, a first-in-class inhibitor of NHE3. In our cardiorenal pipeline, tenapanor is being evaluated in a second Phase 3 clinical trial, the PHREEDOM trial, evaluating tenapanor as a monotherapy treatment for hyperphosphatemia in patients with CKD who are on dialysis, with topline results expected in the fourth quarter of 2019. This trial follows a successful first Phase 3 clinical trial completed in 2017, which achieved statistical significance for the primary endpoint. Tenapanor, if successfully developed and approved, would be the first therapy for phosphate management that is not a phosphate binder. In September 2019, we reported positive results from the AMPLIFY trial, a Phase 3 clinical trial evaluating tenapanor’s efficacy in combination with phosphate binders. Based on results from the AMPLIFY trial, tenapanor is the only phosphate lowering therapy that has been shown to be effective at lowering serum phosphorus in combination with phosphate binders in a clinical trial. We are also conducting a long-term, open-label Phase 4 study, called NORMALIZE, to evaluate the ability of tenapanor alone or in combination with sevelamer to achieve serum phosphorus concentrations towards the normal range in patients with CKD who are on dialysis.</w:t>
      </w:r>
    </w:p>
    <w:p>
      <w:pPr>
        <w:spacing w:after="0" w:line="166"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We are also advancing our small molecule potassium secretagogue program, RDX013, for the potential treatment of hyperkalemia. Hyperkalemia is a common problem in patients with heart and kidney disease, particularly in patients taking common blood pressure medications known as RAAS inhibitors, which inhibit the renin-angiotensin-aldosterone system. Similar to our non-binder approach to lowering hyperphosphatemia with tenapanor, the goal of our RDX013 program is to lower elevated potassium with a much lower pill burden than potassium binders and to potentially provide advantages as a stand-alone agent or in combination with potassium binders.</w:t>
      </w:r>
    </w:p>
    <w:p>
      <w:pPr>
        <w:spacing w:after="0" w:line="165"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In addition to the development of tenapanor for the treatment of hyperphosphatemia for CKD patients on dialysis, we have developed tenapanor for the treatment of patients with irritable bowel syndrome with constipation, or IBS-C. On September 12, 2019, the FDA approved IBSRELA (tenapanor), a 50 mg, twice daily oral pill for the treatment of IBS-C in adults. Although we received FDA approval for our NDA for tenapanor for the treatment of IBS-C in September 2019, we do not currently expect to commercialize tenapanor for IBS-C ourselves in the United States, and have not entered into a collaboration partnership for such commercialization.</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We have developed a proprietary drug discovery and design platform to discover targets found in the GI tract that regulate processes in the body and design products candidates that act upon those targets to take advantage of the gut’s ability to communicate with other organs.</w:t>
      </w:r>
    </w:p>
    <w:p>
      <w:pPr>
        <w:spacing w:after="0" w:line="16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Since commencing operations in October 2007, substantially all our efforts have been dedicated to our research and development activities, including developing our clinical product candidate tenapanor and developing our proprietary drug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discovery and design platform. We have not generated any revenues from product sales. As of September 30, 2019, we had an accumulated deficit of $440.7 million.</w:t>
      </w:r>
    </w:p>
    <w:p>
      <w:pPr>
        <w:spacing w:after="0" w:line="16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We expect to incur operating losses for the foreseeable future as a result of costs associated with the following activities: our continued development of tenapanor for the treatment of hyperphosphatemia in CKD patients on dialysis, including costs associated with the on-going Phase 3, PHREEDOM clinical trial; the preparation of the NDA to seek marketing approval for tenapanor for the treatment of hyperphosphatemia in patients with CKD on dialysis; our preparations for the commercialization of tenapanor for the treatment of hyperphosphatemia in CKD patients on dialysis; the performance of certain activities required as a result of our NDA approval of tenapanor for IBS-C, including costs associated with conducting the pediatric clinical trials for IBS-C; and the advancement of our research programs into the preclinical stage. To date, we have funded our operations from the sale and issuance of common stock and convertible preferred stock, funds from our collaboration partnerships, and funds from our Loan Agreement with Solar Capital Ltd. and Western Alliance Bank.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have not generated any revenue from product sales. Our past revenue performance is not necessarily indicative of results to be expected for the entire year ending December 31, 2019, or future operating periods. Our non-product revenue cannot always be predicted since it is dependent upon achievement of certain milestones. See “Note 2. Summary Of Significant Accounting Policies” for further detail.</w:t>
      </w:r>
    </w:p>
    <w:p>
      <w:pPr>
        <w:spacing w:after="0" w:line="163"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On January 1, 2018 we adopted the new standard for Revenue from Contracts with Customers, ASC 606, on a modified retrospective method as an adjustment to the opening balance of retained earnings of the annual reporting period. On January 1, 2018, we recorded (i) unbilled license revenue under current assets of $5.0 million reflecting a future receivable related to the first milestone under our license with KKC, which was subsequently achieved by KKC and collected in February 2019, thereby reducing the unbilled license revenue balance to zero; (ii) uncharged license fees under current liabilities of $1.0 million reflecting the corresponding future payable related to AstraZeneca, in accordance with our termination agreement with AstraZeneca, which, upon KKC achieving the milestone, was reclassified to accounts payable during the three months ended March 31, 2019, and subsequently paid to AstraZeneca during the three months ended June 30, 2019; and (iii) a related decrease in its accumulated deficit of approximately $4.0 million as the new standard permitted revenue from certain milestones to be recognized earlier and also contained different recognition criteria related to milestones than under the previous standard, ASC 605.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5"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Cost of revenue currently represents payments due to AstraZeneca, who under the terms of a termination agreement entered into in 2015 are entitled to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another NHE3 inhibitor, up to a maximum of $75.0 million in aggregate for (i) and (ii). We recognize these expenses as cost of revenue when we recognize the revenue that generates our liability for these license payments. To date in aggregate, we have recognized $10.5 million of the $75.0 million, recorded as cost of revenue. See details in NOTE 12. COLLABORATION AND LICENSING AGREEMENTS, under AstraZeneca.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We recognize all research and development expenses as they are incurred to support the discovery, development and manufacturing of our product candidates. Research and development expenses consist of the following:</w:t>
      </w:r>
    </w:p>
    <w:p>
      <w:pPr>
        <w:spacing w:after="0" w:line="147" w:lineRule="exact"/>
        <w:rPr>
          <w:sz w:val="20"/>
          <w:szCs w:val="20"/>
          <w:color w:val="auto"/>
        </w:rPr>
      </w:pPr>
    </w:p>
    <w:p>
      <w:pPr>
        <w:jc w:val="both"/>
        <w:ind w:left="660" w:hanging="333"/>
        <w:spacing w:after="0" w:line="224" w:lineRule="auto"/>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external research and development expenses incurred under agreements with consultants, third-party CROs and investigative sites where a substantial portion of our clinical studies are conducted, and with contract manufacturing organizations where our clinical supplies are produced;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expenses associated with supplies and materials consumed in connection with our research operations;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1"/>
        </w:numPr>
        <w:rPr>
          <w:rFonts w:ascii="Arial" w:cs="Arial" w:eastAsia="Arial" w:hAnsi="Arial"/>
          <w:sz w:val="17"/>
          <w:szCs w:val="17"/>
          <w:color w:val="231F20"/>
        </w:rPr>
      </w:pPr>
      <w:r>
        <w:rPr>
          <w:rFonts w:ascii="Arial" w:cs="Arial" w:eastAsia="Arial" w:hAnsi="Arial"/>
          <w:sz w:val="17"/>
          <w:szCs w:val="17"/>
          <w:color w:val="auto"/>
        </w:rPr>
        <w:t>employee-related expenses, which include salaries, bonuses, benefits, travel and stock-based compensation;</w:t>
      </w:r>
    </w:p>
    <w:p>
      <w:pPr>
        <w:spacing w:after="0" w:line="196" w:lineRule="exact"/>
        <w:rPr>
          <w:rFonts w:ascii="Arial" w:cs="Arial" w:eastAsia="Arial" w:hAnsi="Arial"/>
          <w:sz w:val="17"/>
          <w:szCs w:val="17"/>
          <w:color w:val="231F20"/>
        </w:rPr>
      </w:pPr>
    </w:p>
    <w:p>
      <w:pPr>
        <w:ind w:left="660" w:hanging="333"/>
        <w:spacing w:after="0"/>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other costs associated with regulatory, clinical and non-clinical development activities; and</w:t>
      </w:r>
    </w:p>
    <w:p>
      <w:pPr>
        <w:spacing w:after="0" w:line="184" w:lineRule="exact"/>
        <w:rPr>
          <w:rFonts w:ascii="Arial" w:cs="Arial" w:eastAsia="Arial" w:hAnsi="Arial"/>
          <w:sz w:val="18"/>
          <w:szCs w:val="18"/>
          <w:color w:val="231F20"/>
        </w:rPr>
      </w:pPr>
    </w:p>
    <w:p>
      <w:pPr>
        <w:ind w:left="660" w:hanging="333"/>
        <w:spacing w:after="0" w:line="258" w:lineRule="auto"/>
        <w:tabs>
          <w:tab w:leader="none" w:pos="660" w:val="left"/>
        </w:tabs>
        <w:numPr>
          <w:ilvl w:val="0"/>
          <w:numId w:val="11"/>
        </w:numPr>
        <w:rPr>
          <w:rFonts w:ascii="Arial" w:cs="Arial" w:eastAsia="Arial" w:hAnsi="Arial"/>
          <w:sz w:val="17"/>
          <w:szCs w:val="17"/>
          <w:color w:val="231F20"/>
        </w:rPr>
      </w:pPr>
      <w:r>
        <w:rPr>
          <w:rFonts w:ascii="Arial" w:cs="Arial" w:eastAsia="Arial" w:hAnsi="Arial"/>
          <w:sz w:val="17"/>
          <w:szCs w:val="17"/>
          <w:color w:val="auto"/>
        </w:rPr>
        <w:t>facilities and other allocated expenses, which include direct and allocated expenses for rent and maintenance of facilities, depreciation and amortization expense, information technology expense and other supplies.</w:t>
      </w:r>
    </w:p>
    <w:p>
      <w:pPr>
        <w:spacing w:after="0" w:line="147"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We expect to continue to make substantial investments in research and development activities as we further progress the development of tenapanor, as well as our other product candidates, advance our research programs into the preclinical stage and continue our early stage research. The process of conducting preclinical studies and clinical trials necessary to obtain regulatory approval is costly and time consuming. We may not succeed in achieving marketing approval for our other product candidates, including tenapanor for the treatment of hyperphosphatemia. Additionally, for the marketing approval received in the United States for tenapanor for the treatment of IBS-C, we may not be successful in securing one or more collaboration partners to commercialize tenapanor in the United States and other territories. The probability of success of each of the product candidates may be affected by numerous factors, including preclinical data, clinical data, market acceptance, sufficient third-party coverage or reimbursement, our ability to access capital on acceptable terms, competition, manufacturing capability and commercial viability.</w:t>
      </w:r>
    </w:p>
    <w:p>
      <w:pPr>
        <w:spacing w:after="0" w:line="164"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We anticipate that we will make determinations as to which programs to pursue and how much funding to direct to each program on an ongoing basis in response to the scientific and clinical success of each product candidate, ongoing assessment as to each product candidate’s commercial potential, and our ability to access capital on acceptable terms. We will need to raise additional capital and will seek additional collaboration partnerships in order to complete the development and commercialization of tenapanor.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General and administrative expenses consist primarily of salaries and related costs, including stock-based compensation. Other general and administrative expenses include facility related costs and professional fees for legal, accounting, investor relations and other consulting services.</w:t>
      </w:r>
    </w:p>
    <w:p>
      <w:pPr>
        <w:spacing w:after="0" w:line="163"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We anticipate that our general and administrative expenses will increase in the future primarily because of (i) increased pre-commercial activities, personnel costs and professional fees for services to support the potential launch and commercialization of tenapanor for the treatment of hyperphosphatemia in CKD patients on dialysis and (ii) expenses related to costs of operating as a public company primarily preparing for future integrated audits.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The provision for income taxes was $0.3 million for each of the three and nine months ended September 30, 2019 towards withholding tax related to the Fosun agreement milestone payment. The provision for income taxes was not material for each of the three and nine months ended September 30, 2018. We expect to generate a net loss for the year ending December 31, 2019. Our deferred tax assets continue to be fully offset by a valuation allowance.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Polices and Estimates</w:t>
      </w:r>
    </w:p>
    <w:p>
      <w:pPr>
        <w:spacing w:after="0" w:line="185"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upon our unaudited condensed consolidated financial statements, which have been prepared in accordance with United States generally accepted accounting principles, or U.S. GAAP. The preparation of these financial statements requires us to make estimates and assumptions that affect the reported amounts of assets and liabilities at the date of the financial statements,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as well as the expenses incurred during the reporting periods. Our estimates are based on our historical experience and on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consider certain accounting policies related to research and development expense, accruals and stock-based compensation to be critical policies. Other than the adoption of ASU No. 2016-02, Leases (Topic 842) on January 1, 2019, there have been no material changes to our critical accounting policies since we filed our 2018 Form 10-K with the SEC on March 6, 2019. For a description of our critical accounting policies, please refer to our Form 10-K we filed with the SEC on March 6,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Three and nine months ended September 30, 2019 and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60" w:firstLine="324"/>
        <w:spacing w:after="0" w:line="235" w:lineRule="auto"/>
        <w:rPr>
          <w:sz w:val="20"/>
          <w:szCs w:val="20"/>
          <w:color w:val="auto"/>
        </w:rPr>
      </w:pPr>
      <w:r>
        <w:rPr>
          <w:rFonts w:ascii="Arial" w:cs="Arial" w:eastAsia="Arial" w:hAnsi="Arial"/>
          <w:sz w:val="18"/>
          <w:szCs w:val="18"/>
          <w:color w:val="auto"/>
        </w:rPr>
        <w:t>Revenue for the three and nine months ended September 30, 2019, as compared to the same period in the prior year, was as follows (in thousands):</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jc w:val="center"/>
              <w:ind w:right="94"/>
              <w:spacing w:after="0"/>
              <w:rPr>
                <w:sz w:val="20"/>
                <w:szCs w:val="20"/>
                <w:color w:val="auto"/>
              </w:rPr>
            </w:pPr>
            <w:r>
              <w:rPr>
                <w:rFonts w:ascii="Arial" w:cs="Arial" w:eastAsia="Arial" w:hAnsi="Arial"/>
                <w:sz w:val="14"/>
                <w:szCs w:val="14"/>
                <w:b w:val="1"/>
                <w:bCs w:val="1"/>
                <w:color w:val="auto"/>
                <w:w w:val="93"/>
              </w:rPr>
              <w:t>Three Months Ended</w:t>
            </w:r>
          </w:p>
        </w:tc>
        <w:tc>
          <w:tcPr>
            <w:tcW w:w="2300" w:type="dxa"/>
            <w:vAlign w:val="bottom"/>
            <w:gridSpan w:val="8"/>
            <w:vMerge w:val="restart"/>
          </w:tcPr>
          <w:p>
            <w:pPr>
              <w:ind w:left="10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4"/>
          </w:tcPr>
          <w:p>
            <w:pPr>
              <w:jc w:val="center"/>
              <w:ind w:left="257"/>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Pr>
          <w:p>
            <w:pPr>
              <w:spacing w:after="0"/>
              <w:rPr>
                <w:sz w:val="14"/>
                <w:szCs w:val="14"/>
                <w:color w:val="auto"/>
              </w:rPr>
            </w:pPr>
          </w:p>
        </w:tc>
        <w:tc>
          <w:tcPr>
            <w:tcW w:w="230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58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7"/>
              <w:spacing w:after="0" w:line="129"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w w:val="83"/>
              </w:rPr>
              <w:t>2018</w:t>
            </w:r>
          </w:p>
        </w:tc>
        <w:tc>
          <w:tcPr>
            <w:tcW w:w="12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Licensing revenue</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176"/>
        </w:trPr>
        <w:tc>
          <w:tcPr>
            <w:tcW w:w="25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ind w:left="100"/>
              <w:spacing w:after="0" w:line="170" w:lineRule="exact"/>
              <w:rPr>
                <w:sz w:val="20"/>
                <w:szCs w:val="20"/>
                <w:color w:val="auto"/>
              </w:rPr>
            </w:pPr>
            <w:r>
              <w:rPr>
                <w:rFonts w:ascii="Arial" w:cs="Arial" w:eastAsia="Arial" w:hAnsi="Arial"/>
                <w:sz w:val="18"/>
                <w:szCs w:val="18"/>
                <w:color w:val="auto"/>
              </w:rPr>
              <w:t>Total revenues</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3,013</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3,031</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7"/>
                <w:szCs w:val="17"/>
                <w:color w:val="auto"/>
              </w:rPr>
              <w:t>Dollar change from prior year</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7"/>
                <w:szCs w:val="17"/>
                <w:color w:val="auto"/>
              </w:rPr>
              <w:t>2,841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7"/>
                <w:szCs w:val="17"/>
                <w:color w:val="auto"/>
              </w:rPr>
              <w:t>509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580" w:type="dxa"/>
            <w:vAlign w:val="bottom"/>
          </w:tcPr>
          <w:p>
            <w:pPr>
              <w:spacing w:after="0" w:line="190" w:lineRule="exact"/>
              <w:rPr>
                <w:sz w:val="20"/>
                <w:szCs w:val="20"/>
                <w:color w:val="auto"/>
              </w:rPr>
            </w:pPr>
            <w:r>
              <w:rPr>
                <w:rFonts w:ascii="Arial" w:cs="Arial" w:eastAsia="Arial" w:hAnsi="Arial"/>
                <w:sz w:val="18"/>
                <w:szCs w:val="18"/>
                <w:color w:val="auto"/>
              </w:rPr>
              <w:t>Percent change from prior year</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80"/>
              <w:spacing w:after="0" w:line="190" w:lineRule="exact"/>
              <w:rPr>
                <w:sz w:val="20"/>
                <w:szCs w:val="20"/>
                <w:color w:val="auto"/>
              </w:rPr>
            </w:pPr>
            <w:r>
              <w:rPr>
                <w:rFonts w:ascii="Arial" w:cs="Arial" w:eastAsia="Arial" w:hAnsi="Arial"/>
                <w:sz w:val="18"/>
                <w:szCs w:val="18"/>
                <w:color w:val="auto"/>
              </w:rPr>
              <w:t>20 %</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-102870</wp:posOffset>
            </wp:positionV>
            <wp:extent cx="4596765" cy="1117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96765" cy="111760"/>
                    </a:xfrm>
                    <a:prstGeom prst="rect">
                      <a:avLst/>
                    </a:prstGeom>
                    <a:noFill/>
                  </pic:spPr>
                </pic:pic>
              </a:graphicData>
            </a:graphic>
          </wp:anchor>
        </w:drawing>
      </w:r>
    </w:p>
    <w:p>
      <w:pPr>
        <w:spacing w:after="0" w:line="189" w:lineRule="auto"/>
        <w:rPr>
          <w:sz w:val="20"/>
          <w:szCs w:val="20"/>
          <w:color w:val="auto"/>
        </w:rPr>
      </w:pPr>
      <w:r>
        <w:rPr>
          <w:rFonts w:ascii="Arial" w:cs="Arial" w:eastAsia="Arial" w:hAnsi="Arial"/>
          <w:sz w:val="9"/>
          <w:szCs w:val="9"/>
          <w:color w:val="auto"/>
        </w:rPr>
        <w:t>________________________________________</w:t>
      </w:r>
    </w:p>
    <w:p>
      <w:pPr>
        <w:ind w:left="120" w:hanging="117"/>
        <w:spacing w:after="0" w:line="235" w:lineRule="auto"/>
        <w:tabs>
          <w:tab w:leader="none" w:pos="120" w:val="left"/>
        </w:tabs>
        <w:numPr>
          <w:ilvl w:val="0"/>
          <w:numId w:val="12"/>
        </w:numPr>
        <w:rPr>
          <w:rFonts w:ascii="Arial" w:cs="Arial" w:eastAsia="Arial" w:hAnsi="Arial"/>
          <w:sz w:val="18"/>
          <w:szCs w:val="18"/>
          <w:color w:val="auto"/>
        </w:rPr>
      </w:pPr>
      <w:r>
        <w:rPr>
          <w:rFonts w:ascii="Arial" w:cs="Arial" w:eastAsia="Arial" w:hAnsi="Arial"/>
          <w:sz w:val="14"/>
          <w:szCs w:val="14"/>
          <w:color w:val="auto"/>
        </w:rPr>
        <w:t>not meaningful</w:t>
      </w:r>
    </w:p>
    <w:p>
      <w:pPr>
        <w:spacing w:after="0" w:line="146"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Revenue was $3.0 million for the three months ended September 30, 2019, an increase of $2.8 million compared to $0.2 million for the three months ended September 30, 2018. For the three months ended September 30, 2019, we recognized $3.0 million revenue related to achievement of a milestone pursuant to the Fosun agreement and $13,000 revenue related to manufacturing supply of tenapanor and other materials delivered to KKC for its product development and clinical trials in Japan in accordance with our agreement with KKC. For the three months ended September 30, 2018, we recognized revenue related to the manufacturing supply of tenapanor and other materials delivered to KKC.</w:t>
      </w:r>
    </w:p>
    <w:p>
      <w:pPr>
        <w:spacing w:after="0" w:line="125"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Revenue was $3.0 million for the nine months ended September 30, 2019, an increase of $0.5 million, or 20%, compared to $2.5 million for the nine months ended September 30, 2018. For the nine months ended September 30, 2019 we recognized $3.0 million revenue related to achievement of a milestone pursuant to the Fosun agreement and a $31,000 revenue related to the manufacturing supply of tenapanor and other materials delivered to KKC for its product development and clinical trials in Japan in accordance with our agreement with KKC. For the nine months ended September 30, 2018 revenue was from the licensing revenue of $2.3 million related to a license fee and $0.2 million related to the manufacturing supply of tenapanor and other materials delivered to KKC.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5" w:lineRule="exact"/>
        <w:rPr>
          <w:sz w:val="20"/>
          <w:szCs w:val="20"/>
          <w:color w:val="auto"/>
        </w:rPr>
      </w:pPr>
    </w:p>
    <w:p>
      <w:pPr>
        <w:ind w:right="260" w:firstLine="324"/>
        <w:spacing w:after="0" w:line="235" w:lineRule="auto"/>
        <w:rPr>
          <w:sz w:val="20"/>
          <w:szCs w:val="20"/>
          <w:color w:val="auto"/>
        </w:rPr>
      </w:pPr>
      <w:r>
        <w:rPr>
          <w:rFonts w:ascii="Arial" w:cs="Arial" w:eastAsia="Arial" w:hAnsi="Arial"/>
          <w:sz w:val="18"/>
          <w:szCs w:val="18"/>
          <w:color w:val="auto"/>
        </w:rPr>
        <w:t>Cost of revenue for the three and nine months ended September 30, 2019, as compared to the same period in the prior year, was as follows (in thousands):</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Nine Months Ended</w:t>
            </w:r>
          </w:p>
        </w:tc>
      </w:tr>
      <w:tr>
        <w:trPr>
          <w:trHeight w:val="162"/>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3"/>
          </w:tcPr>
          <w:p>
            <w:pPr>
              <w:jc w:val="right"/>
              <w:ind w:right="245"/>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r>
      <w:tr>
        <w:trPr>
          <w:trHeight w:val="129"/>
        </w:trPr>
        <w:tc>
          <w:tcPr>
            <w:tcW w:w="3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80"/>
              <w:spacing w:after="0" w:line="129"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top w:val="single" w:sz="8" w:color="auto"/>
            </w:tcBorders>
            <w:gridSpan w:val="2"/>
          </w:tcPr>
          <w:p>
            <w:pPr>
              <w:jc w:val="right"/>
              <w:ind w:right="5"/>
              <w:spacing w:after="0" w:line="129"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80"/>
              <w:spacing w:after="0" w:line="129"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99"/>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1"/>
                <w:szCs w:val="11"/>
                <w:color w:val="auto"/>
              </w:rPr>
            </w:pPr>
          </w:p>
        </w:tc>
      </w:tr>
      <w:tr>
        <w:trPr>
          <w:trHeight w:val="169"/>
        </w:trPr>
        <w:tc>
          <w:tcPr>
            <w:tcW w:w="31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Cost of revenue</w:t>
            </w:r>
          </w:p>
        </w:tc>
        <w:tc>
          <w:tcPr>
            <w:tcW w:w="180" w:type="dxa"/>
            <w:vAlign w:val="bottom"/>
            <w:tcBorders>
              <w:top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600</w:t>
            </w:r>
          </w:p>
        </w:tc>
        <w:tc>
          <w:tcPr>
            <w:tcW w:w="2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05"/>
              <w:spacing w:after="0" w:line="169" w:lineRule="exact"/>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600</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466</w:t>
            </w:r>
          </w:p>
        </w:tc>
        <w:tc>
          <w:tcPr>
            <w:tcW w:w="140" w:type="dxa"/>
            <w:vAlign w:val="bottom"/>
            <w:tcBorders>
              <w:top w:val="single" w:sz="8" w:color="CCEEFF"/>
            </w:tcBorders>
            <w:shd w:val="clear" w:color="auto" w:fill="CCEEFF"/>
          </w:tcPr>
          <w:p>
            <w:pPr>
              <w:spacing w:after="0"/>
              <w:rPr>
                <w:sz w:val="14"/>
                <w:szCs w:val="14"/>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7"/>
                <w:szCs w:val="17"/>
                <w:color w:val="auto"/>
              </w:rPr>
              <w:t>Dollar change from prior year</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7"/>
                <w:szCs w:val="17"/>
                <w:color w:val="auto"/>
              </w:rPr>
              <w:t>598</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7"/>
                <w:szCs w:val="17"/>
                <w:color w:val="auto"/>
              </w:rPr>
              <w:t>134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90"/>
        </w:trPr>
        <w:tc>
          <w:tcPr>
            <w:tcW w:w="3160" w:type="dxa"/>
            <w:vAlign w:val="bottom"/>
          </w:tcPr>
          <w:p>
            <w:pPr>
              <w:spacing w:after="0" w:line="190" w:lineRule="exact"/>
              <w:rPr>
                <w:sz w:val="20"/>
                <w:szCs w:val="20"/>
                <w:color w:val="auto"/>
              </w:rPr>
            </w:pPr>
            <w:r>
              <w:rPr>
                <w:rFonts w:ascii="Arial" w:cs="Arial" w:eastAsia="Arial" w:hAnsi="Arial"/>
                <w:sz w:val="18"/>
                <w:szCs w:val="18"/>
                <w:color w:val="auto"/>
              </w:rPr>
              <w:t>Percent change from prior year</w:t>
            </w:r>
          </w:p>
        </w:tc>
        <w:tc>
          <w:tcPr>
            <w:tcW w:w="180" w:type="dxa"/>
            <w:vAlign w:val="bottom"/>
          </w:tcPr>
          <w:p>
            <w:pPr>
              <w:spacing w:after="0"/>
              <w:rPr>
                <w:sz w:val="16"/>
                <w:szCs w:val="16"/>
                <w:color w:val="auto"/>
              </w:rPr>
            </w:pPr>
          </w:p>
        </w:tc>
        <w:tc>
          <w:tcPr>
            <w:tcW w:w="64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00"/>
              <w:spacing w:after="0" w:line="190" w:lineRule="exact"/>
              <w:rPr>
                <w:sz w:val="20"/>
                <w:szCs w:val="20"/>
                <w:color w:val="auto"/>
              </w:rPr>
            </w:pPr>
            <w:r>
              <w:rPr>
                <w:rFonts w:ascii="Arial" w:cs="Arial" w:eastAsia="Arial" w:hAnsi="Arial"/>
                <w:sz w:val="18"/>
                <w:szCs w:val="18"/>
                <w:color w:val="auto"/>
              </w:rPr>
              <w:t>29 %</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-102870</wp:posOffset>
            </wp:positionV>
            <wp:extent cx="4596765" cy="111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96765" cy="111760"/>
                    </a:xfrm>
                    <a:prstGeom prst="rect">
                      <a:avLst/>
                    </a:prstGeom>
                    <a:noFill/>
                  </pic:spPr>
                </pic:pic>
              </a:graphicData>
            </a:graphic>
          </wp:anchor>
        </w:drawing>
      </w:r>
    </w:p>
    <w:p>
      <w:pPr>
        <w:spacing w:after="0" w:line="189" w:lineRule="auto"/>
        <w:rPr>
          <w:sz w:val="20"/>
          <w:szCs w:val="20"/>
          <w:color w:val="auto"/>
        </w:rPr>
      </w:pPr>
      <w:r>
        <w:rPr>
          <w:rFonts w:ascii="Arial" w:cs="Arial" w:eastAsia="Arial" w:hAnsi="Arial"/>
          <w:sz w:val="9"/>
          <w:szCs w:val="9"/>
          <w:color w:val="auto"/>
        </w:rPr>
        <w:t>________________________________________</w:t>
      </w:r>
    </w:p>
    <w:p>
      <w:pPr>
        <w:ind w:left="120" w:hanging="117"/>
        <w:spacing w:after="0" w:line="235" w:lineRule="auto"/>
        <w:tabs>
          <w:tab w:leader="none" w:pos="120" w:val="left"/>
        </w:tabs>
        <w:numPr>
          <w:ilvl w:val="0"/>
          <w:numId w:val="13"/>
        </w:numPr>
        <w:rPr>
          <w:rFonts w:ascii="Arial" w:cs="Arial" w:eastAsia="Arial" w:hAnsi="Arial"/>
          <w:sz w:val="18"/>
          <w:szCs w:val="18"/>
          <w:color w:val="auto"/>
        </w:rPr>
      </w:pPr>
      <w:r>
        <w:rPr>
          <w:rFonts w:ascii="Arial" w:cs="Arial" w:eastAsia="Arial" w:hAnsi="Arial"/>
          <w:sz w:val="14"/>
          <w:szCs w:val="14"/>
          <w:color w:val="auto"/>
        </w:rPr>
        <w:t>not meaningful</w:t>
      </w:r>
    </w:p>
    <w:p>
      <w:pPr>
        <w:spacing w:after="0" w:line="146"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Cost of revenue was $0.6 million for the three months ended September 30, 2019, an increase of approximately $0.6 million compared to an insignificant amount for the three months ended September 30, 2018. For the three months ended September 30, 2019 cost of revenue relates to the fees owed to AstraZeneca pursuant to the AstraZeneca Termination Agreement, corresponding to the revenue realized.</w:t>
      </w:r>
    </w:p>
    <w:p>
      <w:pPr>
        <w:spacing w:after="0" w:line="12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Cost of revenue was $0.6 million for the nine months ended September 30, 2019, an increase of $0.1 million, compared to $0.5 million for the nine months ended September 30, 2018. For the nine months ended September 30, 2019 cost of revenue relates to the fees owed to AstraZeneca pursuant to the AstraZeneca Termination Agreement, corresponding to the revenue realized. For the nine months ended September 30, 2018, cost of revenue of $0.5 million was the fees paid to AstraZeneca pursuant to the AstraZeneca Termination Agreement, corresponding to the revenue realized.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Research and development expenses for the three and nine months ended September 30, 2019, as compared to the same period in the prior year, were as follows (in thousands):</w:t>
      </w:r>
    </w:p>
    <w:p>
      <w:pPr>
        <w:spacing w:after="0" w:line="150"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9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Nine Months Ended</w:t>
            </w:r>
          </w:p>
        </w:tc>
      </w:tr>
      <w:tr>
        <w:trPr>
          <w:trHeight w:val="162"/>
        </w:trPr>
        <w:tc>
          <w:tcPr>
            <w:tcW w:w="3200" w:type="dxa"/>
            <w:vAlign w:val="bottom"/>
          </w:tcPr>
          <w:p>
            <w:pPr>
              <w:spacing w:after="0"/>
              <w:rPr>
                <w:sz w:val="14"/>
                <w:szCs w:val="14"/>
                <w:color w:val="auto"/>
              </w:rPr>
            </w:pPr>
          </w:p>
        </w:tc>
        <w:tc>
          <w:tcPr>
            <w:tcW w:w="1440" w:type="dxa"/>
            <w:vAlign w:val="bottom"/>
            <w:gridSpan w:val="3"/>
          </w:tcPr>
          <w:p>
            <w:pPr>
              <w:jc w:val="center"/>
              <w:ind w:left="479"/>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September 30,</w:t>
            </w:r>
          </w:p>
        </w:tc>
      </w:tr>
      <w:tr>
        <w:trPr>
          <w:trHeight w:val="129"/>
        </w:trPr>
        <w:tc>
          <w:tcPr>
            <w:tcW w:w="3200" w:type="dxa"/>
            <w:vAlign w:val="bottom"/>
            <w:tcBorders>
              <w:bottom w:val="single" w:sz="8" w:color="CCEEFF"/>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w w:val="83"/>
              </w:rPr>
              <w:t>2018</w:t>
            </w:r>
          </w:p>
        </w:tc>
        <w:tc>
          <w:tcPr>
            <w:tcW w:w="14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164"/>
              <w:spacing w:after="0" w:line="129"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1"/>
                <w:szCs w:val="11"/>
                <w:color w:val="auto"/>
              </w:rPr>
            </w:pPr>
          </w:p>
        </w:tc>
      </w:tr>
      <w:tr>
        <w:trPr>
          <w:trHeight w:val="169"/>
        </w:trPr>
        <w:tc>
          <w:tcPr>
            <w:tcW w:w="32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   17,580</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10"/>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17,941</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  57,436</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  47,337</w:t>
            </w:r>
          </w:p>
        </w:tc>
        <w:tc>
          <w:tcPr>
            <w:tcW w:w="60" w:type="dxa"/>
            <w:vAlign w:val="bottom"/>
            <w:shd w:val="clear" w:color="auto" w:fill="CCEEFF"/>
          </w:tcPr>
          <w:p>
            <w:pPr>
              <w:spacing w:after="0"/>
              <w:rPr>
                <w:sz w:val="14"/>
                <w:szCs w:val="14"/>
                <w:color w:val="auto"/>
              </w:rPr>
            </w:pPr>
          </w:p>
        </w:tc>
      </w:tr>
      <w:tr>
        <w:trPr>
          <w:trHeight w:val="176"/>
        </w:trPr>
        <w:tc>
          <w:tcPr>
            <w:tcW w:w="3200" w:type="dxa"/>
            <w:vAlign w:val="bottom"/>
          </w:tcPr>
          <w:p>
            <w:pPr>
              <w:spacing w:after="0" w:line="176" w:lineRule="exact"/>
              <w:rPr>
                <w:sz w:val="20"/>
                <w:szCs w:val="20"/>
                <w:color w:val="auto"/>
              </w:rPr>
            </w:pPr>
            <w:r>
              <w:rPr>
                <w:rFonts w:ascii="Arial" w:cs="Arial" w:eastAsia="Arial" w:hAnsi="Arial"/>
                <w:sz w:val="18"/>
                <w:szCs w:val="18"/>
                <w:color w:val="auto"/>
              </w:rPr>
              <w:t>Dollar change from prior year</w:t>
            </w:r>
          </w:p>
        </w:tc>
        <w:tc>
          <w:tcPr>
            <w:tcW w:w="114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(361)</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10,099</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3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Percent change from prior year</w:t>
            </w:r>
          </w:p>
        </w:tc>
        <w:tc>
          <w:tcPr>
            <w:tcW w:w="11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21 %</w:t>
            </w: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Research and development expenses were $17.5 million for the three months ended September 30, 2019, a decrease of $0.4 million, or 2%, compared to $17.9 million for the three months ended September 30, 2018. The decrease consisted of a $1.8 million decrease in our external program costs offset by a $1.4 million increase in our internal program costs.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decrease in our external program costs of $1.8 million included a $2.5 million decrease in expense primarily related to manufacturing of tenapanor and the continued clinical development of tenapanor for the treatment of hyperphosphatemia in CKD patients on dialysis, partially offset by a $0.7 million increase related to the RDX013 program.</w:t>
      </w:r>
    </w:p>
    <w:p>
      <w:pPr>
        <w:spacing w:after="0" w:line="14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increase in our internal costs of $1.4 million was primarily due to an increase in headcount and related personnel costs and an increase in stock-based compensation expenses partially offset by a decrease in professional services.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Research and development expenses were $57.4 million for the nine months ended September 30, 2019, an increase of $10.1 million, or 21%, compared to $47.3 million for the nine months ended September 30, 2018. The increase consisted of a $7.4 million increase in our external program costs and a $2.7 million increase in our internal program costs.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The increase in our external program costs of $7.4 million included a $9.0 million increase in expense primarily related to manufacturing of tenapanor and the clinical development of tenapanor for the treatment of hyperphosphatemia in CKD patients on dialysis and a $2.0 million increase related to the RDX013 program, partially offset by an out-of-period adjustment recorded during the second quarter of 2019 that reduced clinical trial expenses by $3.6 million related to our tenapanor clinical trials.</w:t>
      </w:r>
    </w:p>
    <w:p>
      <w:pPr>
        <w:spacing w:after="0" w:line="12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 increase in our internal costs of $2.7 million was primarily due to an increase in headcount and related personnel costs, an increase in stock-based compensation expenses and an increase in professional services.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General and administrative expenses for the three and nine months ended September 30, 2019, as compared to the same period in the prior year, were as follows (in thousands):</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center"/>
              <w:ind w:right="119"/>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9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r>
      <w:tr>
        <w:trPr>
          <w:trHeight w:val="162"/>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center"/>
              <w:ind w:right="159"/>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19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r>
      <w:tr>
        <w:trPr>
          <w:trHeight w:val="129"/>
        </w:trPr>
        <w:tc>
          <w:tcPr>
            <w:tcW w:w="31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184"/>
              <w:spacing w:after="0" w:line="129"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1"/>
                <w:szCs w:val="11"/>
                <w:color w:val="auto"/>
              </w:rPr>
            </w:pPr>
          </w:p>
        </w:tc>
      </w:tr>
      <w:tr>
        <w:trPr>
          <w:trHeight w:val="169"/>
        </w:trPr>
        <w:tc>
          <w:tcPr>
            <w:tcW w:w="31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6,922</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5,961</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  17,410</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80"/>
              <w:spacing w:after="0" w:line="170" w:lineRule="exact"/>
              <w:rPr>
                <w:sz w:val="20"/>
                <w:szCs w:val="20"/>
                <w:color w:val="auto"/>
              </w:rPr>
            </w:pPr>
            <w:r>
              <w:rPr>
                <w:rFonts w:ascii="Arial" w:cs="Arial" w:eastAsia="Arial" w:hAnsi="Arial"/>
                <w:sz w:val="18"/>
                <w:szCs w:val="18"/>
                <w:color w:val="auto"/>
                <w:w w:val="98"/>
              </w:rPr>
              <w:t>18,290</w:t>
            </w:r>
          </w:p>
        </w:tc>
        <w:tc>
          <w:tcPr>
            <w:tcW w:w="60" w:type="dxa"/>
            <w:vAlign w:val="bottom"/>
            <w:shd w:val="clear" w:color="auto" w:fill="CCEEFF"/>
          </w:tcPr>
          <w:p>
            <w:pPr>
              <w:spacing w:after="0"/>
              <w:rPr>
                <w:sz w:val="14"/>
                <w:szCs w:val="14"/>
                <w:color w:val="auto"/>
              </w:rPr>
            </w:pPr>
          </w:p>
        </w:tc>
      </w:tr>
      <w:tr>
        <w:trPr>
          <w:trHeight w:val="176"/>
        </w:trPr>
        <w:tc>
          <w:tcPr>
            <w:tcW w:w="3180" w:type="dxa"/>
            <w:vAlign w:val="bottom"/>
          </w:tcPr>
          <w:p>
            <w:pPr>
              <w:spacing w:after="0" w:line="176" w:lineRule="exact"/>
              <w:rPr>
                <w:sz w:val="20"/>
                <w:szCs w:val="20"/>
                <w:color w:val="auto"/>
              </w:rPr>
            </w:pPr>
            <w:r>
              <w:rPr>
                <w:rFonts w:ascii="Arial" w:cs="Arial" w:eastAsia="Arial" w:hAnsi="Arial"/>
                <w:sz w:val="18"/>
                <w:szCs w:val="18"/>
                <w:color w:val="auto"/>
              </w:rPr>
              <w:t>Dollar change from prior year</w:t>
            </w:r>
          </w:p>
        </w:tc>
        <w:tc>
          <w:tcPr>
            <w:tcW w:w="1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961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(880)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3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Percent change from prior year</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16 %</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General and administrative expenses were $6.9 million for the three months ended September 30, 2019, an increase of $0.9 million, or 16%, compared to $6.0 million for the three months ended September 30, 2018. The increase was primarily due to an increase in stock-based compensation costs and an increase in professional services, partially offset by a decrease in personnel costs related to a one-time severance payment during the three months ended September 30, 2018.</w:t>
      </w:r>
    </w:p>
    <w:p>
      <w:pPr>
        <w:spacing w:after="0" w:line="15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General and administrative expenses were $17.4 million for the nine months ended September 30, 2019, a decrease of $0.9 million, or 5%, compared to $18.3 million for the nine months ended September 30, 2018. The decrease was primarily due to a decrease in professional services, partially offset by an increase in stock-based compensation costs.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displays a summary of our cash, cash equivalents and short-term investments as of September 30,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2019 and December 31, 2018 (in thousands):</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0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50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169"/>
        </w:trPr>
        <w:tc>
          <w:tcPr>
            <w:tcW w:w="50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6"/>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92,673</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6"/>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78,768</w:t>
            </w:r>
          </w:p>
        </w:tc>
        <w:tc>
          <w:tcPr>
            <w:tcW w:w="60" w:type="dxa"/>
            <w:vAlign w:val="bottom"/>
            <w:shd w:val="clear" w:color="auto" w:fill="CCEEFF"/>
          </w:tcPr>
          <w:p>
            <w:pPr>
              <w:spacing w:after="0"/>
              <w:rPr>
                <w:sz w:val="14"/>
                <w:szCs w:val="14"/>
                <w:color w:val="auto"/>
              </w:rPr>
            </w:pPr>
          </w:p>
        </w:tc>
      </w:tr>
      <w:tr>
        <w:trPr>
          <w:trHeight w:val="176"/>
        </w:trPr>
        <w:tc>
          <w:tcPr>
            <w:tcW w:w="50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Short-term investments</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10,870</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89,321</w:t>
            </w:r>
          </w:p>
        </w:tc>
        <w:tc>
          <w:tcPr>
            <w:tcW w:w="60" w:type="dxa"/>
            <w:vAlign w:val="bottom"/>
            <w:tcBorders>
              <w:bottom w:val="single" w:sz="8" w:color="CCEEFF"/>
            </w:tcBorders>
          </w:tcPr>
          <w:p>
            <w:pPr>
              <w:spacing w:after="0"/>
              <w:rPr>
                <w:sz w:val="15"/>
                <w:szCs w:val="15"/>
                <w:color w:val="auto"/>
              </w:rPr>
            </w:pPr>
          </w:p>
        </w:tc>
      </w:tr>
      <w:tr>
        <w:trPr>
          <w:trHeight w:val="176"/>
        </w:trPr>
        <w:tc>
          <w:tcPr>
            <w:tcW w:w="50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liquid funds</w:t>
            </w:r>
          </w:p>
        </w:tc>
        <w:tc>
          <w:tcPr>
            <w:tcW w:w="200" w:type="dxa"/>
            <w:vAlign w:val="bottom"/>
            <w:tcBorders>
              <w:bottom w:val="single" w:sz="8" w:color="auto"/>
            </w:tcBorders>
            <w:shd w:val="clear" w:color="auto" w:fill="CCEEFF"/>
          </w:tcPr>
          <w:p>
            <w:pPr>
              <w:jc w:val="right"/>
              <w:ind w:right="46"/>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103,543</w:t>
            </w: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6"/>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168,089</w:t>
            </w:r>
          </w:p>
        </w:tc>
        <w:tc>
          <w:tcPr>
            <w:tcW w:w="6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On May 16, 2018, we entered into a loan and security agreement, or the Loan Agreement, with Solar Capital Ltd. and Western Alliance Bank. The Loan Agreement provides for a $50.0 million term loan facility with a maturity date of November 1, 2022. The full amount of the loan was funded on May 16, 2018. We received net proceeds from the loan of $49.3 million, after deducting the closing fee, legal expenses and issuance cost.</w:t>
      </w:r>
    </w:p>
    <w:p>
      <w:pPr>
        <w:spacing w:after="0" w:line="163"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On May 25, 2018, we completed an underwritten public offering of 12,500,000 shares of our common stock at a price to the public of $4.00 per share, that were purchased by the Underwriters from the Company at a price of $3.76 per share, and on June 25, 2018, we sold an additional 1,875,000 shares of our common stock at a price to the public of $4.00 per share, that were purchased by the Underwriters from the Company at a price of $3.76 per share, following the full exercise of the underwriters’ option to purchase an additional shares of common stock. We received net proceeds from the offering of $53.8 million, after deducting the underwriting discounts, commissions and offering expenses.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On August 9, 2018, we filed a prospectus supplement with the SEC pursuant to our previously filed shelf registration statement on Form S-3 (File No. 333-217441). The prospectus covers the offering, issuance and sale of up to $50.0 million of shares of common stock from time to time in “at the market” offerings pursuant to a Sales Agreement entered into with SVB Leerink (formerly known as Leerink Partners LLC), or Leerink, on August 9, 2018. As of September 30, 2019, no shares have been offered or issued or sold against the Sales Agreement with Leerink.</w:t>
      </w:r>
    </w:p>
    <w:p>
      <w:pPr>
        <w:spacing w:after="0" w:line="161"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Our primary sources of cash have been from the sale and issuance of common stock and convertible preferred stock, funds from our collaboration partnerships, and funds from our Loan Agreement with Solar Capital Ltd. and Western Alliance Bank. Our primary uses of cash are to fund operating expenses, primarily research and development expenditures. Cash used to fund operating expenses is impacted by the timing of when we pay these expenses, as reflected in the change in our outstanding accounts payable and accrued expenses.</w:t>
      </w:r>
    </w:p>
    <w:p>
      <w:pPr>
        <w:spacing w:after="0" w:line="162"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We believe that our existing capital resources as of September 30, 2019 will enable us to fund our operating expenses and capital expenditure requirements for at least the next 12 months following our financial statement issuance date. We have based this estimate on assumptions that may prove to be wrong, and we could utilize our available capital resources sooner than we currently expect. In particular, our operating plan can change, and we may require significant additional capital to fund our operations, including to support the development, commercialization and manufacturing efforts for tenapanor. We may seek to obtain such additional capital through debt financings, credit facilities, additional equity offerings and/or strategic collaborations. We currently have no unutilized credit facility or committed sources of capital, and there can be no assurances that such sources of capital will be available to us when needed or on acceptable terms. Because of the numerous risks and uncertainties associated with the development and commercialization of our product candidates, and the extent to which we may be able to secure additional collaboration partnerships with third-parties to participate in the development and commercialization of our potential products, our future funding requirements will depend on many factors, including the following:</w:t>
      </w:r>
    </w:p>
    <w:p>
      <w:pPr>
        <w:spacing w:after="0" w:line="163" w:lineRule="exact"/>
        <w:rPr>
          <w:sz w:val="20"/>
          <w:szCs w:val="20"/>
          <w:color w:val="auto"/>
        </w:rPr>
      </w:pPr>
    </w:p>
    <w:p>
      <w:pPr>
        <w:jc w:val="both"/>
        <w:ind w:left="660" w:hanging="333"/>
        <w:spacing w:after="0" w:line="232" w:lineRule="auto"/>
        <w:tabs>
          <w:tab w:leader="none" w:pos="660" w:val="left"/>
        </w:tabs>
        <w:numPr>
          <w:ilvl w:val="0"/>
          <w:numId w:val="14"/>
        </w:numPr>
        <w:rPr>
          <w:rFonts w:ascii="Arial" w:cs="Arial" w:eastAsia="Arial" w:hAnsi="Arial"/>
          <w:sz w:val="17"/>
          <w:szCs w:val="17"/>
          <w:color w:val="231F20"/>
        </w:rPr>
      </w:pPr>
      <w:r>
        <w:rPr>
          <w:rFonts w:ascii="Arial" w:cs="Arial" w:eastAsia="Arial" w:hAnsi="Arial"/>
          <w:sz w:val="17"/>
          <w:szCs w:val="17"/>
          <w:color w:val="auto"/>
        </w:rPr>
        <w:t>the progress, timing, scope, results and costs of our clinical trial program evaluating tenapanor for the treatment of hyperphosphatemia in CKD patients on dialysis, and if our clinical program is successful, the submission of an NDA with the FDA to request marketing authorization for tenapanor for the treatment of hyperphosphatemia in CKD patients on dialysis, as well as our decision whether or not to pursue other indications for tenapanor;</w:t>
      </w:r>
    </w:p>
    <w:p>
      <w:pPr>
        <w:spacing w:after="0" w:line="162"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our ability to identify a collaboration partner and negotiate acceptable terms for a collaboration partnership for the commercialization of tenapanor in IBS-C in the United States;</w:t>
      </w:r>
    </w:p>
    <w:p>
      <w:pPr>
        <w:spacing w:after="0" w:line="161"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which has been approved by the FDA for the treatment of patients with IBS-C, either alone or with one or more collaboration partners; and, our ability to successfully commercialize tenapanor for the treatment of hyperphosphatemia in CKD patients on dialysis, if approved, either alone or with one or more collaboration partners;</w:t>
      </w:r>
    </w:p>
    <w:p>
      <w:pPr>
        <w:spacing w:after="0" w:line="162"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the selling and marketing costs associated with tenapanor, including the cost and timing of building our sales and marketing capabilities, should we elect to do so;</w:t>
      </w:r>
    </w:p>
    <w:p>
      <w:pPr>
        <w:spacing w:after="0" w:line="161" w:lineRule="exact"/>
        <w:rPr>
          <w:rFonts w:ascii="Arial" w:cs="Arial" w:eastAsia="Arial" w:hAnsi="Arial"/>
          <w:sz w:val="18"/>
          <w:szCs w:val="18"/>
          <w:color w:val="231F20"/>
        </w:rPr>
      </w:pPr>
    </w:p>
    <w:p>
      <w:pPr>
        <w:ind w:left="660" w:hanging="333"/>
        <w:spacing w:after="0" w:line="289" w:lineRule="auto"/>
        <w:tabs>
          <w:tab w:leader="none" w:pos="660" w:val="left"/>
        </w:tabs>
        <w:numPr>
          <w:ilvl w:val="0"/>
          <w:numId w:val="14"/>
        </w:numPr>
        <w:rPr>
          <w:rFonts w:ascii="Arial" w:cs="Arial" w:eastAsia="Arial" w:hAnsi="Arial"/>
          <w:sz w:val="16"/>
          <w:szCs w:val="16"/>
          <w:color w:val="231F20"/>
        </w:rPr>
      </w:pPr>
      <w:r>
        <w:rPr>
          <w:rFonts w:ascii="Arial" w:cs="Arial" w:eastAsia="Arial" w:hAnsi="Arial"/>
          <w:sz w:val="16"/>
          <w:szCs w:val="16"/>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24" w:lineRule="exact"/>
        <w:rPr>
          <w:rFonts w:ascii="Arial" w:cs="Arial" w:eastAsia="Arial" w:hAnsi="Arial"/>
          <w:sz w:val="16"/>
          <w:szCs w:val="16"/>
          <w:color w:val="231F20"/>
        </w:rPr>
      </w:pPr>
    </w:p>
    <w:p>
      <w:pPr>
        <w:ind w:left="660" w:hanging="333"/>
        <w:spacing w:after="0"/>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the timing, receipt, and amount of sales of, or royalties on, tenapanor, if any;</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the sales price and the availability of adequate third-party reimbursement for tenapanor, if approved;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the cash requirements of any future acquisitions or discovery of product candidates;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time and cost necessary to respond to technological and market developments;</w:t>
      </w:r>
    </w:p>
    <w:p>
      <w:pPr>
        <w:spacing w:after="0" w:line="184"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62"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payment of interest and principal related to our loan and security agreement entered into with Solar Capital Ltd. and Western Alliance Bank during May 2018.</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90"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300" w:type="dxa"/>
            <w:vAlign w:val="bottom"/>
            <w:gridSpan w:val="7"/>
          </w:tcPr>
          <w:p>
            <w:pPr>
              <w:ind w:left="2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29"/>
        </w:trPr>
        <w:tc>
          <w:tcPr>
            <w:tcW w:w="498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94"/>
              <w:spacing w:after="0" w:line="129"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1"/>
                <w:szCs w:val="11"/>
                <w:color w:val="auto"/>
              </w:rPr>
            </w:pPr>
          </w:p>
        </w:tc>
      </w:tr>
      <w:tr>
        <w:trPr>
          <w:trHeight w:val="169"/>
        </w:trPr>
        <w:tc>
          <w:tcPr>
            <w:tcW w:w="4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used in operating activities</w:t>
            </w:r>
          </w:p>
        </w:tc>
        <w:tc>
          <w:tcPr>
            <w:tcW w:w="220" w:type="dxa"/>
            <w:vAlign w:val="bottom"/>
            <w:shd w:val="clear" w:color="auto" w:fill="CCEEFF"/>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(65,347)</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(51,838)</w:t>
            </w:r>
          </w:p>
        </w:tc>
        <w:tc>
          <w:tcPr>
            <w:tcW w:w="60" w:type="dxa"/>
            <w:vAlign w:val="bottom"/>
            <w:shd w:val="clear" w:color="auto" w:fill="CCEEFF"/>
          </w:tcPr>
          <w:p>
            <w:pPr>
              <w:spacing w:after="0"/>
              <w:rPr>
                <w:sz w:val="14"/>
                <w:szCs w:val="14"/>
                <w:color w:val="auto"/>
              </w:rPr>
            </w:pPr>
          </w:p>
        </w:tc>
      </w:tr>
      <w:tr>
        <w:trPr>
          <w:trHeight w:val="176"/>
        </w:trPr>
        <w:tc>
          <w:tcPr>
            <w:tcW w:w="4980" w:type="dxa"/>
            <w:vAlign w:val="bottom"/>
          </w:tcPr>
          <w:p>
            <w:pPr>
              <w:spacing w:after="0" w:line="176" w:lineRule="exact"/>
              <w:rPr>
                <w:sz w:val="20"/>
                <w:szCs w:val="20"/>
                <w:color w:val="auto"/>
              </w:rPr>
            </w:pPr>
            <w:r>
              <w:rPr>
                <w:rFonts w:ascii="Arial" w:cs="Arial" w:eastAsia="Arial" w:hAnsi="Arial"/>
                <w:sz w:val="18"/>
                <w:szCs w:val="18"/>
                <w:color w:val="auto"/>
              </w:rPr>
              <w:t>Cash (used in) provided by investing activities</w:t>
            </w:r>
          </w:p>
        </w:tc>
        <w:tc>
          <w:tcPr>
            <w:tcW w:w="2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78,834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(52,084)</w:t>
            </w:r>
          </w:p>
        </w:tc>
        <w:tc>
          <w:tcPr>
            <w:tcW w:w="60" w:type="dxa"/>
            <w:vAlign w:val="bottom"/>
          </w:tcPr>
          <w:p>
            <w:pPr>
              <w:spacing w:after="0"/>
              <w:rPr>
                <w:sz w:val="15"/>
                <w:szCs w:val="15"/>
                <w:color w:val="auto"/>
              </w:rPr>
            </w:pPr>
          </w:p>
        </w:tc>
      </w:tr>
      <w:tr>
        <w:trPr>
          <w:trHeight w:val="176"/>
        </w:trPr>
        <w:tc>
          <w:tcPr>
            <w:tcW w:w="4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provided by financing activities</w:t>
            </w: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103,554</w:t>
            </w:r>
          </w:p>
        </w:tc>
        <w:tc>
          <w:tcPr>
            <w:tcW w:w="60" w:type="dxa"/>
            <w:vAlign w:val="bottom"/>
            <w:shd w:val="clear" w:color="auto" w:fill="CCEEFF"/>
          </w:tcPr>
          <w:p>
            <w:pPr>
              <w:spacing w:after="0"/>
              <w:rPr>
                <w:sz w:val="15"/>
                <w:szCs w:val="15"/>
                <w:color w:val="auto"/>
              </w:rPr>
            </w:pPr>
          </w:p>
        </w:tc>
      </w:tr>
      <w:tr>
        <w:trPr>
          <w:trHeight w:val="176"/>
        </w:trPr>
        <w:tc>
          <w:tcPr>
            <w:tcW w:w="4980" w:type="dxa"/>
            <w:vAlign w:val="bottom"/>
          </w:tcPr>
          <w:p>
            <w:pPr>
              <w:spacing w:after="0" w:line="170" w:lineRule="exact"/>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bottom w:val="single" w:sz="8" w:color="auto"/>
            </w:tcBorders>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13,905</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(368)</w:t>
            </w:r>
          </w:p>
        </w:tc>
        <w:tc>
          <w:tcPr>
            <w:tcW w:w="60" w:type="dxa"/>
            <w:vAlign w:val="bottom"/>
          </w:tcPr>
          <w:p>
            <w:pPr>
              <w:spacing w:after="0"/>
              <w:rPr>
                <w:sz w:val="15"/>
                <w:szCs w:val="15"/>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89"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Net cash used in operating activities during the nine months ended September 30, 2019 was approximately $65.3 million. The net loss of $75.2 million was adjusted for (i) non-cash charges of $4.1 million related to depreciation, non-cash lease expense, non-cash interest expense, amortization of financing costs and change in derivative liabilities, and $7.7 million for stock-based compensation that includes a one-time catch-up of $2.1 million expense, related to PRSUs for which the related performance conditions are concluded as probable in the third quarter of 2019, (ii) a decrease of $2.4 million in accounts receivable partially related to the unbilled license revenue payment received from KKC upon its milestone achievement, (iii) a $1.3 million decrease in lease liabilities, (iv) a $3.2 million decrease in accrued and other liabilities primarily due to expenses for the clinical manufacturing, process development, and clinical development activities for tenapanor, and (v) a $0.2 million increase in prepaid and other assets, accounts payable and accrued compensation and benefits primarily due to payment timing.</w:t>
      </w:r>
    </w:p>
    <w:p>
      <w:pPr>
        <w:spacing w:after="0" w:line="164"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Net cash used in operating activities during the nine months ended September 30, 2018, was approximately $51.8 million. The net loss of $63.4 million was adjusted for non-cash charges of $1.8 million related to depreciation amortization and non-cash interest expense and $7.0 million for stock-based compensation, and an increase to cash of $2.8 million related to other working capital items associated with changes in our net operating assets and liabilities primarily related to a decrease of receivables related to the Fosun Agreement offset by working capital related to clinical development and manufacturing of tenapanor.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8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Net cash provided by investing activities was $78.8 million for the nine months ended September 30, 2019, primarily due to maturities of investments of $114.4 million and redemptions of investments of $1.0 million offset by purchases of investments of $36.3 million and purchases of property and equipment of $0.3 million.</w:t>
      </w:r>
    </w:p>
    <w:p>
      <w:pPr>
        <w:spacing w:after="0" w:line="163"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Net cash used in investing activities was $52.1 million for the nine months ended September 30, 2018, primarily due to purchases of investments of $148.4 million offset by maturities of investments of $95.5 million and redemptions of investments of $0.8 million.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8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Net cash provided by financing activities for the nine months ended September 30, 2019 was $0.4 million, primarily due to net proceeds of $0.4 million from issuance of common stock under the employee stock purchase plan, or ESPP, and exercise of options.</w:t>
      </w:r>
    </w:p>
    <w:p>
      <w:pPr>
        <w:spacing w:after="0" w:line="163"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Net cash provided by financing activities for the nine months ended September 30, 2018 was $103.6 million, primarily due to net proceeds of $53.8 million, after deducting the underwriting discounts and commissions and offering expenses from an underwritten public offering of our common stock in May 2018, net proceeds of $49.3 million, after deducting the closing fee, legal expenses and issuance cost from the term loan provided by Solar Capital Ltd. and Western Alliance Bank, and net proceeds of $0.5 million from issuance of common stock under ESPP.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ind w:firstLine="324"/>
        <w:spacing w:after="0" w:line="194" w:lineRule="exact"/>
        <w:rPr>
          <w:sz w:val="20"/>
          <w:szCs w:val="20"/>
          <w:color w:val="auto"/>
        </w:rPr>
      </w:pPr>
      <w:r>
        <w:rPr>
          <w:rFonts w:ascii="Arial" w:cs="Arial" w:eastAsia="Arial" w:hAnsi="Arial"/>
          <w:sz w:val="18"/>
          <w:szCs w:val="18"/>
          <w:color w:val="auto"/>
        </w:rPr>
        <w:t>Refer to “Note 2. Summary Of Significant Accounting Policies” in the notes to our unaudited interim condensed consolidated financial statements in Part I, Item 1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a discussion of recent accounting pronouncements.</w:t>
      </w:r>
    </w:p>
    <w:p>
      <w:pPr>
        <w:spacing w:after="0" w:line="1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i w:val="1"/>
          <w:iCs w:val="1"/>
          <w:color w:val="auto"/>
        </w:rPr>
        <w:t xml:space="preserve">Foreign Currency Risk. </w:t>
      </w:r>
      <w:r>
        <w:rPr>
          <w:rFonts w:ascii="Arial" w:cs="Arial" w:eastAsia="Arial" w:hAnsi="Arial"/>
          <w:sz w:val="17"/>
          <w:szCs w:val="17"/>
          <w:color w:val="auto"/>
        </w:rPr>
        <w:t>The majority of our transactions occur in U.S. dollars. However, we do have certain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denominated in 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preclinical and clinical activities. During March 2019, we settled a forward currency exchange contract denominated in Swiss francs, that was not designated as a cash flow hedge, and was to secure a foreign currency exchange rate when a contract is executed involving payment in a foreign currency in order to minimize cash flow exposure to fluctuating exchange rates.</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do not use derivative financial instruments for speculative trading purposes, nor do we hedge foreign currency exchange rate exposure in a manner that entirely offsets the earnings effects of changes in foreign currency exchange rates. The counterparty to our forward foreign currency exchange contracts are creditworthy commercial banks, which minimizes the risk of counterparty nonperformance.</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2019, we had no open forward foreign currency exchange contracts.</w:t>
      </w:r>
    </w:p>
    <w:p>
      <w:pPr>
        <w:spacing w:after="0" w:line="185"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subject to interest rate fluctuation exposure through our borrowings under the Loan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our investment in money market accounts which bear a variable interest rate. Borrowings under the Loan Agreement bear interest at a rate equal to one-month LIBOR plus 7.45% per annum. A hypothetical increase in one-month LIBOR of 100 basis points above the current one-month LIBOR rates would have increased our interest expense by approximately $0.1 million as of September 30, 2019. We had $49.8 million aggregate principal amount of loan outstanding as of September 30, 2019.</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We are subject to interest rate fluctuation exposure through our investments,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jc w:val="both"/>
        <w:ind w:firstLine="324"/>
        <w:spacing w:after="0" w:line="181" w:lineRule="exact"/>
        <w:rPr>
          <w:sz w:val="20"/>
          <w:szCs w:val="20"/>
          <w:color w:val="auto"/>
        </w:rPr>
      </w:pPr>
      <w:r>
        <w:rPr>
          <w:rFonts w:ascii="Arial" w:cs="Arial" w:eastAsia="Arial" w:hAnsi="Arial"/>
          <w:sz w:val="17"/>
          <w:szCs w:val="17"/>
          <w:color w:val="auto"/>
        </w:rPr>
        <w:t>As required by Rule 13a</w:t>
      </w:r>
      <w:r>
        <w:rPr>
          <w:rFonts w:ascii="MS PGothic" w:cs="MS PGothic" w:eastAsia="MS PGothic" w:hAnsi="MS PGothic"/>
          <w:sz w:val="17"/>
          <w:szCs w:val="17"/>
          <w:color w:val="auto"/>
        </w:rPr>
        <w:t>‑</w:t>
      </w:r>
      <w:r>
        <w:rPr>
          <w:rFonts w:ascii="Arial" w:cs="Arial" w:eastAsia="Arial" w:hAnsi="Arial"/>
          <w:sz w:val="17"/>
          <w:szCs w:val="17"/>
          <w:color w:val="auto"/>
        </w:rPr>
        <w:t>15(b) under the Securities Exchange Act of 1934, as amended (the “Exchange Act”), our management, under the supervision and with the participation of our principal executive officer and principal accounting and financial officer, has evaluated the effectiveness of the design and operation of our disclosure controls and procedures (as such term is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Exchange Act) as of September 30, 2019.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accounting and financial officer have concluded that as of September 30, 2019, our disclosure controls and procedures were not effective at the reasonable assurance level as of such date. This conclusion was based on the material weakness in our internal control over financial reporting, identified as of June 30, 2019, described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Our management assessed our internal control over financial reporting as of September 30, 2019, the end of the period covered by this Quarterly Report on Form 10-Q. Management based its assessment on criteria established in “Internal Control—Integrated Framework (2013)” issued by the Committee of Sponsoring Organizations of the Treadway Commission. Based on management’s assessment of our internal control over financial reporting, management concluded that, as of September 30, 2019, our internal control over financial reporting were not effective. As of June 30, 2019, management and our independent registered public accounting firm had identified a control deficiency that constituted a material weakness. The material weakness was due to a failure in the design and implementation of controls over the evaluation of the terms of our clinical trial contracts for inclusion into our clinical financial model which estimates clinical trial expenses. Specifically, we had failed to properly interpret an expense in our clinical trial contracts which resulted in the over accrual of our clinical trial expenses.</w:t>
      </w:r>
    </w:p>
    <w:p>
      <w:pPr>
        <w:spacing w:after="0" w:line="164"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A material weakness is a control deficiency, or a combination of control deficiencies in internal control over financial reporting, such that there is a reasonable possibility that a material misstatement of the annual or interim financial statements or related disclosures will not be prevented or detected on a timely basis. Based on management’s assessment of those criteria, management has concluded that the design and operating effectiveness of our internal control over financial reporting was not effective as of September 30, 2019, based on the material weakness noted above.</w:t>
      </w:r>
    </w:p>
    <w:p>
      <w:pPr>
        <w:spacing w:after="0" w:line="15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Despite the existence of this material weakness, we believe that the consolidated financial statements included in this Quarterly Report on Form 10-Q fairly present, in all material respects, our financial condition, results of operations, and cash flows as of, and for the periods presented in this Quarterly Report on Form 10-Q.</w:t>
      </w:r>
    </w:p>
    <w:p>
      <w:pPr>
        <w:spacing w:after="0" w:line="163"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During the third quarter of 2019, we have developed, implemented and executed a remediation plan to address the material weakness discussed above and to improve our internal control over financial reporting. The remediation plan is in progress and includes:</w:t>
      </w:r>
    </w:p>
    <w:p>
      <w:pPr>
        <w:spacing w:after="0" w:line="163" w:lineRule="exact"/>
        <w:rPr>
          <w:sz w:val="20"/>
          <w:szCs w:val="20"/>
          <w:color w:val="auto"/>
        </w:rPr>
      </w:pPr>
    </w:p>
    <w:p>
      <w:pPr>
        <w:jc w:val="both"/>
        <w:ind w:left="660" w:hanging="333"/>
        <w:spacing w:after="0" w:line="22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Designing and implementing an effective internal control related to internal communication and joint review between the clinical, legal and accounting groups in the establishment of new clinical financial models when clinical contracts are executed to ensure that clinical contracts are properly interpreted and that estimates of clinical expenses are based on appropriate drivers;</w:t>
      </w:r>
    </w:p>
    <w:p>
      <w:pPr>
        <w:spacing w:after="0" w:line="3" w:lineRule="exact"/>
        <w:rPr>
          <w:rFonts w:ascii="Arial" w:cs="Arial" w:eastAsia="Arial" w:hAnsi="Arial"/>
          <w:sz w:val="18"/>
          <w:szCs w:val="18"/>
          <w:color w:val="auto"/>
        </w:rPr>
      </w:pPr>
    </w:p>
    <w:p>
      <w:pPr>
        <w:jc w:val="both"/>
        <w:ind w:left="660" w:hanging="333"/>
        <w:spacing w:after="0" w:line="21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Enhancing the precision of an internal control related to the tracking of invoices and comparison to the clinical financial model to assure that clinical expenses within the clinical financial model are appropriately included and estimated; and</w:t>
      </w:r>
    </w:p>
    <w:p>
      <w:pPr>
        <w:jc w:val="both"/>
        <w:ind w:left="660" w:hanging="333"/>
        <w:spacing w:after="0" w:line="22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Implementing an ongoing review of the accrual models where assumptions and estimates built into the models are reassessed for reasonableness, considering any new information known as of that date that would challenge the initial considerations made when the model was set up.</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There can be no assurance that the measures we take in response to the material weakness will be sufficient to avoid potential future material weakness or significant deficiencies.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85"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1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8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As of September 30, 2019, there is no litigation pending that would reasonably be expected to have a material adverse effect on our results of operations and financial condition.</w:t>
      </w:r>
    </w:p>
    <w:p>
      <w:pPr>
        <w:spacing w:after="0" w:line="15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jc w:val="both"/>
        <w:ind w:firstLine="324"/>
        <w:spacing w:after="0" w:line="185" w:lineRule="exact"/>
        <w:rPr>
          <w:sz w:val="20"/>
          <w:szCs w:val="20"/>
          <w:color w:val="auto"/>
        </w:rPr>
      </w:pPr>
      <w:r>
        <w:rPr>
          <w:rFonts w:ascii="Arial" w:cs="Arial" w:eastAsia="Arial" w:hAnsi="Arial"/>
          <w:sz w:val="17"/>
          <w:szCs w:val="17"/>
          <w:i w:val="1"/>
          <w:iCs w:val="1"/>
          <w:color w:val="auto"/>
        </w:rPr>
        <w:t>Our business involves significant risks, some of which are described below. You should carefully consider these risks, as well as other information in this Quarterly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Q, including our financial statements and the related notes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we will incur losses in the future, which makes it difficult to assess our future viability.</w:t>
      </w:r>
    </w:p>
    <w:p>
      <w:pPr>
        <w:spacing w:after="0" w:line="16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tenapanor and developing our proprietary drug discovery and design platform. To date, we have not commercialized any products or generated any revenue from the sale of products.</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are not profitable and have incurred losses in each year since our inception in October 2007, and we do not know whether or when we will become profitable. We have only a limited operating history upon which to evaluate our business and prospects. We continue to incur significant research, development and other expenses related to our ongoing operations. As of September 30, 2019, we had an accumulated deficit of $440.7 million.</w:t>
      </w:r>
    </w:p>
    <w:p>
      <w:pPr>
        <w:spacing w:after="0" w:line="163"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We expect that our operating losses will substantially increase for the foreseeable future as we prepare for the potential commercialization of, and incur manufacturing and development costs for, tenapanor, including costs associated with completing the ongoing Phase 3 development of tenapanor for the treatment of hyperphosphatemia in chronic kidney disease, or CKD, patients on dialysis, and if such Phase 3 development is successful, preparing the new drug application, or NDA, for submission to the U.S. Food and Drug Administration, or FDA, to request marketing authorization for tenapanor for the treatment of hyperphosphatemia in CKD patients on dialysis, and continuing our discovery and research activities.</w:t>
      </w:r>
    </w:p>
    <w:p>
      <w:pPr>
        <w:spacing w:after="0" w:line="161"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163"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18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We received FDA approval for our NDA for tenapanor for the treatment of IBS-C in September 2019. However, we do not currently expect to commercialize tenapanor for IBS-C ourselves in the United States, and have not entered into a collaboration partnership for such commercialization. We have no other products approved for sale and have never generated any revenue from product sales. Our ability to generate revenue from product sales and achieve profitability depends on our ability to successfully complete the development of, and obtain the regulatory and marketing approvals necessary to commercialize tenapanor for hyperphosphatemia in CKD patients on dialysis, either on our own, or with one or more collaboration partners, and on our ability to successfully identify a collaboration partner for the commercialization of tenapanor for the treatment of IBS-C. There can be no assurances that we will generate product revenue from sales of tenapanor, either on our own, or with a collaboration partner. Our ability to generate future revenue from product sales or pursuant to milestone payments depends heavily on many factors, including but not limited to:</w:t>
      </w:r>
    </w:p>
    <w:p>
      <w:pPr>
        <w:spacing w:after="0" w:line="163" w:lineRule="exact"/>
        <w:rPr>
          <w:sz w:val="20"/>
          <w:szCs w:val="20"/>
          <w:color w:val="auto"/>
        </w:rPr>
      </w:pPr>
    </w:p>
    <w:p>
      <w:pPr>
        <w:ind w:left="660" w:hanging="333"/>
        <w:spacing w:after="0" w:line="235" w:lineRule="auto"/>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the successful completion of nonclinical and clinical development of tenapanor for the treatment of hyperphosphatemia in CKD patients on dialysis ;</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obtaining regulatory approvals for tenapanor for the treatment of hyperphosphatemia in CKD patients on dialysis, either on our own, or with one or more collaboration partners;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our ability to identify a collaboration partner and negotiate acceptable terms for a collaboration partnership for the commercialization of tenapanor for IBS-C in the United States;</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which has been approved by the FDA for the treatment of IBS-C, and/or tenapanor for the treatment of hyperphosphatemia in CKD patients on dialysis, if approved, either on our own, or with one or more collaboration partners;</w:t>
      </w:r>
    </w:p>
    <w:p>
      <w:pPr>
        <w:spacing w:after="0" w:line="163" w:lineRule="exact"/>
        <w:rPr>
          <w:rFonts w:ascii="Arial" w:cs="Arial" w:eastAsia="Arial" w:hAnsi="Arial"/>
          <w:sz w:val="18"/>
          <w:szCs w:val="18"/>
          <w:color w:val="231F20"/>
        </w:rPr>
      </w:pPr>
    </w:p>
    <w:p>
      <w:pPr>
        <w:jc w:val="both"/>
        <w:ind w:left="660" w:hanging="333"/>
        <w:spacing w:after="0" w:line="232" w:lineRule="auto"/>
        <w:tabs>
          <w:tab w:leader="none" w:pos="660" w:val="left"/>
        </w:tabs>
        <w:numPr>
          <w:ilvl w:val="0"/>
          <w:numId w:val="17"/>
        </w:numPr>
        <w:rPr>
          <w:rFonts w:ascii="Arial" w:cs="Arial" w:eastAsia="Arial" w:hAnsi="Arial"/>
          <w:sz w:val="17"/>
          <w:szCs w:val="17"/>
          <w:color w:val="231F20"/>
        </w:rPr>
      </w:pPr>
      <w:r>
        <w:rPr>
          <w:rFonts w:ascii="Arial" w:cs="Arial" w:eastAsia="Arial" w:hAnsi="Arial"/>
          <w:sz w:val="17"/>
          <w:szCs w:val="17"/>
          <w:color w:val="auto"/>
        </w:rPr>
        <w:t>developing a sustainable and scalable manufacturing process for tenapanor and establishing and maintaining supply and manufacturing relationships with third parties that can provide an adequate (in amount and quality) supply of product to support the market demand for tenapanor for the treatment of IBS-C, and/or, if approved, tenapanor for the treatment of hyperphosphatemia in CKD patients on dialysis, if approved;</w:t>
      </w:r>
    </w:p>
    <w:p>
      <w:pPr>
        <w:spacing w:after="0" w:line="162" w:lineRule="exact"/>
        <w:rPr>
          <w:rFonts w:ascii="Arial" w:cs="Arial" w:eastAsia="Arial" w:hAnsi="Arial"/>
          <w:sz w:val="17"/>
          <w:szCs w:val="17"/>
          <w:color w:val="231F20"/>
        </w:rPr>
      </w:pPr>
    </w:p>
    <w:p>
      <w:pPr>
        <w:jc w:val="both"/>
        <w:ind w:left="660" w:hanging="333"/>
        <w:spacing w:after="0" w:line="224" w:lineRule="auto"/>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obtaining market acceptance of tenapanor for the treatment of IBS-C, and/or, if approved, tenapanor for the treatment of hyperphosphatemia in CKD patients on dialysis, if approved, as a viable treatment option for the indications for which it is approved and commercialized;</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addressing any competing technological and market developments;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identifying, assessing, acquiring, in-licensing and/or developing new product candidates;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negotiating favorable terms in any collaboration partnership, licensing or other arrangements into which we may enter;</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attracting, hiring, and retaining qualified personnel.</w:t>
      </w:r>
    </w:p>
    <w:p>
      <w:pPr>
        <w:spacing w:after="0" w:line="185"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In cases where we are successful in obtaining regulatory approvals to market tenapanor for one or more indications, our revenue will be dependent, in part, upon the size of the markets in the territories for which regulatory approval is granted, our ability to identify a collaboration partner and negotiate acceptable terms for a collaboration partnership for the commercialization of tenapanor for the IBS-C indication in the United States, the accepted price for the product, the ability to get reimbursement at any price and whether we are commercializing the product or the product is being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commercialized by a collaboration partner, and in such case, whether we have royalty and/or co-promotion rights for that territory, and whether any royalty we have a right to receive from a collaboration partner is in excess of the royalty we owe AstraZeneca as a result of the termination of our License Agreement with AstraZeneca in 2015. See NOTE 12. COLLABORATION AND LICENSING AGREEMENTS for details on our obligations to AstraZeneca. While there is significant uncertainty related to the insurance coverage and reimbursement of newly approved products in general in the United States, there is additional uncertainty related to insurance coverage and reimbursement for drugs, like tenapanor, which, if approved, will be marketed for the treatment of hyperphosphatemia in CKD patients on dialysis. If we are successful in obtaining regulatory approval to market tenapanor for hyperphosphatemia in CKD patients on dialysis, our ability to generate and sustain future revenues from sales of tenapanor for such indication, may be dependent upon whether tenapanor, along with other oral only drugs for CKD patients on dialysis, are bundled into the ESRD Prospective Payment System beginning in 2025, and the manner in which such introduction into the ESRD Prospective Payment System may occur. See </w:t>
      </w:r>
      <w:r>
        <w:rPr>
          <w:rFonts w:ascii="Arial" w:cs="Arial" w:eastAsia="Arial" w:hAnsi="Arial"/>
          <w:sz w:val="16"/>
          <w:szCs w:val="16"/>
          <w:b w:val="1"/>
          <w:bCs w:val="1"/>
          <w:i w:val="1"/>
          <w:iCs w:val="1"/>
          <w:color w:val="auto"/>
        </w:rPr>
        <w:t>Third-party payor coverage and reimbursement status of newly-approved products is uncertain. Failure to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obtain or maintain adequate coverage and reimbursement for our products, if approved, could limit our ability to market those products and decrease our ability to generate revenue” </w:t>
      </w:r>
      <w:r>
        <w:rPr>
          <w:rFonts w:ascii="Arial" w:cs="Arial" w:eastAsia="Arial" w:hAnsi="Arial"/>
          <w:sz w:val="16"/>
          <w:szCs w:val="16"/>
          <w:color w:val="auto"/>
        </w:rPr>
        <w:t>below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Additionally, if the number of patients suitable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tenapanor is not as significant as we estimate, the indications approved by regulatory authorities are narrower than we expect, coverage and reimbursement for tenapanor are not available in the manner and to the extent which we expect, or the reasonably accepted population for treatment is narrowed by competition, physician choice or treatment guidelines, we may not generate significant revenue from the sale of tenapanor, even if approved. Even if we achieve profitability in the future, we may not be able to sustain profitability in subsequent periods. Our failure to generate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21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09"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On May 16, 2018, we entered into a loan and security agreement with Solar Capital, Ltd. and Western Alliance Bank, or collectively the Lenders, pursuant to which the Lenders agreed to provide us a $50.0 million term loan facility with a maturity date of November 1, 2022. The full amount of the loan was funded on May 16, 2018. Until we have repaid such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127"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6"/>
          <w:szCs w:val="16"/>
          <w:color w:val="auto"/>
        </w:rPr>
        <w:t xml:space="preserve">We are permitted to make interest only payments on the loan facility through December 1, 2020; provided that we achieve the primary endpoint in our ongoing Phase 3 clinical trial evaluating tenapanor for the treatment of hyperphosphatemia in CKD patients on dialysis on or before June 1, 2020. In the event we do not achieve the primary endpoint by such date, we would be required to begin monthly payments of interest and principal of the loan on June 1, 2020, instead of December 1, 2020. Additionally, we may be required to repay the outstanding indebtedness under the loan facility if an event of default occurs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Lenders determine that a material adverse change has occurred; we or our assets become subject to certain legal proceedings, such as bankruptcy proceedings; we are unable to pay our debts as they become due; or we default on contracts with third parties which would permit </w:t>
      </w:r>
      <w:r>
        <w:rPr>
          <w:rFonts w:ascii="Arial" w:cs="Arial" w:eastAsia="Arial" w:hAnsi="Arial"/>
          <w:sz w:val="14"/>
          <w:szCs w:val="14"/>
          <w:color w:val="auto"/>
        </w:rPr>
        <w:t>the</w:t>
      </w:r>
      <w:r>
        <w:rPr>
          <w:rFonts w:ascii="Arial" w:cs="Arial" w:eastAsia="Arial" w:hAnsi="Arial"/>
          <w:sz w:val="16"/>
          <w:szCs w:val="16"/>
          <w:color w:val="auto"/>
        </w:rPr>
        <w:t xml:space="preserve"> Lenders to</w:t>
      </w:r>
    </w:p>
    <w:p>
      <w:pPr>
        <w:spacing w:after="0" w:line="7"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The Lenders could also exercise their rights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200" w:lineRule="exact"/>
        <w:rPr>
          <w:sz w:val="20"/>
          <w:szCs w:val="20"/>
          <w:color w:val="auto"/>
        </w:rPr>
      </w:pPr>
    </w:p>
    <w:p>
      <w:pPr>
        <w:spacing w:after="0" w:line="33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We will require substantial additional financing to achieve our goals, and the inability to access this necessary capital when needed on acceptable terms, or at all, could force us to delay, limit, reduce or terminate our pre-commercialization efforts for tenapanor and our other product development and platform development activities.</w:t>
      </w:r>
    </w:p>
    <w:p>
      <w:pPr>
        <w:spacing w:after="0" w:line="147"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Since our inception, most of our resources have been dedicated to our research and development activities, including developing our clinical product candidate tenapanor and developing our proprietary drug discovery and design platform. We believe that we will continue to expend substantial resources for the foreseeable future, including costs associated with completing the clinical program for tenapanor for the treatment of hyperphosphatemia in CKD patients on dialysis, research and development, conducting preclinical studies and clinical trials for our other programs, obtaining regulatory approvals, developing and maintaining scalable manufacturing processes for our product candidates and sales and marketing. Because the outcome of any clinical trial and/or regulatory approval process is highly uncertain, we cannot reasonably estimate the actual amounts necessary to successfully complete the development, regulatory approval process and commercialization or co-promotion of any of our product candidates. Our future funding requirements will depend on many factors, including, but not limited to:</w:t>
      </w:r>
    </w:p>
    <w:p>
      <w:pPr>
        <w:spacing w:after="0" w:line="164" w:lineRule="exact"/>
        <w:rPr>
          <w:sz w:val="20"/>
          <w:szCs w:val="20"/>
          <w:color w:val="auto"/>
        </w:rPr>
      </w:pPr>
    </w:p>
    <w:p>
      <w:pPr>
        <w:jc w:val="both"/>
        <w:ind w:left="660" w:hanging="333"/>
        <w:spacing w:after="0" w:line="232" w:lineRule="auto"/>
        <w:tabs>
          <w:tab w:leader="none" w:pos="660" w:val="left"/>
        </w:tabs>
        <w:numPr>
          <w:ilvl w:val="0"/>
          <w:numId w:val="18"/>
        </w:numPr>
        <w:rPr>
          <w:rFonts w:ascii="Arial" w:cs="Arial" w:eastAsia="Arial" w:hAnsi="Arial"/>
          <w:sz w:val="17"/>
          <w:szCs w:val="17"/>
          <w:color w:val="231F20"/>
        </w:rPr>
      </w:pPr>
      <w:r>
        <w:rPr>
          <w:rFonts w:ascii="Arial" w:cs="Arial" w:eastAsia="Arial" w:hAnsi="Arial"/>
          <w:sz w:val="17"/>
          <w:szCs w:val="17"/>
          <w:color w:val="auto"/>
        </w:rPr>
        <w:t>the progress, timing, scope, results and costs of our clinical trial program evaluating tenapanor for the treatment of hyperphosphatemia in CKD patients on dialysis, and if our clinical program is successful, the submission of an NDA with the FDA to request marketing authorization for tenapanor for the treatment of hyperphosphatemia in CKD patients on dialysis, as well as our decision whether or not to pursue other indications for tenapanor;</w:t>
      </w:r>
    </w:p>
    <w:p>
      <w:pPr>
        <w:spacing w:after="0" w:line="162"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our ability to identify a collaboration partner and negotiate acceptable terms for a collaboration partnership for the commercialization of tenapanor in IBS-C in the United States;</w:t>
      </w:r>
    </w:p>
    <w:p>
      <w:pPr>
        <w:spacing w:after="0" w:line="161"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which has been approved by the FDA for the treatment of patients with IBS-C, either alone or with one or more collaboration partners; and, our ability to successfully commercialize tenapanor for the treatment of hyperphosphatemia in CKD patients on dialysis, if approved, either alone or with one or more collaboration partners;</w:t>
      </w:r>
    </w:p>
    <w:p>
      <w:pPr>
        <w:spacing w:after="0" w:line="162"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selling and marketing costs associated with tenapanor, including the cost and timing of building our sales and marketing capabilities, should we elect to do so;</w:t>
      </w:r>
    </w:p>
    <w:p>
      <w:pPr>
        <w:spacing w:after="0" w:line="161" w:lineRule="exact"/>
        <w:rPr>
          <w:rFonts w:ascii="Arial" w:cs="Arial" w:eastAsia="Arial" w:hAnsi="Arial"/>
          <w:sz w:val="18"/>
          <w:szCs w:val="18"/>
          <w:color w:val="231F20"/>
        </w:rPr>
      </w:pPr>
    </w:p>
    <w:p>
      <w:pPr>
        <w:ind w:left="660" w:hanging="333"/>
        <w:spacing w:after="0" w:line="289" w:lineRule="auto"/>
        <w:tabs>
          <w:tab w:leader="none" w:pos="660" w:val="left"/>
        </w:tabs>
        <w:numPr>
          <w:ilvl w:val="0"/>
          <w:numId w:val="18"/>
        </w:numPr>
        <w:rPr>
          <w:rFonts w:ascii="Arial" w:cs="Arial" w:eastAsia="Arial" w:hAnsi="Arial"/>
          <w:sz w:val="16"/>
          <w:szCs w:val="16"/>
          <w:color w:val="231F20"/>
        </w:rPr>
      </w:pPr>
      <w:r>
        <w:rPr>
          <w:rFonts w:ascii="Arial" w:cs="Arial" w:eastAsia="Arial" w:hAnsi="Arial"/>
          <w:sz w:val="16"/>
          <w:szCs w:val="16"/>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24" w:lineRule="exact"/>
        <w:rPr>
          <w:rFonts w:ascii="Arial" w:cs="Arial" w:eastAsia="Arial" w:hAnsi="Arial"/>
          <w:sz w:val="16"/>
          <w:szCs w:val="16"/>
          <w:color w:val="231F20"/>
        </w:rPr>
      </w:pPr>
    </w:p>
    <w:p>
      <w:pPr>
        <w:ind w:left="660" w:hanging="333"/>
        <w:spacing w:after="0"/>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timing, receipt, and amount of sales of, or royalties on, tenapanor, if any;</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sales price and the availability of adequate third-party reimbursement for tenapanor, if approved;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cash requirements of any future acquisitions or discovery of product candidates;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the time and cost necessary to respond to technological and market developments;</w:t>
      </w:r>
    </w:p>
    <w:p>
      <w:pPr>
        <w:spacing w:after="0" w:line="184"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62"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the payment of interest and principal related to our loan and security agreement entered into with Solar Capital Ltd. and Western Alliance Bank during May 2018.</w:t>
      </w:r>
    </w:p>
    <w:p>
      <w:pPr>
        <w:spacing w:after="0" w:line="162"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delay, limit, reduce or terminate our research activities, preclinical and clinical trials for our product candidates and our establishment and maintenance of sales and marketing capabilities or other activities that may be necessary to commercialize tenapanor, either alone or with collaboration partners. Additionally, our inability to access capital on a timely basis and on terms that are acceptable to us may force us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We are substantially dependent on the success of our lead product candidate, tenapanor, which may not be successful in further clinical trials evaluating tenapanor for the treatment of hyperphosphatmia, receive regulatory approval for the treatment of hyperphosphatemia or be successfully commercialized for IBS-C or hyperphosphatemia.</w:t>
      </w:r>
    </w:p>
    <w:p>
      <w:pPr>
        <w:spacing w:after="0" w:line="147"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To date, we have invested a significant amount of our efforts and financial resources in the research and development of tenapanor, which is currently our lead product candidate. The clinical and commercial success of tenapanor will depend on a number of factors, including the following:</w:t>
      </w:r>
    </w:p>
    <w:p>
      <w:pPr>
        <w:spacing w:after="0" w:line="163" w:lineRule="exact"/>
        <w:rPr>
          <w:sz w:val="20"/>
          <w:szCs w:val="20"/>
          <w:color w:val="auto"/>
        </w:rPr>
      </w:pPr>
    </w:p>
    <w:p>
      <w:pPr>
        <w:ind w:left="660" w:hanging="333"/>
        <w:spacing w:after="0" w:line="235" w:lineRule="auto"/>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our ability to, in a timely manner and under terms that are acceptable to us, establish a collaboration partnership for the commercialization of tenapanor for the treatment of IBS-C in the United States;</w:t>
      </w:r>
    </w:p>
    <w:p>
      <w:pPr>
        <w:spacing w:after="0" w:line="161"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the ability of the third-party manufacturers we contract with to successfully execute and scale up the manufacturing processes for tenapanor, which has not yet been fully demonstrated, and to manufacture supplies of tenapanor and to develop, validate and maintain commercially viable manufacturing processes that are compliant with cGMP, requirements;</w:t>
      </w:r>
    </w:p>
    <w:p>
      <w:pPr>
        <w:spacing w:after="0" w:line="162"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whether the FDA requires us to conduct clinical trials in addition to those anticipated prior to approval to market tenapanor for hyperphosphatemia, which could delay the commercialization of tenapanor for the treatment of hyperphosphatemia in CKD patients on dialysis in the U.S;</w:t>
      </w:r>
    </w:p>
    <w:p>
      <w:pPr>
        <w:spacing w:after="0" w:line="163"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whether or not the content of the label approved by the FDA or foreign regulatory authorities may materially and adversely impact our ability, or the ability of our collaboration partners to commercialize the product for the approved indication, or for any other indication;</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whether we will be required to conduct clinical trials in addition to those anticipated to obtain adequate commercial pricing;</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the prevalence and severity of adverse side effects of tenapanor;</w:t>
      </w:r>
    </w:p>
    <w:p>
      <w:pPr>
        <w:spacing w:after="0" w:line="184"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whether tenapanor’s safety and efficacy profile is satisfactory to the FDA and foreign regulatory authorities to gain marketing approval for the treatment of hyperphosphatemia, and whether tenpanaor’s safety and efficiacy profile is satisfactory to gain marketing approval;</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the timely receipt of necessary marketing approvals from the FDA and foreign regulatory authorities;</w:t>
      </w:r>
    </w:p>
    <w:p>
      <w:pPr>
        <w:spacing w:after="0" w:line="184"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our ability, either alone, or with a collaboration partner, to successfully commercialize tenapanor, if approved for marketing and sale by the FDA or foreign regulatory authorities, including educating physicians and patients about the benefits, administration and use of tenapanor;</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achieving and maintaining compliance with all regulatory requirements applicable to tenapanor;</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acceptance of tenapanor as safe, effective and well-tolerated by patients and the medical community;</w:t>
      </w:r>
    </w:p>
    <w:p>
      <w:pPr>
        <w:spacing w:after="0" w:line="184" w:lineRule="exact"/>
        <w:rPr>
          <w:rFonts w:ascii="Arial" w:cs="Arial" w:eastAsia="Arial" w:hAnsi="Arial"/>
          <w:sz w:val="18"/>
          <w:szCs w:val="18"/>
          <w:color w:val="231F20"/>
        </w:rPr>
      </w:pPr>
    </w:p>
    <w:p>
      <w:pPr>
        <w:jc w:val="both"/>
        <w:ind w:left="660" w:hanging="333"/>
        <w:spacing w:after="0" w:line="249" w:lineRule="auto"/>
        <w:tabs>
          <w:tab w:leader="none" w:pos="660"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our ability, alone or with collaboration partners, to manage the complex pricing and reimbursement negotiations associated with marketing the same product at different doses for separate indications for tenapanor for the treatment of IBS-C, and/or if tenapanor for the treatment of hyperphosphatemia in CKD patients on dialysis is approved for marketing and sale by the FDA or foreign regulatory authorities for hyperphosphatemia in CKD patients on dialysis;</w:t>
      </w:r>
    </w:p>
    <w:p>
      <w:pPr>
        <w:spacing w:after="0" w:line="154" w:lineRule="exact"/>
        <w:rPr>
          <w:rFonts w:ascii="Arial" w:cs="Arial" w:eastAsia="Arial" w:hAnsi="Arial"/>
          <w:sz w:val="16"/>
          <w:szCs w:val="16"/>
          <w:color w:val="231F20"/>
        </w:rPr>
      </w:pPr>
    </w:p>
    <w:p>
      <w:pPr>
        <w:ind w:left="660" w:hanging="333"/>
        <w:spacing w:after="0" w:line="235" w:lineRule="auto"/>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the availability, perceived advantages, relative cost, relative safety and relative efficacy of tenapanor compared to alternative and competing treatments;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1"/>
        </w:numPr>
        <w:rPr>
          <w:rFonts w:ascii="Arial" w:cs="Arial" w:eastAsia="Arial" w:hAnsi="Arial"/>
          <w:sz w:val="17"/>
          <w:szCs w:val="17"/>
          <w:color w:val="231F20"/>
        </w:rPr>
      </w:pPr>
      <w:r>
        <w:rPr>
          <w:rFonts w:ascii="Arial" w:cs="Arial" w:eastAsia="Arial" w:hAnsi="Arial"/>
          <w:sz w:val="17"/>
          <w:szCs w:val="17"/>
          <w:color w:val="auto"/>
        </w:rPr>
        <w:t>obtaining and sustaining an adequate level of coverage and reimbursement for tenapanor by third-party payors;</w:t>
      </w:r>
    </w:p>
    <w:p>
      <w:pPr>
        <w:spacing w:after="0" w:line="196" w:lineRule="exact"/>
        <w:rPr>
          <w:rFonts w:ascii="Arial" w:cs="Arial" w:eastAsia="Arial" w:hAnsi="Arial"/>
          <w:sz w:val="17"/>
          <w:szCs w:val="17"/>
          <w:color w:val="231F20"/>
        </w:rPr>
      </w:pPr>
    </w:p>
    <w:p>
      <w:pPr>
        <w:ind w:left="660" w:hanging="333"/>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enforcing intellectual property rights in and to tenapanor;</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a continued acceptable safety and tolerability profile of tenapanor following approval.</w:t>
      </w:r>
    </w:p>
    <w:p>
      <w:pPr>
        <w:spacing w:after="0" w:line="185" w:lineRule="exact"/>
        <w:rPr>
          <w:sz w:val="20"/>
          <w:szCs w:val="20"/>
          <w:color w:val="auto"/>
        </w:rPr>
      </w:pPr>
    </w:p>
    <w:p>
      <w:pPr>
        <w:spacing w:after="0" w:line="219" w:lineRule="auto"/>
        <w:rPr>
          <w:sz w:val="20"/>
          <w:szCs w:val="20"/>
          <w:color w:val="auto"/>
        </w:rPr>
      </w:pPr>
      <w:r>
        <w:rPr>
          <w:rFonts w:ascii="Arial" w:cs="Arial" w:eastAsia="Arial" w:hAnsi="Arial"/>
          <w:sz w:val="17"/>
          <w:szCs w:val="17"/>
          <w:color w:val="auto"/>
        </w:rPr>
        <w:t>As tenapanor is a first-in-class drug, there is a higher likelihood that approval may not be attained as compared to a class of drugs with approved products. Although tenapanor met the primary endpoint in the first Phase 3 clinical trial for the treatment of hyperphosphatemia in CKD patients on dialysis, there can be no assurances that PHREEDOM, the second Phase 3 trial, or any additional trials of tenapanor in this indication will achieve the primary endpoint. There can be no assurances that we will receive regulatory approval to market tenapanor for the treatment of hyperphosphatemia in CKD patients on dialysis, either as monotherapy or in combination with phosphate binders, or both. Further, it may not be possible or practicable to demonstrate, or if approved, to market tenapanor on the basis of certain of the benefits we believe tenapanor possesses. If the number of patients in the market for tenapanor or the price that the market can bear is not as significant as we estimate, or if we are not able to secure adequate coverage and reimbursement for tenapanor, we may not generate sufficient revenue from sales of tenapanor for hyperphosphatemia, if approved or for IBS-C. Additionally, we may not be successful in establishing a collaboration partnership for the commercialization of tenapanor for the treatment of IBS-C in the United States a timely manner and under terms that are acceptable to us. Accordingly, there can be no assurance that tenapanor will ever be successfully commercialized or that we will ever generate income from sales of tenapanor. If we are not successful in completing the development of, and obtaining approval for, tenapanor for the treatment of hyperphosphatemia, or we are not successful in commercializing tenapanor, or are significantly delayed in doing so, our business will be materially harmed.</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the results of earlier studies and trials may not be predictive of future trial results.</w:t>
      </w:r>
    </w:p>
    <w:p>
      <w:pPr>
        <w:spacing w:after="0" w:line="162"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An unexpected adverse event profile, or the results of drug-drug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interaction studies, may present challenges for the future development and commercialization of a product candidate for a particular condition despite receipt of positive efficacy data in a clinical study. We are currently conducting the PHREEDOM trial, our second Phase 3 clinical trial for tenapanor as monotherapy for the treatment of hyperphosphatemia in CKD patients on dialysis. We reported positive results in September 2019 from our AMPLIFY trial, a Phase 3 clinical trials evaluating tenapanor’s efficacy in combination with phosphate binders for hyperphosphatemia in CKD patients who are on dialysis. Although tenapanor met the primary endpoint in AMPLIFY and the first Phase 3 clinical trial for the treatment of hyperphosphatemia in CKD patients on dialysis, there can be no assurances that the results from our ongoing Phase 3 trial, PHREEDOM, or any additional trial results of tenapanor in that indication will show the desired safety and efficacy. A number of companies in the pharmaceutical, biopharmaceutical and biotechnology industries have suffered significant setbacks in advanced clinical trials for similar indications that we are pursuing due to lack of efficacy or adverse safety profiles, notwithstanding promising results in earlier studies, and we cannot be certain that we will not face similar setbacks. Even if our Phase 3 clinical development program for tenapanor for the treatment of hyperphosphatemia is completed, the results may not be sufficient to obtain the desired regulatory approval for tenapanor, or if such regulatory approval is obtained, the content of the label approved by regulatory authorities may materially and adversely impact our ability to commercialize the product for the approved indication.</w:t>
      </w:r>
    </w:p>
    <w:p>
      <w:pPr>
        <w:spacing w:after="0" w:line="274"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Furthermore, we could encounter delays if our ongoing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65"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Further, if there are delays in the completion of, or termination of, PHREEDOM, our ongoing Phase 3 clinical trial for tenapanor for the treatment of hyperphosphatemia, the commercial prospects of tenapanor for such indication may be harmed, and our ability to generate revenue from product sales of tenapanor for such indication will be delayed. In addition, any delays in completing a clinical trial will increase costs, slow down our regulatory approval process for tenapanor for hyperphosphatemia and jeopardize the ability to commence product sales and generate revenue from product sales for this indication. Any of these occurrences may significantly harm our business, financial condition and prospects. In addition, many of the factors that may cause, or lead to, a delay in the completion of either or both of our ongoing hyperphosphatemia clinical trials may also ultimately lead to the denial of regulatory approval.</w:t>
      </w:r>
    </w:p>
    <w:p>
      <w:pPr>
        <w:spacing w:after="0" w:line="16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b w:val="1"/>
          <w:bCs w:val="1"/>
          <w:i w:val="1"/>
          <w:iCs w:val="1"/>
          <w:color w:val="auto"/>
        </w:rPr>
        <w:t>Although we have obtained regulatory approval for tenapanor for IBS-C, and even if we are successful in obtaining regulatory approval for tenapanor for hyperphosphatemia, tenapanor may never achieve market acceptance in either indication, sufficient third-party coverage or reimbursement, or commercial success, which will depend, in part, upon the degree of acceptance among physicians, patients, patient advocacy groups, health care payors and the medical community.</w:t>
      </w:r>
    </w:p>
    <w:p>
      <w:pPr>
        <w:spacing w:after="0" w:line="16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Although we have obtained regulatory approval for tenapanor for IBS-C, and even if we are successful in obtaining regulatory approval for tenapanor for hyperphosphatemia, and if tenapanor is ultimately commercialized for one or more indications, it may not achieve market acceptance among physicians, patients, third-party payors, patient advocacy groups, and the medical community. Market acceptance of tenapanor, in the event that marketing approval is obtained, depends on a number of factors, including:</w:t>
      </w:r>
    </w:p>
    <w:p>
      <w:pPr>
        <w:spacing w:after="0" w:line="122" w:lineRule="exact"/>
        <w:rPr>
          <w:sz w:val="20"/>
          <w:szCs w:val="20"/>
          <w:color w:val="auto"/>
        </w:rPr>
      </w:pPr>
    </w:p>
    <w:p>
      <w:pPr>
        <w:jc w:val="both"/>
        <w:ind w:left="660" w:hanging="333"/>
        <w:spacing w:after="0" w:line="21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respect to tenapanor for IBS-C in the United States, our ability to obtain a collaboration partner for commercialization and the strength of such collaboration partner’s financial resources and marketing and distribution organizations, as well as the commitment of such collaboration partner’s sales organization to tenapanor;</w:t>
      </w:r>
    </w:p>
    <w:p>
      <w:pPr>
        <w:spacing w:after="0" w:line="122"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demonstrated in clinical trials;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660" w:hanging="333"/>
        <w:spacing w:after="0" w:line="22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 respect to tenapanor for hyperphosphatemia, whether tenapanor, along with other oral only medications, are included in the bundled prospective payment system for the treatment of ESRD patients, and the manner in which such transition is achieved;</w:t>
      </w:r>
    </w:p>
    <w:p>
      <w:pPr>
        <w:spacing w:after="0" w:line="122"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 overall safety and tolerability profile of the product;</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it is approved;</w:t>
      </w:r>
    </w:p>
    <w:p>
      <w:pPr>
        <w:spacing w:after="0" w:line="14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advantages over new or traditional or existing therapies, including recently approved therapies or therapies that the physician community anticipate will be approved;</w:t>
      </w:r>
    </w:p>
    <w:p>
      <w:pPr>
        <w:spacing w:after="0" w:line="12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by physicians, major operators of clinics and patients of tenapanor as a safe, effective and well-tolerated treatment;</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tenapanor;</w:t>
      </w:r>
    </w:p>
    <w:p>
      <w:pPr>
        <w:spacing w:after="0" w:line="14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and perceived advantages of tenapanor over current treatment options or alternative treatments, including future alternative treatments;</w:t>
      </w:r>
    </w:p>
    <w:p>
      <w:pPr>
        <w:spacing w:after="0" w:line="12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and willingness to pay for tenapanor, if approved, on the part of physicians and patients;</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alternative products and their ability to meet market demand; and</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quality of our relationships with patient advocacy groups.</w:t>
      </w:r>
    </w:p>
    <w:p>
      <w:pPr>
        <w:spacing w:after="0" w:line="14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Any failure by us to obtain a collaboration partner for the commercialization of tenapanor in the United States for IBS-C and any failure of tenapanor to achieve market acceptance, sufficient third-party coverage or reimbursement, or commercial success, should it receive regulatory approval, would adversely affect our results of operations.</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We currently have no sales organization. If we are unable to establish sales capabilities on our own or through third parties, we may not be able to commercialize tenapanor or any of our other product candidates.</w:t>
      </w:r>
    </w:p>
    <w:p>
      <w:pPr>
        <w:spacing w:after="0" w:line="147"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We currently do not have a sales organization. In order to commercialize or co-promote tenapanor or any of our other product candidates, we must enter collaborative relationships with one or more third parties, or build internal marketing, sales, distribution, managerial and other non-technical capabilities. There can be no assurances that we will be successful in establishing collaborative relationships in a timely manner or on terms that are acceptable to us. If tenapanor receives regulatory approval and we have not entered collaborative relationships for the commercialization of tenapanor in the United States, we would have to establish appropriate sales organizations with technical expertise supporting distribution capabilities to commercialize the product candidate, which will be expensive and time consuming, or delay the commercial launch of tenapanor for such indication. As a company, we have no prior experience in the marketing, sale and distribution of pharmaceutical products and there are significant risks involved in building and managing a sales organization, including our ability to secure the capital necessary to fund such efforts on acceptable terms,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w:t>
      </w:r>
    </w:p>
    <w:p>
      <w:pPr>
        <w:spacing w:after="0" w:line="16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If we are unable to enter collaborative relationships a timely manner, or on acceptable terms, and/or we fail or are delayed in the development of our internal sales, marketing and distribution capabilities, we may choose to delay the commercialization of our products and/or the commercialization of our products could be adversely impacted.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Third-party payor coverage and reimbursement status of newly-approved products is uncertain. Failure to obtain or maintain adequate coverage and reimbursement for our products, if approved, could limit our ability to market those products and decrease our ability to generate revenue.</w:t>
      </w:r>
    </w:p>
    <w:p>
      <w:pPr>
        <w:spacing w:after="0" w:line="16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The pricing, coverage and reimbursement of our product candidates, if approved, must be adequate to support a commercial infrastructure. The availability and adequacy of coverage and reimbursement by governmental and private payors are essential for most patients to be able to afford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our product candidates. Even if coverage is provided, the approved reimbursement amount may not be high enough to allow us to establish or maintain pricing sufficient to realize a return on our investment.</w:t>
      </w:r>
    </w:p>
    <w:p>
      <w:pPr>
        <w:spacing w:after="0" w:line="168"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or CMS, an agency within the U.S.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161"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7"/>
          <w:szCs w:val="17"/>
          <w:color w:val="auto"/>
        </w:rPr>
        <w:t>There is increased uncertainty related to insurance coverage and reimbursement for drugs, like tenapanor, which, if approved, will be marketed for the treatment of hyperphosphatemia in CKD patients on dialysis. In July 2010, CMS released its final rule to implement the ESRD Prospective Payment System, a bundled payment system for the treatment of CKD patients on dialysis as required by the Medicare Improvements for Patients and Providers Act, or MIPPA. The bundled payment covers a bundle of items and services routinely required for dialysis treatments furnished to Medicare beneficiaries in Medicare-certified ESRD facilities or at their home, including the cost of certain routine drugs. The final rule delayed the inclusion of oral medications without intravenous equivalents in the bundled payment until January 1, 2014 and in April 2014, President Obama signed the Protecting Access to Medicare Act of 2014, which further extended this implementation date to January 1, 2024. Additionally, section 204 of the Stephen Beck, Jr., Achieving a Better Life Experience Act of 2014, or ABLE, provides that payment for oral-only ESRD drugs cannot be made under the ESRD Prospective Payment System prior to January 1, 2025. As a result, absent further legislation on this matter, beginning in 2025, oral-only ESRD-related drugs may be included in the bundle and separate Medicare reimbursement will no longer be available for such drugs, as it is today under Medicare Part D. While it is too early to project the full impact that bundling may have on the industry, the impact could potentially cause dramatic price reductions for tenapanor, if approved. We may be unable to sell tenapanor, if approved, to dialysis providers on a profitable basis if third-party payors reduce their current levels of payment, or if our costs of production are higher than levels necessary for an appropriate gross margin after payment of all discounts, rebates and chargebacks.</w:t>
      </w:r>
    </w:p>
    <w:p>
      <w:pPr>
        <w:spacing w:after="0" w:line="168"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7" w:lineRule="exact"/>
        <w:rPr>
          <w:sz w:val="20"/>
          <w:szCs w:val="20"/>
          <w:color w:val="auto"/>
        </w:rPr>
      </w:pPr>
    </w:p>
    <w:p>
      <w:pPr>
        <w:jc w:val="both"/>
        <w:ind w:right="280" w:firstLine="324"/>
        <w:spacing w:after="0" w:line="249"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any of our product candidates due to the trend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32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may not be successful in our efforts to develop our product candidates that are at an early stage of development, or expand our pipeline of product candidates, as a result of numerous factors, which may include the inability to access capital necessary to fund such efforts on acceptable terms.</w:t>
      </w:r>
    </w:p>
    <w:p>
      <w:pPr>
        <w:spacing w:after="0" w:line="163"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A key element of our strategy has been focused on the expansion of our pipeline of product candidates utilizing our proprietary drug discovery and design platform and to advance such product candidates through clinical development. Our inability to access capital in a timely manner or on acceptable terms to fund our early stage product candidates may force us to consider certain restructuring activities to enable the funding of those early assets through the use of alternative structures. In addition, of the large number of drugs in development, only a small percentage of such drugs successfully complete the FDA regulatory approval process and are commercialized. Accordingly, even if we are able to continue to fund our research and early stage development programs, there can be no assurance that any product candidates will reach the clinic or be successfully developed or commercialized.</w:t>
      </w:r>
    </w:p>
    <w:p>
      <w:pPr>
        <w:spacing w:after="0" w:line="168"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effective and well-tolerated. Our research programs may initially show promise in identifying potential product candidates, and we may select candidates for development, yet we may fail to advance product candidates to clinical development for many reasons, including the following:</w:t>
      </w:r>
    </w:p>
    <w:p>
      <w:pPr>
        <w:spacing w:after="0" w:line="162" w:lineRule="exact"/>
        <w:rPr>
          <w:sz w:val="20"/>
          <w:szCs w:val="20"/>
          <w:color w:val="auto"/>
        </w:rPr>
      </w:pPr>
    </w:p>
    <w:p>
      <w:pPr>
        <w:jc w:val="both"/>
        <w:ind w:left="660" w:hanging="333"/>
        <w:spacing w:after="0" w:line="224" w:lineRule="auto"/>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we may be unable to access sufficient capital on acceptable terms to fund the development of all of our assets and as a result we may be forced to delay or terminate the development of certain product candidates, or to consider restructuring efforts to secure alternate funding for those assets;</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the research methodology used and our drug discovery and design platform may not be successful in identifying potential product candidates;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competitors may develop alternatives that render our product candidates obsolete or less attractive;</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4"/>
        </w:numPr>
        <w:rPr>
          <w:rFonts w:ascii="Arial" w:cs="Arial" w:eastAsia="Arial" w:hAnsi="Arial"/>
          <w:sz w:val="17"/>
          <w:szCs w:val="17"/>
          <w:color w:val="231F20"/>
        </w:rPr>
      </w:pPr>
      <w:r>
        <w:rPr>
          <w:rFonts w:ascii="Arial" w:cs="Arial" w:eastAsia="Arial" w:hAnsi="Arial"/>
          <w:sz w:val="17"/>
          <w:szCs w:val="17"/>
          <w:color w:val="auto"/>
        </w:rPr>
        <w:t>product candidates we develop may nevertheless be covered by third parties’ patents or other exclusive rights;</w:t>
      </w:r>
    </w:p>
    <w:p>
      <w:pPr>
        <w:spacing w:after="0" w:line="196"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the market for a product candidate may change during our program so that the continued development of that product candidate is no longer reasonable;</w:t>
      </w:r>
    </w:p>
    <w:p>
      <w:pPr>
        <w:spacing w:after="0" w:line="161" w:lineRule="exact"/>
        <w:rPr>
          <w:rFonts w:ascii="Arial" w:cs="Arial" w:eastAsia="Arial" w:hAnsi="Arial"/>
          <w:sz w:val="18"/>
          <w:szCs w:val="18"/>
          <w:color w:val="231F20"/>
        </w:rPr>
      </w:pPr>
    </w:p>
    <w:p>
      <w:pPr>
        <w:ind w:left="660" w:hanging="333"/>
        <w:spacing w:after="0" w:line="289" w:lineRule="auto"/>
        <w:tabs>
          <w:tab w:leader="none" w:pos="660" w:val="left"/>
        </w:tabs>
        <w:numPr>
          <w:ilvl w:val="0"/>
          <w:numId w:val="24"/>
        </w:numPr>
        <w:rPr>
          <w:rFonts w:ascii="Arial" w:cs="Arial" w:eastAsia="Arial" w:hAnsi="Arial"/>
          <w:sz w:val="16"/>
          <w:szCs w:val="16"/>
          <w:color w:val="231F20"/>
        </w:rPr>
      </w:pPr>
      <w:r>
        <w:rPr>
          <w:rFonts w:ascii="Arial" w:cs="Arial" w:eastAsia="Arial" w:hAnsi="Arial"/>
          <w:sz w:val="16"/>
          <w:szCs w:val="16"/>
          <w:color w:val="auto"/>
        </w:rPr>
        <w:t>a product candidate may on further study be shown to have harmful side effects or other characteristics that indicate it is unlikely to be effective, well-tolerated or otherwise does not meet applicable regulatory or commercial criteria;</w:t>
      </w:r>
    </w:p>
    <w:p>
      <w:pPr>
        <w:spacing w:after="0" w:line="124" w:lineRule="exact"/>
        <w:rPr>
          <w:rFonts w:ascii="Arial" w:cs="Arial" w:eastAsia="Arial" w:hAnsi="Arial"/>
          <w:sz w:val="16"/>
          <w:szCs w:val="16"/>
          <w:color w:val="231F20"/>
        </w:rPr>
      </w:pPr>
    </w:p>
    <w:p>
      <w:pPr>
        <w:ind w:left="660" w:hanging="333"/>
        <w:spacing w:after="0" w:line="235" w:lineRule="auto"/>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a product candidate may not be capable of being produced in commercial quantities at an acceptable cost, or at all; and</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a product candidate may not be accepted as safe, effective and well-tolerated by patients, the medical community or third-party payors, if applicable.</w:t>
      </w:r>
    </w:p>
    <w:p>
      <w:pPr>
        <w:spacing w:after="0" w:line="16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Even if we are successful in continuing to expand our pipeline, through our own research and development efforts, the potential product candidates that we identify or for which we acquire rights may not be suitable for clinical development, including as a result of being shown to have harmful side effects or other characteristics that indicate that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they are unlikely to receive marketing approval and achieve market acceptance. If we do not successfully develop and commercialize a product pipeline, we may not be able to generate revenue from product sales in future periods or ever achieve profitability.</w:t>
      </w:r>
    </w:p>
    <w:p>
      <w:pPr>
        <w:spacing w:after="0" w:line="1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rely on third parties to conduct some of our nonclinical studies and all of our clinical trials. If these third parties do not successfully carry out their contractual duties or meet expected deadlines, we may be unable to obtain regulatory approval for additional products or commercialize our product candidates.</w:t>
      </w:r>
    </w:p>
    <w:p>
      <w:pPr>
        <w:spacing w:after="0" w:line="163" w:lineRule="exact"/>
        <w:rPr>
          <w:sz w:val="20"/>
          <w:szCs w:val="20"/>
          <w:color w:val="auto"/>
        </w:rPr>
      </w:pPr>
    </w:p>
    <w:p>
      <w:pPr>
        <w:jc w:val="both"/>
        <w:ind w:firstLine="324"/>
        <w:spacing w:after="0" w:line="218" w:lineRule="auto"/>
        <w:rPr>
          <w:sz w:val="20"/>
          <w:szCs w:val="20"/>
          <w:color w:val="auto"/>
        </w:rPr>
      </w:pPr>
      <w:r>
        <w:rPr>
          <w:rFonts w:ascii="Arial" w:cs="Arial" w:eastAsia="Arial" w:hAnsi="Arial"/>
          <w:sz w:val="17"/>
          <w:szCs w:val="17"/>
          <w:color w:val="auto"/>
        </w:rPr>
        <w:t>We do not have the ability to independently conduct clinical trials and, in some cases, nonclinical studies.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some of our nonclinical studies and all of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or GCPs, for clinical studies. GLPs and GCPs are regulations and guidelines enforced by the FDA, the Competent Authorities of the Member States of the European Economic Area, or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or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7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b w:val="1"/>
          <w:bCs w:val="1"/>
          <w:i w:val="1"/>
          <w:iCs w:val="1"/>
          <w:color w:val="auto"/>
        </w:rPr>
        <w:t>Our products or product candidates may cause undesirable side effects or have other properties that could delay our clinical trials, or delay or prevent regulatory approval, limit the commercial profile of an approved label, or result in significant negative consequences following any regulatory approval that is achieved. If we or others identify undesirable side effects caused by any product candidate following receipt of marketing approval, the ability to market such product candidate could be compromised.</w:t>
      </w:r>
    </w:p>
    <w:p>
      <w:pPr>
        <w:spacing w:after="0" w:line="16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Undesirable side effects caused by our products or product candidates could cause us or regulatory authorities to interrupt, delay or halt clinical trials, result in the delay or denial of regulatory approval by the FDA or other comparable foreign regulatory authorities or limit the commercial profile of an approved label. To date, patients treated with tenapanor have experienced drug-related side effects including diarrhea, nausea, vomiting, flatulence, abdominal discomfort, abdominal pain, abdominal distention and changes in electrolytes. Despite our receipt of marketing approval for tenapanor for IBS-C, in the event that trials conducted by us with tenapanor for hyperphosphatemia, or trials we conduct with our other product candidates, reveal an unacceptable severity and prevalence of these or other side effects, such trials could be suspended or terminated and the FDA or comparable foreign regulatory authorities could order us to cease further development of or deny approval of tenapanor for such indication, or any such other product candidate, for any or all targeted indications. Additionally, despite a positive efficacy profile, the prevalence and/or severity of these or other side effects could cause us to cease further development of a product candidate for a particular indication, or entirely.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In addition, if we or others identify undesirable side effects caused by one of our products for which we have received regulatory approval, a number of potentially significant negative consequences could occur, including:</w:t>
      </w:r>
    </w:p>
    <w:p>
      <w:pPr>
        <w:spacing w:after="0" w:line="162" w:lineRule="exact"/>
        <w:rPr>
          <w:sz w:val="20"/>
          <w:szCs w:val="20"/>
          <w:color w:val="auto"/>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regulatory authorities may withdraw their approval of the product or seize the product;</w:t>
      </w:r>
    </w:p>
    <w:p>
      <w:pPr>
        <w:spacing w:after="0" w:line="14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we, or a collaboration partner, may be required to recall the product;</w:t>
      </w:r>
    </w:p>
    <w:p>
      <w:pPr>
        <w:spacing w:after="0" w:line="144" w:lineRule="exact"/>
        <w:rPr>
          <w:rFonts w:ascii="Arial" w:cs="Arial" w:eastAsia="Arial" w:hAnsi="Arial"/>
          <w:sz w:val="18"/>
          <w:szCs w:val="18"/>
          <w:color w:val="231F20"/>
        </w:rPr>
      </w:pPr>
    </w:p>
    <w:p>
      <w:pPr>
        <w:jc w:val="both"/>
        <w:ind w:left="660" w:hanging="333"/>
        <w:spacing w:after="0" w:line="216" w:lineRule="auto"/>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additional restrictions may be imposed on the marketing of the particular product or the manufacturing processes for the product or any component thereof, including the imposition of a Risk Evaluation and Mitigation Strategies, or REMS, plan that may require creation of a Medication Guide outlining the risks of such side effects for distribution to patients, as well as elements to assure safe use of the product, such as a patient registry and training and certification of prescribers;</w:t>
      </w:r>
    </w:p>
    <w:p>
      <w:pPr>
        <w:spacing w:after="0" w:line="121"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7"/>
          <w:szCs w:val="17"/>
          <w:color w:val="231F20"/>
        </w:rPr>
      </w:pPr>
      <w:r>
        <w:rPr>
          <w:rFonts w:ascii="Arial" w:cs="Arial" w:eastAsia="Arial" w:hAnsi="Arial"/>
          <w:sz w:val="17"/>
          <w:szCs w:val="17"/>
          <w:color w:val="auto"/>
        </w:rPr>
        <w:t>we, or a collaboration partner, may be subject to fines, injunctions or the imposition of civil or criminal penalties;</w:t>
      </w:r>
    </w:p>
    <w:p>
      <w:pPr>
        <w:spacing w:after="0" w:line="155"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21"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we could be sued and held liable for harm caused to patients;</w:t>
      </w:r>
    </w:p>
    <w:p>
      <w:pPr>
        <w:spacing w:after="0" w:line="14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the product may become less competitive; and</w:t>
      </w:r>
    </w:p>
    <w:p>
      <w:pPr>
        <w:spacing w:after="0" w:line="14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our reputation may suffer</w:t>
      </w:r>
    </w:p>
    <w:p>
      <w:pPr>
        <w:spacing w:after="0" w:line="144"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Any of the foregoing events could prevent us, or a collaboration partner, from achieving or maintaining market acceptance of a particular product candidate, if approved, and could result in the loss of significant revenue to us, which would materially and adversely affect our results of operations and business.</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face substantial competition and our competitors may discover, develop or commercialize products faster or more successfully than us.</w:t>
      </w:r>
    </w:p>
    <w:p>
      <w:pPr>
        <w:spacing w:after="0" w:line="162"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as well as our other product candidates, would compete against existing treatments.</w:t>
      </w:r>
    </w:p>
    <w:p>
      <w:pPr>
        <w:spacing w:after="0" w:line="15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For example, tenapanor will, if approved for the treatment of hyperphosphatemia in CKD patients on dialysis, compete directly with phosphate binders for the treatment of hyperphosphatemia in CKD patients on dialysis. The various types of phosphate binders commercialized in the United States include the following:</w:t>
      </w:r>
    </w:p>
    <w:p>
      <w:pPr>
        <w:spacing w:after="0" w:line="163" w:lineRule="exact"/>
        <w:rPr>
          <w:sz w:val="20"/>
          <w:szCs w:val="20"/>
          <w:color w:val="auto"/>
        </w:rPr>
      </w:pPr>
    </w:p>
    <w:p>
      <w:pPr>
        <w:ind w:left="660" w:hanging="333"/>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Calcium carbonate (many over-the-counter brands including Tums and Caltrate)</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Calcium acetate (several prescription brands including PhosLo and Phoslyra)</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Lanthanum carbonate (Fosrenol)</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Sevelamer hydrochloride (Renagel)</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Sevelamer carbonate (Renvela)</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Sucroferric oxyhydroxide (Velphoro)</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Ferric citrate (Auryxia)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14" w:lineRule="auto"/>
        <w:rPr>
          <w:sz w:val="20"/>
          <w:szCs w:val="20"/>
          <w:color w:val="auto"/>
        </w:rPr>
      </w:pPr>
      <w:r>
        <w:rPr>
          <w:rFonts w:ascii="Arial" w:cs="Arial" w:eastAsia="Arial" w:hAnsi="Arial"/>
          <w:sz w:val="18"/>
          <w:szCs w:val="18"/>
          <w:color w:val="auto"/>
        </w:rPr>
        <w:t>The hydrochloride form of sevelamer, Renagel, was launched in the United States by Genzyme Corporation in 1998 prior to its acquisition by Sanofi, and the carbonate form, Renvela, was launched in 2008. Generic sevelamer carbonate has been approved in certain jurisdictions in Europe since 2015 and in the U.S. market since June 2017. In addition to the currently marketed phosphate binders, we are aware of at least two other binders in development, including fermagate (Alpharen), an iron-based binder in Phase 3 being developed by Opko Health, Inc., and PT20, an iron-based binder in Phase 3 being developed by Shield Therapeutics.</w:t>
      </w:r>
    </w:p>
    <w:p>
      <w:pPr>
        <w:spacing w:after="0" w:line="338"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In respect of tenapanor for the treatment of IBS-C, 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16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We are aware of four prescription products marketed for certain patients with IBS-C, including Linzess (linaclotide), Amitiza (lubiprostone), Trulance (plecanatide) and Zelnorm (tegaserod maleate).</w:t>
      </w:r>
    </w:p>
    <w:p>
      <w:pPr>
        <w:spacing w:after="0" w:line="16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It is possible that our competitors will develop and market drugs or other treatments that are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16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Our proprietary drug discovery and design platform, and, in particular, APECCS, is a new approach to the discovery, design and development of new product candidates and may not result in any products of commercial value. Furthermore, the APECCS aspects of our drug discovery and design platform may have diminished relevance to our efforts focused on the discovery of targets and therapies for the treatment of renal diseases.</w:t>
      </w:r>
    </w:p>
    <w:p>
      <w:pPr>
        <w:spacing w:after="0" w:line="155"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We have developed a proprietary drug discovery and design platform to enable the identification, screening, testing, design and development of new product candidates, and have developed APECCS as a component of this of this platform. We have utilized APECCS in the design of our small molecules and to identify new and potentially novel targets in the GI tract. However, there can be no assurance that APECCS will be able to identify new targets in the GI tract or that any of these potential targets or other aspects of our proprietary drug discovery and design platform will yield product candidates that could enter clinical development and, ultimately, be commercially valuable. In addition, as we focus our efforts on the discovery and design of therapies for the treatment of cardiorenal diseases, we may need to further develop our proprietary drug discovery and design platform to enhance its usefulness in the identification, screening, testing, design and development of new product candidates for the treatment of cardiorenal diseases. There can be no assurances that we will be successful in such additional development of our platform or that our platform will yield product candidates for the treatment of renal diseases.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experience difficulties in managing our current activities and growth given our level of managerial, operational, financial and other resources.</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163" w:lineRule="exact"/>
        <w:rPr>
          <w:sz w:val="20"/>
          <w:szCs w:val="20"/>
          <w:color w:val="auto"/>
        </w:rPr>
      </w:pPr>
    </w:p>
    <w:p>
      <w:pPr>
        <w:ind w:left="660" w:hanging="333"/>
        <w:spacing w:after="0" w:line="258" w:lineRule="auto"/>
        <w:tabs>
          <w:tab w:leader="none" w:pos="660" w:val="left"/>
        </w:tabs>
        <w:numPr>
          <w:ilvl w:val="0"/>
          <w:numId w:val="27"/>
        </w:numPr>
        <w:rPr>
          <w:rFonts w:ascii="Arial" w:cs="Arial" w:eastAsia="Arial" w:hAnsi="Arial"/>
          <w:sz w:val="17"/>
          <w:szCs w:val="17"/>
          <w:color w:val="231F20"/>
        </w:rPr>
      </w:pPr>
      <w:r>
        <w:rPr>
          <w:rFonts w:ascii="Arial" w:cs="Arial" w:eastAsia="Arial" w:hAnsi="Arial"/>
          <w:sz w:val="17"/>
          <w:szCs w:val="17"/>
          <w:color w:val="auto"/>
        </w:rPr>
        <w:t>manage our clinical trials effectively, including the Phase 3 trial of tenapanor and the clinical trial evaluating tenapanor in combination with, phosphate binders, both of which are being conducted at multiple trial sites;</w:t>
      </w:r>
    </w:p>
    <w:p>
      <w:pPr>
        <w:spacing w:after="0" w:line="146" w:lineRule="exact"/>
        <w:rPr>
          <w:rFonts w:ascii="Arial" w:cs="Arial" w:eastAsia="Arial" w:hAnsi="Arial"/>
          <w:sz w:val="17"/>
          <w:szCs w:val="17"/>
          <w:color w:val="231F20"/>
        </w:rPr>
      </w:pPr>
    </w:p>
    <w:p>
      <w:pPr>
        <w:ind w:left="640" w:hanging="286"/>
        <w:spacing w:after="0" w:line="235" w:lineRule="auto"/>
        <w:tabs>
          <w:tab w:leader="none" w:pos="640" w:val="left"/>
        </w:tabs>
        <w:numPr>
          <w:ilvl w:val="1"/>
          <w:numId w:val="27"/>
        </w:numPr>
        <w:rPr>
          <w:rFonts w:ascii="Arial" w:cs="Arial" w:eastAsia="Arial" w:hAnsi="Arial"/>
          <w:sz w:val="18"/>
          <w:szCs w:val="18"/>
          <w:color w:val="231F20"/>
        </w:rPr>
      </w:pPr>
      <w:r>
        <w:rPr>
          <w:rFonts w:ascii="Arial" w:cs="Arial" w:eastAsia="Arial" w:hAnsi="Arial"/>
          <w:sz w:val="18"/>
          <w:szCs w:val="18"/>
          <w:color w:val="auto"/>
        </w:rPr>
        <w:t>manage our internal research and development efforts effectively while carrying out our contractual obligations to licensors, contractors, collaborators, government agencies and other third parties;</w:t>
      </w:r>
    </w:p>
    <w:p>
      <w:pPr>
        <w:spacing w:after="0" w:line="161" w:lineRule="exact"/>
        <w:rPr>
          <w:rFonts w:ascii="Arial" w:cs="Arial" w:eastAsia="Arial" w:hAnsi="Arial"/>
          <w:sz w:val="18"/>
          <w:szCs w:val="18"/>
          <w:color w:val="231F20"/>
        </w:rPr>
      </w:pPr>
    </w:p>
    <w:p>
      <w:pPr>
        <w:ind w:left="640" w:hanging="286"/>
        <w:spacing w:after="0"/>
        <w:tabs>
          <w:tab w:leader="none" w:pos="640" w:val="left"/>
        </w:tabs>
        <w:numPr>
          <w:ilvl w:val="1"/>
          <w:numId w:val="27"/>
        </w:numPr>
        <w:rPr>
          <w:rFonts w:ascii="Arial" w:cs="Arial" w:eastAsia="Arial" w:hAnsi="Arial"/>
          <w:sz w:val="16"/>
          <w:szCs w:val="16"/>
          <w:color w:val="231F20"/>
        </w:rPr>
      </w:pPr>
      <w:r>
        <w:rPr>
          <w:rFonts w:ascii="Arial" w:cs="Arial" w:eastAsia="Arial" w:hAnsi="Arial"/>
          <w:sz w:val="16"/>
          <w:szCs w:val="16"/>
          <w:color w:val="auto"/>
        </w:rPr>
        <w:t>continue to improve our operational, financial and management controls, reporting systems and procedures; and</w:t>
      </w:r>
    </w:p>
    <w:p>
      <w:pPr>
        <w:spacing w:after="0" w:line="207" w:lineRule="exact"/>
        <w:rPr>
          <w:rFonts w:ascii="Arial" w:cs="Arial" w:eastAsia="Arial" w:hAnsi="Arial"/>
          <w:sz w:val="16"/>
          <w:szCs w:val="16"/>
          <w:color w:val="231F20"/>
        </w:rPr>
      </w:pPr>
    </w:p>
    <w:p>
      <w:pPr>
        <w:ind w:left="640" w:hanging="286"/>
        <w:spacing w:after="0"/>
        <w:tabs>
          <w:tab w:leader="none" w:pos="640" w:val="left"/>
        </w:tabs>
        <w:numPr>
          <w:ilvl w:val="1"/>
          <w:numId w:val="27"/>
        </w:numPr>
        <w:rPr>
          <w:rFonts w:ascii="Arial" w:cs="Arial" w:eastAsia="Arial" w:hAnsi="Arial"/>
          <w:sz w:val="16"/>
          <w:szCs w:val="16"/>
          <w:color w:val="231F20"/>
        </w:rPr>
      </w:pPr>
      <w:r>
        <w:rPr>
          <w:rFonts w:ascii="Arial" w:cs="Arial" w:eastAsia="Arial" w:hAnsi="Arial"/>
          <w:sz w:val="16"/>
          <w:szCs w:val="16"/>
          <w:color w:val="auto"/>
        </w:rPr>
        <w:t>retain and motivate our remaining employees and potentially identify, recruit, and integrate additional employees.</w:t>
      </w:r>
    </w:p>
    <w:p>
      <w:pPr>
        <w:spacing w:after="0" w:line="2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we are unable to maintain or expand our managerial, operational, financial and other resources to the extent required to manage our development and pre-commercialization activities, our business will be materially adversely affected.</w:t>
      </w:r>
    </w:p>
    <w:p>
      <w:pPr>
        <w:spacing w:after="0" w:line="12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i w:val="1"/>
          <w:iCs w:val="1"/>
          <w:color w:val="auto"/>
        </w:rPr>
        <w:t>We rely completely on third parties to manufacture our nonclinical and clinical drug supplies, and we intend to rely on third parties to produce commercial supplies of tenapanor, if approved. Our business would be harmed if those third parties fail to obtain approval of the FDA or comparable regulatory authorities, fail to provide us with sufficient quantities of drug, or fail to do so at acceptable quality levels or prices.</w:t>
      </w:r>
    </w:p>
    <w:p>
      <w:pPr>
        <w:spacing w:after="0" w:line="163"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We do not currently have, nor do we plan to acquire, the infrastructure or capability internally to manufacture tenapanor or any of other our product candidates on a commercial scale, or to manufacture our drug supplies for use in the conduct of our nonclinical and clinical studies. The facilities used by our contract manufacturers to manufacture our drug supply must be approved by the FDA pursuant to inspections that will be conducted after an NDA is submitted to the FDA. Our ability to control the manufacturing process of our product candidates is limited to the contractual requirements and obligations we impose on our contract manufacturer. Although they are contractually required to so do, we are completely dependent on our contract manufacturing partners for compliance with the regulatory requirements, known as cGMPs, for manufacture of both active drug substances and finished drug products.</w:t>
      </w:r>
    </w:p>
    <w:p>
      <w:pPr>
        <w:spacing w:after="0" w:line="168"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require a transfer of technology to such alternative facilities and potentially additional capital investment. In addition, the use of alternative manufacturing facilities would require qualification with the FDA or comparable foreign regulatory authorities, all of which would significantly impact our ability to develop, obtain regulatory approval for or market our product candidates, if approved.</w:t>
      </w:r>
    </w:p>
    <w:p>
      <w:pPr>
        <w:spacing w:after="0" w:line="168"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We rely on our manufacturers to purchase from third-party suppliers the materials necessary to produce our product candidates for our clinical studies. There are a limited number of suppliers for raw materials and certain processes, such as spray drying, that we use to manufacture our drugs, and there may be a need to identify alternate suppliers to prevent a possible disruption of the manufacture of the materials necessary to produce our product candidates for our clinical studies, and, if approved, ultimately for commercial sale. We do not have any control over the process or timing of the acquisition of these raw materials or processes by our manufacturers. Although we generally do not begin a clinical study unless we believe we have on hand, or will be able to manufacture, a sufficient supply of a product candidate to complete such study, any significant delay or discontinuity in the supply of a product candidate, or the raw material components thereof, for an ongoing clinical study due to the need to replace a third-party manufacturer could considerably delay completion of our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clinical studies, product testing, and potential regulatory approval of our product candidates, which could harm our business and results of operations.</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62" w:lineRule="exact"/>
        <w:rPr>
          <w:sz w:val="20"/>
          <w:szCs w:val="20"/>
          <w:color w:val="auto"/>
        </w:rPr>
      </w:pPr>
    </w:p>
    <w:p>
      <w:pPr>
        <w:jc w:val="both"/>
        <w:ind w:firstLine="324"/>
        <w:spacing w:after="0" w:line="210"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66" w:lineRule="exact"/>
        <w:rPr>
          <w:sz w:val="20"/>
          <w:szCs w:val="20"/>
          <w:color w:val="auto"/>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decreased demand for our product candidates;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injury to our reputation;</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costs to defend the related litigation;</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a diversion of management’s time and our resources;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substantial monetary awards to trial participants or patients;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7"/>
          <w:szCs w:val="17"/>
          <w:color w:val="231F20"/>
        </w:rPr>
      </w:pPr>
      <w:r>
        <w:rPr>
          <w:rFonts w:ascii="Arial" w:cs="Arial" w:eastAsia="Arial" w:hAnsi="Arial"/>
          <w:sz w:val="17"/>
          <w:szCs w:val="17"/>
          <w:color w:val="auto"/>
        </w:rPr>
        <w:t>regulatory investigations, product recalls or withdrawals, or labeling, marketing or promotional restrictions;</w:t>
      </w:r>
    </w:p>
    <w:p>
      <w:pPr>
        <w:spacing w:after="0" w:line="196" w:lineRule="exact"/>
        <w:rPr>
          <w:rFonts w:ascii="Arial" w:cs="Arial" w:eastAsia="Arial" w:hAnsi="Arial"/>
          <w:sz w:val="17"/>
          <w:szCs w:val="17"/>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the inability to commercialize or co-promote our product candidates.</w:t>
      </w:r>
    </w:p>
    <w:p>
      <w:pPr>
        <w:spacing w:after="0" w:line="185"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6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are highly dependent on the services of our President and Chief Executive Officer, Michael Raab and our Chief Development Officer, David Rosenbaum, Ph.D. If we are not able to retain these members of our management team, or recruit additional management and clinical personnel, our business will suffer.</w:t>
      </w:r>
    </w:p>
    <w:p>
      <w:pPr>
        <w:spacing w:after="0" w:line="163"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personnel. In particular, we are highly dependent upon Michael Raab, our President and Chief Executive Officer and David Rosenbaum, Ph.D., our Chief Development Officer. The loss of services of either of these individuals could delay or impair the successful development of our product pipeline, completion of our planned clinical trials or the commercialization of our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product candidates. Although we have entered into employment agreements with our senior management team, including Mr. Raab and Dr. Rosenbaum, these agreements are terminable at will with or without notice and, therefore, we may not be able to retain their services as expected. Although we have not historically experienced unique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In addition to the competition for personnel, the San Francisco Bay area in particular is characterized by a high cost of living. As such, we could have difficulty attracting experienced personnel to our company and may be required to expend significant financial resources in our employee recruitment and retention efforts.</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55"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and personal information. It is critical that we and our collaborators, CROs and other contractors and consultants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CROs,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w:t>
      </w:r>
    </w:p>
    <w:p>
      <w:pPr>
        <w:spacing w:after="0" w:line="162"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6"/>
          <w:szCs w:val="16"/>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computer security breach affects our systems or those of our collaborators, CROs or other contractors,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the Health Insurance Portability and Accountability Act of 1996, or HIPAA, as amended by the Health Information Technology for Clinical Health Act of 2009, or HITECH, and its implementing rules and regulations,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84" w:lineRule="auto"/>
        <w:rPr>
          <w:sz w:val="20"/>
          <w:szCs w:val="20"/>
          <w:color w:val="auto"/>
        </w:rPr>
      </w:pPr>
      <w:r>
        <w:rPr>
          <w:rFonts w:ascii="Arial" w:cs="Arial" w:eastAsia="Arial" w:hAnsi="Arial"/>
          <w:sz w:val="15"/>
          <w:szCs w:val="15"/>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30"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We incur significant legal, accounting and other expenses as a public company, including costs resulting from public company reporting obligations under the Securities Exchange Act of 1934, as amended, or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6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We are subject to Section 404 of The Sarbanes-Oxley Act of 2002, or Section 404, and the related rules of the Securities and Exchange Commission, or SEC, which generally require our management and independent registered public accounting firm to report on the effectiveness of our internal control over financial reporting. Section 404 requires an annual management assessment of the effectiveness of our internal control over financial reporting. However, for so long as we remain an emerging growth company as defined in the Jumpstart Our Business Startups Act of 2012, or JOBS Act, we intend to take advantage of certain exemptions from various reporting requirements that are applicable to public companies that are emerging growth companies, including, but not limited to, not being required to comply with the auditor attestation requirements of Section 404. We will remain an emerging growth company until December 31, 2019 and will be required to include an opinion from our independent registered public accounting firm on the effectiveness of our internal controls over financial reporting as part of our Annual Report on form 10-K for the fiscal year ended December 31, 2019.</w:t>
      </w:r>
    </w:p>
    <w:p>
      <w:pPr>
        <w:spacing w:after="0" w:line="16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1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We identified a material weakness in our internal control over financial reporting as of June 30, 2019. If we fail to remediate this weakness and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spacing w:after="0" w:line="148" w:lineRule="exact"/>
        <w:rPr>
          <w:sz w:val="20"/>
          <w:szCs w:val="20"/>
          <w:color w:val="auto"/>
        </w:rPr>
      </w:pPr>
    </w:p>
    <w:p>
      <w:pPr>
        <w:ind w:firstLine="324"/>
        <w:spacing w:after="0" w:line="246" w:lineRule="auto"/>
        <w:rPr>
          <w:sz w:val="20"/>
          <w:szCs w:val="20"/>
          <w:color w:val="auto"/>
        </w:rPr>
      </w:pPr>
      <w:r>
        <w:rPr>
          <w:rFonts w:ascii="Arial" w:cs="Arial" w:eastAsia="Arial" w:hAnsi="Arial"/>
          <w:sz w:val="19"/>
          <w:szCs w:val="19"/>
          <w:color w:val="auto"/>
        </w:rPr>
        <w:t>In accordance with Section 404, management assessed the effectiveness of our internal control over financial reporting as of September 30, 2019 and based on our management’s assessment using criteria established in “Internal Control—Integrated Framework (2013)” issued by the Committee of Sponsoring Organizations of the Treadway Commission, management concluded that our internal control over financial reporting was not effective as of September 30, 2019. Management and our independent registered public accounting firm identified a control deficiency that constituted a material weakness as of June 30, 2019. The material weakness was due to a failure in the design and implementation of controls over the evaluation of the terms of our clinical trial contracts for inclusion into our clinical</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ind w:right="260"/>
        <w:spacing w:after="0" w:line="298" w:lineRule="auto"/>
        <w:rPr>
          <w:sz w:val="20"/>
          <w:szCs w:val="20"/>
          <w:color w:val="auto"/>
        </w:rPr>
      </w:pPr>
      <w:r>
        <w:rPr>
          <w:rFonts w:ascii="Arial" w:cs="Arial" w:eastAsia="Arial" w:hAnsi="Arial"/>
          <w:sz w:val="19"/>
          <w:szCs w:val="19"/>
          <w:color w:val="auto"/>
        </w:rPr>
        <w:t>financial model which estimates clinical trial expenses. Specifically, we failed to properly interpret an expense in our clinical trial contracts which resulted in the over accrual of our clinical trial expenses.</w:t>
      </w:r>
    </w:p>
    <w:p>
      <w:pPr>
        <w:spacing w:after="0" w:line="72"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We developed a remediation plan for this material weakness. While we have implemented this plan to remediate the material weakness, we can give no assurance that the implementation of this plan will remediate this deficiency in our internal control or that additional material weaknesses or significant deficiencies in our internal control over financial reporting will not be identified in the future. Our failure to implement and maintain effective internal control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 over financial reporting, investor confidence in the reliability of our financial reports may be adversely affected, which could have a material adverse effect on the trading price of our common stock.</w:t>
      </w:r>
    </w:p>
    <w:p>
      <w:pPr>
        <w:spacing w:after="0" w:line="16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62" w:lineRule="exact"/>
        <w:rPr>
          <w:sz w:val="20"/>
          <w:szCs w:val="20"/>
          <w:color w:val="auto"/>
        </w:rPr>
      </w:pPr>
    </w:p>
    <w:p>
      <w:pPr>
        <w:jc w:val="both"/>
        <w:ind w:firstLine="324"/>
        <w:spacing w:after="0"/>
        <w:rPr>
          <w:sz w:val="20"/>
          <w:szCs w:val="20"/>
          <w:color w:val="auto"/>
        </w:rPr>
      </w:pPr>
      <w:r>
        <w:rPr>
          <w:rFonts w:ascii="Arial" w:cs="Arial" w:eastAsia="Arial" w:hAnsi="Arial"/>
          <w:sz w:val="16"/>
          <w:szCs w:val="16"/>
          <w:color w:val="auto"/>
        </w:rPr>
        <w:t>We have current collaboration partnerships for the commercialization of tenapanor in certain foreign countries, and we currently expect to form additional collaboration partnerships, create joint ventures or enter into additional licensing arrangements with third parties in the United States and abroad that we believe will complement or augment our existing business. In particular, we have formed collaboration partnerships with Kyowa Kirin Co., Ltd., formerly known as, Kyowa Hakko Kirin Co., Ltd for commercialization of tenapanor for hyperphosphatemia in Japan, with Shanghai Fosun Pharmaceutical Industrial Development Co. Ltd. for commercialization of tenapanor for hyperphosphatemia and IBS-C in China and related territories, and in Canada with Knight Therapeutics Inc. for commercialization of tenapanor for IBS-C and hyperphosphatemia.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Moreover, we may not be successful in our efforts to establish a collaboration partnership for tenapanor for IBS-C commercialization in the United States or for any future product candidates and programs on terms that are acceptable to us, or at all. With respect to tenapanor for IBS-C in the United States, this may be because third parties may not view tenapanor for the treatment of IBS-C as having sufficient potential to be successfully commercialized. Additionally, despite third party interest in the commercialization of tenapanor for IBS-C in the United States, we may decide that it is not in the best interests of the Company to enter into such a collaboration partnership. If we are unable to establish a collaboration partnership for the commercialization of IBS-C in the United States under acceptable terms, the commercialization of tenapanor for IBS-C could be materially and adversely impacted, which could have a material adverse effect on our business, results of operations, financial condition and prospects. Additionally, we may not be successful in our efforts to establish collaboration partnerships for our other product candidates because our product candidates and programs may be deemed to be at too early of a stage of development for collaborative effort, our research and development pipeline may be viewed as insufficient, and/or third parties may not view such other product candidates and programs as having sufficient potential for commercialization, including the likelihood of an adequate safety and efficacy profile.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spacing w:after="0" w:line="13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6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We may consider strategic transactions, such as acquisitions of companies, asset purchases, and or in-licensing of products, product candidates or technologies. In addition,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61" w:lineRule="exact"/>
        <w:rPr>
          <w:sz w:val="20"/>
          <w:szCs w:val="20"/>
          <w:color w:val="auto"/>
        </w:rPr>
      </w:pPr>
    </w:p>
    <w:p>
      <w:pPr>
        <w:ind w:left="660" w:hanging="333"/>
        <w:spacing w:after="0" w:line="235" w:lineRule="auto"/>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exposure to unknown liabilities;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incurrence of substantial debt or dilutive issuances of equity securities to pay for acquisitions;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higher-than-expected acquisition and integration costs;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write-downs of assets or goodwill or impairment charges;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increased amortization expenses;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inability to retain key employees of any acquired businesses.</w:t>
      </w:r>
    </w:p>
    <w:p>
      <w:pPr>
        <w:spacing w:after="0" w:line="18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If we seek and obtain approval to commercialize our product candidates outside of the United States, manufacture our product candidates outside of the United States, or otherwise engage in business outside of the United States, a variety of risks associated with international operations could materially adversely affect our business.</w:t>
      </w:r>
    </w:p>
    <w:p>
      <w:pPr>
        <w:spacing w:after="0" w:line="147"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In addition to Japan, China and Canada, we or our collaboration partners may decide to seek marketing approval for certain of our product candidates outside the United States or otherwise engage in business outside the United States, including entering into contractual agreements with third-parties. We currently utilize contract manufacturing organizations located outside of the United States to manufacture our active drug substance for tenapanor. We are subject to additional risks related to entering these international business markets and relationships, including:</w:t>
      </w:r>
    </w:p>
    <w:p>
      <w:pPr>
        <w:spacing w:after="0" w:line="161" w:lineRule="exact"/>
        <w:rPr>
          <w:sz w:val="20"/>
          <w:szCs w:val="20"/>
          <w:color w:val="auto"/>
        </w:rPr>
      </w:pPr>
    </w:p>
    <w:p>
      <w:pPr>
        <w:ind w:left="660" w:hanging="333"/>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different regulatory requirements for drug approvals in foreign countries;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differing United States and foreign drug import and export rules;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reduced protection for intellectual property rights in foreign countries;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unexpected changes in tariffs, trade barriers and regulatory requirements;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different reimbursement systems, and different competitive drugs;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economic weakness, including inflation, or political instability in particular foreign economies and markets;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compliance with tax, employment, immigration and labor laws for employees living or traveling abroad;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workforce uncertainty in countries where labor unrest is more common than in the United States;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6"/>
          <w:szCs w:val="16"/>
          <w:color w:val="231F20"/>
        </w:rPr>
      </w:pPr>
      <w:r>
        <w:rPr>
          <w:rFonts w:ascii="Arial" w:cs="Arial" w:eastAsia="Arial" w:hAnsi="Arial"/>
          <w:sz w:val="16"/>
          <w:szCs w:val="16"/>
          <w:color w:val="auto"/>
        </w:rPr>
        <w:t>production shortages resulting from any events affecting raw material supply or manufacturing capabilities abroad;</w:t>
      </w:r>
    </w:p>
    <w:p>
      <w:pPr>
        <w:spacing w:after="0" w:line="207" w:lineRule="exact"/>
        <w:rPr>
          <w:rFonts w:ascii="Arial" w:cs="Arial" w:eastAsia="Arial" w:hAnsi="Arial"/>
          <w:sz w:val="16"/>
          <w:szCs w:val="16"/>
          <w:color w:val="231F20"/>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potential liability resulting from development work conducted by these distributors;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7"/>
          <w:szCs w:val="17"/>
          <w:color w:val="231F20"/>
        </w:rPr>
      </w:pPr>
      <w:r>
        <w:rPr>
          <w:rFonts w:ascii="Arial" w:cs="Arial" w:eastAsia="Arial" w:hAnsi="Arial"/>
          <w:sz w:val="17"/>
          <w:szCs w:val="17"/>
          <w:color w:val="auto"/>
        </w:rPr>
        <w:t>business interruptions resulting from geopolitical actions, including war and terrorism, or natural disasters.</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47"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6"/>
          <w:szCs w:val="16"/>
          <w:color w:val="auto"/>
        </w:rPr>
        <w:t>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global economic environment.</w:t>
      </w:r>
    </w:p>
    <w:p>
      <w:pPr>
        <w:spacing w:after="0" w:line="185"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The 2008 global financial crisis caused extreme volatility and disruptions in the capital and credit markets. We cannot anticipate all the ways in which the global economic climate and global financial market conditions could adversely impact our business in the future.</w:t>
      </w:r>
    </w:p>
    <w:p>
      <w:pPr>
        <w:spacing w:after="0" w:line="168"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or if certain provisions of the Patient Protection and Affordable Care Act, as amended by the Health Care and Education Reconciliation Act, collectively known as the Affordable Care Act,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1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Our corporate headquarters and other facilities are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163"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w:t>
      </w:r>
    </w:p>
    <w:p>
      <w:pPr>
        <w:spacing w:after="0" w:line="163"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drug products are subject to extensive regulation by the FDA and other regulatory authorities in the United States and other countries, which regulations differ from country to country. Neither we nor any of our collaboration partners is permitted to market any drug product in the United States until we receive marketing approval from the FDA. Obtaining regulatory approval of a NDA can be a lengthy, expensive and uncertain process. In addition, failure to comply with FDA and other applicable United States and foreign regulatory requirements may subject us to administrative or judicially imposed sanctions or other actions, including:</w:t>
      </w:r>
    </w:p>
    <w:p>
      <w:pPr>
        <w:spacing w:after="0" w:line="165" w:lineRule="exact"/>
        <w:rPr>
          <w:sz w:val="20"/>
          <w:szCs w:val="20"/>
          <w:color w:val="auto"/>
        </w:rPr>
      </w:pPr>
    </w:p>
    <w:p>
      <w:pPr>
        <w:ind w:left="660" w:hanging="333"/>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warning letters;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civil and criminal penalties;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injunctions;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withdrawal of regulatory approval of products;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product seizure or detention;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product recalls;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total or partial suspension of production;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refusal to approve pending NDAs or supplements to approved NDAs.</w:t>
      </w:r>
    </w:p>
    <w:p>
      <w:pPr>
        <w:spacing w:after="0" w:line="185"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Prior to obtaining approval to commercialize a drug candidate in the United States or abroad, we or our collaboration partners must demonstrate with substantial evidence from well-controlled clinical trials, and to the satisfaction of the FDA or other foreign regulatory agencies, that such drug candidates are safe and effective for their intended uses. The number of nonclinical studies and clinical trials that will be required for FDA approval varies depending on the drug candidate, the disease or condition that the drug candidate is designed to address, and the regulations applicable to any particular drug candidate. Results from nonclinical studies and clinical trials can be interpreted in different ways. Even if we believe the nonclinical or clinical data for our drug candidates are promising, such data may not be sufficient to support approval by the FDA and other regulatory authorities. Administering drug candidates to humans may produce undesirable side effects, which could interrupt, delay or halt clinical trials and result in the FDA or other regulatory authorities denying approval of a drug candidate for any or all targeted indications.</w:t>
      </w:r>
    </w:p>
    <w:p>
      <w:pPr>
        <w:spacing w:after="0" w:line="164"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typically takes many years following the commencement of clinical studies, and depends upon numerous factors. The FDA and comparable foreign authorities have substantial discretion in the approval process and we may encounter matters with the FDA or such comparable authorities that requires us to expend additional time and resources and delay or prevent the approval of our product candidates. For example, the FDA may require us to conduct additional studies or trials for drug product either prior to or post-approval, such as additional drug-drug interaction studies or safety or efficacy studies or trials, or it may object to elements of our clinical development program such as the number of subjects in our current clinical trials from the United States.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w:t>
      </w:r>
    </w:p>
    <w:p>
      <w:pPr>
        <w:spacing w:after="0" w:line="167"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62" w:lineRule="exact"/>
        <w:rPr>
          <w:sz w:val="20"/>
          <w:szCs w:val="20"/>
          <w:color w:val="auto"/>
        </w:rPr>
      </w:pPr>
    </w:p>
    <w:p>
      <w:pPr>
        <w:ind w:left="660" w:hanging="333"/>
        <w:spacing w:after="0" w:line="235" w:lineRule="auto"/>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disagree with the design or implementation of our, or our collaboration partners’, clinical studies;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population studied in the clinical program may not be sufficiently broad or representative to assure safety in the full population for which approval is sought;</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disagree with the interpretation of data from preclinical studies or clinical studies;</w:t>
      </w:r>
    </w:p>
    <w:p>
      <w:pPr>
        <w:spacing w:after="0" w:line="161" w:lineRule="exact"/>
        <w:rPr>
          <w:rFonts w:ascii="Arial" w:cs="Arial" w:eastAsia="Arial" w:hAnsi="Arial"/>
          <w:sz w:val="18"/>
          <w:szCs w:val="18"/>
          <w:color w:val="231F20"/>
        </w:rPr>
      </w:pPr>
    </w:p>
    <w:p>
      <w:pPr>
        <w:ind w:left="660" w:hanging="333"/>
        <w:spacing w:after="0" w:line="258" w:lineRule="auto"/>
        <w:tabs>
          <w:tab w:leader="none" w:pos="660" w:val="left"/>
        </w:tabs>
        <w:numPr>
          <w:ilvl w:val="0"/>
          <w:numId w:val="34"/>
        </w:numPr>
        <w:rPr>
          <w:rFonts w:ascii="Arial" w:cs="Arial" w:eastAsia="Arial" w:hAnsi="Arial"/>
          <w:sz w:val="17"/>
          <w:szCs w:val="17"/>
          <w:color w:val="231F20"/>
        </w:rPr>
      </w:pPr>
      <w:r>
        <w:rPr>
          <w:rFonts w:ascii="Arial" w:cs="Arial" w:eastAsia="Arial" w:hAnsi="Arial"/>
          <w:sz w:val="17"/>
          <w:szCs w:val="17"/>
          <w:color w:val="auto"/>
        </w:rPr>
        <w:t>the data collected from clinical studies of our product candidates may not be sufficient to support the submission of a NDA or other submission or to obtain regulatory approval in the United States or elsewhere;</w:t>
      </w:r>
    </w:p>
    <w:p>
      <w:pPr>
        <w:spacing w:after="0" w:line="146"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we or our collaboration partners may be unable to demonstrate to the FDA or comparable foreign regulatory authorities that a product candidate’s risk-benefit ratio for its proposed indication is acceptable;</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This lengthy approval process, as well as the unpredictability of the results of clinical studies, may result in our failure and/or that of our collaboration partners to obtain regulatory approval to market any of our product candidates, which would significantly harm our business, results of operations, and prospects. Additionally, if the FDA requires that we conduct additional clinical studies, places limitations in our label, delays approval to market our product candidates or limits the use of our products, our business and results of operations may be harmed.</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3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Even if a drug is approved by the FDA or foreign regulatory authorities,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63" w:lineRule="exact"/>
        <w:rPr>
          <w:sz w:val="20"/>
          <w:szCs w:val="20"/>
          <w:color w:val="auto"/>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warning letters, fines or holds on clinical trials;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injunctions or the imposition of civil or criminal penalties;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suspension or revocation of existing regulatory approvals;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suspension of any of our ongoing clinical trials;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refusal to approve pending applications or supplements to approved applications submitted by 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restrictions on our or our contract manufacturers’ operations; or</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product seizure or detention, or refusal to permit the import or export of products.</w:t>
      </w:r>
    </w:p>
    <w:p>
      <w:pPr>
        <w:spacing w:after="0" w:line="185"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In addition,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2"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6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63"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6"/>
          <w:szCs w:val="16"/>
          <w:color w:val="auto"/>
        </w:rPr>
        <w:t>All entities involved in the preparation of product candidates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7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commercial sales or the temporary or permanent suspension of production or closure of a facility. Any such remedial measures imposed upon us or third parties with whom we contract could materially harm our business.</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62"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63"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and other government agencies. If tenapanor or our other product candidates receive marketing approval, we and our collaboration partners, if any,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intend to implement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64"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63"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to ensure compliance with applicable laws and regulations. Any such fines, awards or other sanctions would have an adverse effect on our revenue, business, financial prospects and reputation.</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Tenapanor, which has been approved by the FDA for the treatment of IBS-C, and/or our other product candidates, if approved, may cause or contribute to adverse medical events that we are required to report to regulatory agencies and if we fail to do so we could be subject to sanctions that would materially harm our business.</w:t>
      </w:r>
    </w:p>
    <w:p>
      <w:pPr>
        <w:spacing w:after="0" w:line="147" w:lineRule="exact"/>
        <w:rPr>
          <w:sz w:val="20"/>
          <w:szCs w:val="20"/>
          <w:color w:val="auto"/>
        </w:rPr>
      </w:pPr>
    </w:p>
    <w:p>
      <w:pPr>
        <w:jc w:val="both"/>
        <w:ind w:firstLine="324"/>
        <w:spacing w:after="0" w:line="209" w:lineRule="auto"/>
        <w:rPr>
          <w:sz w:val="20"/>
          <w:szCs w:val="20"/>
          <w:color w:val="auto"/>
        </w:rPr>
      </w:pPr>
      <w:r>
        <w:rPr>
          <w:rFonts w:ascii="Arial" w:cs="Arial" w:eastAsia="Arial" w:hAnsi="Arial"/>
          <w:sz w:val="18"/>
          <w:szCs w:val="18"/>
          <w:color w:val="auto"/>
        </w:rPr>
        <w:t>Some participants in clinical studies of tenapanor have reported adverse effects after being treated with tenapanor, including diarrhea, nausea, flatulence, abdominal discomfort, abdominal pain, abdominal distention and changes in electrolytes.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16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63" w:lineRule="exact"/>
        <w:rPr>
          <w:sz w:val="20"/>
          <w:szCs w:val="20"/>
          <w:color w:val="auto"/>
        </w:rPr>
      </w:pPr>
    </w:p>
    <w:p>
      <w:pPr>
        <w:jc w:val="both"/>
        <w:ind w:firstLine="324"/>
        <w:spacing w:after="0"/>
        <w:rPr>
          <w:sz w:val="20"/>
          <w:szCs w:val="20"/>
          <w:color w:val="auto"/>
        </w:rPr>
      </w:pPr>
      <w:r>
        <w:rPr>
          <w:rFonts w:ascii="Arial" w:cs="Arial" w:eastAsia="Arial" w:hAnsi="Arial"/>
          <w:sz w:val="16"/>
          <w:szCs w:val="16"/>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23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Failure to obtain regulatory approvals in foreign jurisdictions would prevent us from marketing our products internationally.</w:t>
      </w:r>
    </w:p>
    <w:p>
      <w:pPr>
        <w:spacing w:after="0" w:line="162"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In order to market any product in the EEA (which is composed of the 28 Member States of the European Union plus Norway, Iceland and Liechtenstein), and many other foreign jurisdictions, separate regulatory approvals are required. In the EEA, medicinal products can only be commercialized after obtaining a Marketing Authorization, or MA. Before granting the MA, the EMA or the competent authorities of the Member States of the EEA make an assessment of the risk-benefit balance of the product on the basis of scientific criteria concerning its quality, safety and efficacy.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10" w:lineRule="auto"/>
        <w:rPr>
          <w:sz w:val="20"/>
          <w:szCs w:val="20"/>
          <w:color w:val="auto"/>
        </w:rPr>
      </w:pPr>
      <w:r>
        <w:rPr>
          <w:rFonts w:ascii="Arial" w:cs="Arial" w:eastAsia="Arial" w:hAnsi="Arial"/>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16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and our collaboration partners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63"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Although we do not currently have any products on the market, once we begin commercializing our products, we and our collaboration partners may be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163" w:lineRule="exact"/>
        <w:rPr>
          <w:sz w:val="20"/>
          <w:szCs w:val="20"/>
          <w:color w:val="auto"/>
        </w:rPr>
      </w:pPr>
    </w:p>
    <w:p>
      <w:pPr>
        <w:jc w:val="both"/>
        <w:ind w:left="660" w:hanging="333"/>
        <w:spacing w:after="0" w:line="232" w:lineRule="auto"/>
        <w:tabs>
          <w:tab w:leader="none" w:pos="660" w:val="left"/>
        </w:tabs>
        <w:numPr>
          <w:ilvl w:val="0"/>
          <w:numId w:val="37"/>
        </w:numPr>
        <w:rPr>
          <w:rFonts w:ascii="Arial" w:cs="Arial" w:eastAsia="Arial" w:hAnsi="Arial"/>
          <w:sz w:val="17"/>
          <w:szCs w:val="17"/>
          <w:color w:val="231F20"/>
        </w:rPr>
      </w:pPr>
      <w:r>
        <w:rPr>
          <w:rFonts w:ascii="Arial" w:cs="Arial" w:eastAsia="Arial" w:hAnsi="Arial"/>
          <w:sz w:val="17"/>
          <w:szCs w:val="17"/>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62" w:lineRule="exact"/>
        <w:rPr>
          <w:rFonts w:ascii="Arial" w:cs="Arial" w:eastAsia="Arial" w:hAnsi="Arial"/>
          <w:sz w:val="17"/>
          <w:szCs w:val="17"/>
          <w:color w:val="231F20"/>
        </w:rPr>
      </w:pPr>
    </w:p>
    <w:p>
      <w:pPr>
        <w:jc w:val="both"/>
        <w:ind w:left="660" w:hanging="333"/>
        <w:spacing w:after="0" w:line="224"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w:t>
      </w:r>
    </w:p>
    <w:p>
      <w:pPr>
        <w:spacing w:after="0" w:line="163" w:lineRule="exact"/>
        <w:rPr>
          <w:rFonts w:ascii="Arial" w:cs="Arial" w:eastAsia="Arial" w:hAnsi="Arial"/>
          <w:sz w:val="18"/>
          <w:szCs w:val="18"/>
          <w:color w:val="231F20"/>
        </w:rPr>
      </w:pPr>
    </w:p>
    <w:p>
      <w:pPr>
        <w:jc w:val="both"/>
        <w:ind w:left="660" w:hanging="333"/>
        <w:spacing w:after="0" w:line="232" w:lineRule="auto"/>
        <w:tabs>
          <w:tab w:leader="none" w:pos="660" w:val="left"/>
        </w:tabs>
        <w:numPr>
          <w:ilvl w:val="0"/>
          <w:numId w:val="37"/>
        </w:numPr>
        <w:rPr>
          <w:rFonts w:ascii="Arial" w:cs="Arial" w:eastAsia="Arial" w:hAnsi="Arial"/>
          <w:sz w:val="17"/>
          <w:szCs w:val="17"/>
          <w:color w:val="231F20"/>
        </w:rPr>
      </w:pPr>
      <w:r>
        <w:rPr>
          <w:rFonts w:ascii="Arial" w:cs="Arial" w:eastAsia="Arial" w:hAnsi="Arial"/>
          <w:sz w:val="17"/>
          <w:szCs w:val="17"/>
          <w:color w:val="auto"/>
        </w:rPr>
        <w:t>the federal physician sunshine requirements under the Affordable Care Act, which requires manufacturers of drugs, devices, biologics, and medical supplies to report annually to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62"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161" w:lineRule="exact"/>
        <w:rPr>
          <w:rFonts w:ascii="Arial" w:cs="Arial" w:eastAsia="Arial" w:hAnsi="Arial"/>
          <w:sz w:val="18"/>
          <w:szCs w:val="18"/>
          <w:color w:val="231F20"/>
        </w:rPr>
      </w:pPr>
    </w:p>
    <w:p>
      <w:pPr>
        <w:jc w:val="both"/>
        <w:ind w:left="660" w:hanging="333"/>
        <w:spacing w:after="0" w:line="238" w:lineRule="auto"/>
        <w:tabs>
          <w:tab w:leader="none" w:pos="660" w:val="left"/>
        </w:tabs>
        <w:numPr>
          <w:ilvl w:val="0"/>
          <w:numId w:val="37"/>
        </w:numPr>
        <w:rPr>
          <w:rFonts w:ascii="Arial" w:cs="Arial" w:eastAsia="Arial" w:hAnsi="Arial"/>
          <w:sz w:val="17"/>
          <w:szCs w:val="17"/>
          <w:color w:val="231F20"/>
        </w:rPr>
      </w:pPr>
      <w:r>
        <w:rPr>
          <w:rFonts w:ascii="Arial" w:cs="Arial" w:eastAsia="Arial" w:hAnsi="Arial"/>
          <w:sz w:val="17"/>
          <w:szCs w:val="17"/>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161" w:lineRule="exact"/>
        <w:rPr>
          <w:rFonts w:ascii="Arial" w:cs="Arial" w:eastAsia="Arial" w:hAnsi="Arial"/>
          <w:sz w:val="17"/>
          <w:szCs w:val="17"/>
          <w:color w:val="231F20"/>
        </w:rPr>
      </w:pPr>
    </w:p>
    <w:p>
      <w:pPr>
        <w:jc w:val="both"/>
        <w:ind w:left="660" w:hanging="333"/>
        <w:spacing w:after="0" w:line="219"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state laws that require drug manufacturers to report information related to payments and other transfers of value to physicians and other healthcare providers or pricing information and marketing expenditures; and state laws governing the privacy and security of health information in certain circumstances, many of which differ from each other in significant ways, thus complicating compliance efforts; and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6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Further, the Affordable Care Act, among other things, amends the intent requirement of the federal anti-kickback and criminal health care fraud statutes.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false claims statutes.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1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63"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62" w:lineRule="exact"/>
        <w:rPr>
          <w:sz w:val="20"/>
          <w:szCs w:val="20"/>
          <w:color w:val="auto"/>
        </w:rPr>
      </w:pPr>
    </w:p>
    <w:p>
      <w:pPr>
        <w:ind w:left="660" w:hanging="333"/>
        <w:spacing w:after="0"/>
        <w:tabs>
          <w:tab w:leader="none" w:pos="66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additional clinical trials to be conducted prior to obtaining approval;</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changes to manufacturing methods;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recall, replacement, or discontinuance of one or more of our products;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additional record keeping.</w:t>
      </w:r>
    </w:p>
    <w:p>
      <w:pPr>
        <w:spacing w:after="0" w:line="18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6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In addition, the full impact of recent healthcare reform and other changes in the healthcare industry and in healthcare spending is currently unknown, and may adversely affect our business model. In the United States, the Affordable Care Act was enacted in 2010 with a goal of reducing the cost of healthcare and substantially changing the way healthcare is financed by both government and private insurers. The Affordable Care Act,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The Bipartisan Budget Act of 2018 increased this discount to 70% beginning in January 2019.</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We currently expect that federal and state legislatures within the United States and foreign governments will continue to consider changes to existing healthcare legislation, and we currently expect that the current Presidential Administration will continue to seek to modify, or repeal all, or certain provisions of, the Affordable Care Act. There is still uncertainty with respect to any regulatory changes, and such regulatory changes could have an impact on coverage and reimbursement for healthcare items and services covered by plans that were otherwise authorized by the Affordable Care Act. However,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67"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Other legislative changes have been proposed and adopted in the United States since the Affordable Care Act was enacted. These new laws, among other things, included aggregate reductions of Medicare payments of 2% per fiscal year to providers that will remain in effect through 2027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tenapanor or our other product candidates, or prevent or delay the continued use of our drug discovery and development platform, including APECCS.</w:t>
      </w:r>
    </w:p>
    <w:p>
      <w:pPr>
        <w:spacing w:after="0" w:line="15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There have been many lawsuits and other proceedings asserting infringement or misappropriation of patents and other intellectual property rights in the pharmaceutical and biotechnology industries. There can be no assurances that we will not be subject to claims alleging that the manufacture, use or sale of tenapanor or any other product candidates, or that the use of our drug discovery and development platform, including APECCS,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tenapanor or other product candidates or by the use of APECCS.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tenapanor or our other product candidates, or by the use of APECCS.</w:t>
      </w:r>
    </w:p>
    <w:p>
      <w:pPr>
        <w:spacing w:after="0" w:line="166"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We may be subject to third-party patent infringement claims in the future against us or our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research, development, manufacturing or sales of the product or product candidate that is the subject of the suit. In addition, if a patent infringement suit were brought against us regarding the use of aspects of our drug discovery and development platform, we could be forced to stop our use of APECCS or of other aspects of our platform, or we could be forced to modify our processes to avoid infringement, which may not be possible at a reasonable cost, if at all, and which could result in substantial delay in our use of our platform for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discovery of new product candidates or potential targets.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or to cease our use of APECCS or some other aspect of our drug discovery and development platform or our business operations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163"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or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If our intellectual property related to our product candidates is not adequate or if we are not able to protect our trade secrets or our confidential information, we may not be able to compete effectively in our market.</w:t>
      </w:r>
    </w:p>
    <w:p>
      <w:pPr>
        <w:spacing w:after="0" w:line="147"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product candidates, our drug discovery and development platform and our development programs. Any disclosure to or misappropriation by third parties of our confidential or proprietary information could enable competitors to quickly duplicate or surpass our technological achievements, thus eroding our competitive position in our market.</w:t>
      </w:r>
    </w:p>
    <w:p>
      <w:pPr>
        <w:spacing w:after="0" w:line="155"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a material adverse impact on our business. Further, if we encounter delays in our clinical trials, the period of time during which we or our collaboration partners could market tenapanor or other product candidates under patent protection would be reduced.</w:t>
      </w:r>
    </w:p>
    <w:p>
      <w:pPr>
        <w:spacing w:after="0" w:line="17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candidate, we would lose at least part, and perhaps all, of the patent protection on such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168"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are actively involved in the discovery and design of our potential drug candidates, or in the development of our discovery and design platform, including APECCS,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5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thereby potentially extending the term of marketing exclusivity for our product candidates, our business may be materially harmed.</w:t>
      </w:r>
    </w:p>
    <w:p>
      <w:pPr>
        <w:spacing w:after="0" w:line="163"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if any, one of the U.S. patents covering each of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product candidates. Nevertheless,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67"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85"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65"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24"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63"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stock price may be volatile and our stockholders may not be able to resell shares of our common stock at or above the price they paid.</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63" w:lineRule="exact"/>
        <w:rPr>
          <w:sz w:val="20"/>
          <w:szCs w:val="20"/>
          <w:color w:val="auto"/>
        </w:rPr>
      </w:pPr>
    </w:p>
    <w:p>
      <w:pPr>
        <w:ind w:left="660" w:hanging="333"/>
        <w:spacing w:after="0" w:line="235"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results from, or any delays in, clinical trial programs relating to our product candidates, including the ongoing clinical trials for tenapanor for hyperphosphatemia;</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the success of our efforts to establish a collaboration partnership for the commercialization of tenapanor for IBS-C in the United States;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our ability, alone or with collaboration partners, to commercialize or obtain regulatory approval for tenapanor, or delays in commercializing or obtaining regulatory approval;</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announcements of regulatory approval, results of regulatory inspections of our facilities or those of our contract manufacturing organizations, or specific label restrictions or patient populations for tenapanor’s use, or changes or delays in the regulatory review process;</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announcements relating to our current or future collaboration partnerships;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announcements of therapeutic innovations or new products by us or our competitors;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adverse actions taken by regulatory agencies with respect to our product label, our clinical trials, manufacturing supply chain or sales and marketing activities;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changes or developments in laws or regulations applicable to our product candidates;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the success of our testing and clinical trials;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failure to meet any of our projected timelines or goals with regard to the clinical development of any of our product candidates, including the ongoing clinical trials for tenapanor for hyperphosphatemia;</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the success of our efforts to acquire or license or discover additional product candidates;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any intellectual property infringement actions in which we may become involved;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the success of our efforts to obtain adequate intellectual property protection for our product candidates;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announcements concerning our competitors or the pharmaceutical industry in general;</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achievement of expected product sales and profitability;</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manufacture, supply or distribution shortages;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actual or anticipated fluctuations in our operating results;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FDA or other U.S. or foreign regulatory actions affecting us or our industry or other healthcare reform measures in the United States;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changes in financial estimates or recommendations by securities analysts;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trading volume of our common stock;</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sales of our common stock by us, our executive officers and directors or our stockholders in the future;</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of debt securities and sales or licensing of assets;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general economic and market conditions and overall fluctuations in the United States equity markets;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the loss of any of our key scientific or management personnel.</w:t>
      </w:r>
    </w:p>
    <w:p>
      <w:pPr>
        <w:spacing w:after="0" w:line="185"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6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stock and, together with our management, will be able to exert significant control over matters subject to stockholder approval.</w:t>
      </w:r>
    </w:p>
    <w:p>
      <w:pPr>
        <w:spacing w:after="0" w:line="16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Based on the number of shares outstanding as of September 30, 2019, our officers, directors and stockholders who hold at least 5% of our stock together beneficially own approximately 51.1% of our outstanding common stock. If these officers, directors, and principal stockholders or a group of our principal stockholders act together, they will be able to exert a significant degree of influence over our management and affairs and control matters requiring stockholder approval, including the election of directors, amendments to our organizational documents, and approval of any merger, sale of assets or other business combination transactions. The interests of this concentration of ownership may not always coincide with our interests or the interests of other stockholders. For instance, officers, directors and principal stockholders, acting together, could cause us to enter into transactions or agreements that we would not otherwise consider. Similarly, this concentration of ownership may have the effect of delaying or preventing a change in control of our company otherwise favored by our other stockholders. As of September 30, 2019, entities affiliated with New Enterprise Associates, or NEA, a venture capital fund associated with one of our directors, collectively beneficially owned approximately 26.0% of our common stock, including shares that NEA has the right to acquire within 60 days of September 30, 2019 upon exercise of warrants held by NEA.</w:t>
      </w:r>
    </w:p>
    <w:p>
      <w:pPr>
        <w:spacing w:after="0" w:line="17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62"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could cause our stock price to fall.</w:t>
      </w:r>
    </w:p>
    <w:p>
      <w:pPr>
        <w:spacing w:after="0" w:line="2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the trading price of our common stock could decline. As of September 30, 2019, we had 62,883,080 shares of</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common stock outstanding. Of those shares, approximately 16.0 million were held by current directors, executive officers and other affiliates, or may otherwise be subject to Rule 144 under the Securities Act of 1933, or the Securities Act.</w:t>
      </w:r>
    </w:p>
    <w:p>
      <w:pPr>
        <w:spacing w:after="0" w:line="124"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As of September 30, 2019, approximately 0.9 million shares of common stock issuable upon vesting of outstanding restricted stock units and approximately 7.3 million shares of common stock issuable upon exercise of outstanding options were eligible for sale in the public market to the extent permitted by the provisions of the applicable vesting schedules, and Rule 144 and Rule 701 under the Securities Act. In addition, as of September 30, 2019, approximately 2.2 million shares of common stock issuable upon exercise of outstanding warrants were eligible for sale in the public market. If these additional shares of common stock are issued and sold, or if it is perceived that they will be sold, in the public market, the trading price of our common stock could decline.</w:t>
      </w:r>
    </w:p>
    <w:p>
      <w:pPr>
        <w:spacing w:after="0" w:line="16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147" w:lineRule="exact"/>
        <w:rPr>
          <w:sz w:val="20"/>
          <w:szCs w:val="20"/>
          <w:color w:val="auto"/>
        </w:rPr>
      </w:pPr>
    </w:p>
    <w:p>
      <w:pPr>
        <w:ind w:left="660" w:hanging="333"/>
        <w:spacing w:after="0" w:line="235" w:lineRule="auto"/>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the ability of our board of directors to alter our bylaws without obtaining stockholder approval;</w:t>
      </w:r>
    </w:p>
    <w:p>
      <w:pPr>
        <w:spacing w:after="0" w:line="184"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61" w:lineRule="exact"/>
        <w:rPr>
          <w:rFonts w:ascii="Arial" w:cs="Arial" w:eastAsia="Arial" w:hAnsi="Arial"/>
          <w:sz w:val="18"/>
          <w:szCs w:val="18"/>
          <w:color w:val="231F20"/>
        </w:rPr>
      </w:pPr>
    </w:p>
    <w:p>
      <w:pPr>
        <w:jc w:val="both"/>
        <w:ind w:left="660" w:hanging="333"/>
        <w:spacing w:after="0" w:line="238" w:lineRule="auto"/>
        <w:tabs>
          <w:tab w:leader="none" w:pos="660" w:val="left"/>
        </w:tabs>
        <w:numPr>
          <w:ilvl w:val="0"/>
          <w:numId w:val="42"/>
        </w:numPr>
        <w:rPr>
          <w:rFonts w:ascii="Arial" w:cs="Arial" w:eastAsia="Arial" w:hAnsi="Arial"/>
          <w:sz w:val="17"/>
          <w:szCs w:val="17"/>
          <w:color w:val="231F20"/>
        </w:rPr>
      </w:pPr>
      <w:r>
        <w:rPr>
          <w:rFonts w:ascii="Arial" w:cs="Arial" w:eastAsia="Arial" w:hAnsi="Arial"/>
          <w:sz w:val="17"/>
          <w:szCs w:val="17"/>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61" w:lineRule="exact"/>
        <w:rPr>
          <w:rFonts w:ascii="Arial" w:cs="Arial" w:eastAsia="Arial" w:hAnsi="Arial"/>
          <w:sz w:val="17"/>
          <w:szCs w:val="17"/>
          <w:color w:val="231F20"/>
        </w:rPr>
      </w:pPr>
    </w:p>
    <w:p>
      <w:pPr>
        <w:jc w:val="both"/>
        <w:ind w:left="660" w:hanging="333"/>
        <w:spacing w:after="0" w:line="219" w:lineRule="auto"/>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6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6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47" w:lineRule="exact"/>
        <w:rPr>
          <w:sz w:val="20"/>
          <w:szCs w:val="20"/>
          <w:color w:val="auto"/>
        </w:rPr>
      </w:pPr>
    </w:p>
    <w:p>
      <w:pPr>
        <w:jc w:val="both"/>
        <w:ind w:left="660" w:hanging="333"/>
        <w:spacing w:after="0" w:line="229" w:lineRule="auto"/>
        <w:tabs>
          <w:tab w:leader="none" w:pos="660" w:val="left"/>
        </w:tabs>
        <w:numPr>
          <w:ilvl w:val="0"/>
          <w:numId w:val="43"/>
        </w:numPr>
        <w:rPr>
          <w:rFonts w:ascii="Arial" w:cs="Arial" w:eastAsia="Arial" w:hAnsi="Arial"/>
          <w:sz w:val="17"/>
          <w:szCs w:val="17"/>
          <w:color w:val="231F20"/>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61"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63"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63"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47"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89"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Effective May 16, 2018, we entered into a loan and security agreement pursuant to which the Lenders agreed to provide us a $50.0 million term loan facility. Covenants in the loan and security agreement limit our ability to pay dividends or make other distributions. For additional information refer to “Note 6. Borrowings” in the notes to our unaudited interim condensed consolidated financial statements in Part I, Item 1 of this Quarterly Report on Form 10 Q.</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760" w:type="dxa"/>
            <w:vAlign w:val="bottom"/>
          </w:tcPr>
          <w:p>
            <w:pPr>
              <w:ind w:left="1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46"/>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760" w:type="dxa"/>
            <w:vAlign w:val="bottom"/>
            <w:vMerge w:val="restart"/>
          </w:tcPr>
          <w:p>
            <w:pPr>
              <w:ind w:left="1560"/>
              <w:spacing w:after="0"/>
              <w:rPr>
                <w:sz w:val="20"/>
                <w:szCs w:val="20"/>
                <w:color w:val="auto"/>
              </w:rPr>
            </w:pPr>
            <w:r>
              <w:rPr>
                <w:rFonts w:ascii="Arial" w:cs="Arial" w:eastAsia="Arial" w:hAnsi="Arial"/>
                <w:sz w:val="14"/>
                <w:szCs w:val="14"/>
                <w:b w:val="1"/>
                <w:bCs w:val="1"/>
                <w:color w:val="auto"/>
                <w:w w:val="92"/>
              </w:rPr>
              <w:t>Exhibit Description</w:t>
            </w:r>
          </w:p>
        </w:tc>
        <w:tc>
          <w:tcPr>
            <w:tcW w:w="0" w:type="dxa"/>
            <w:vAlign w:val="bottom"/>
          </w:tcPr>
          <w:p>
            <w:pPr>
              <w:spacing w:after="0"/>
              <w:rPr>
                <w:sz w:val="1"/>
                <w:szCs w:val="1"/>
                <w:color w:val="auto"/>
              </w:rPr>
            </w:pPr>
          </w:p>
        </w:tc>
      </w:tr>
      <w:tr>
        <w:trPr>
          <w:trHeight w:val="164"/>
        </w:trPr>
        <w:tc>
          <w:tcPr>
            <w:tcW w:w="820" w:type="dxa"/>
            <w:vAlign w:val="bottom"/>
          </w:tcPr>
          <w:p>
            <w:pPr>
              <w:spacing w:after="0"/>
              <w:rPr>
                <w:sz w:val="20"/>
                <w:szCs w:val="20"/>
                <w:color w:val="auto"/>
              </w:rPr>
            </w:pPr>
            <w:r>
              <w:rPr>
                <w:rFonts w:ascii="Arial" w:cs="Arial" w:eastAsia="Arial" w:hAnsi="Arial"/>
                <w:sz w:val="14"/>
                <w:szCs w:val="14"/>
                <w:b w:val="1"/>
                <w:bCs w:val="1"/>
                <w:u w:val="single" w:color="auto"/>
                <w:color w:val="auto"/>
              </w:rPr>
              <w:t>Number</w:t>
            </w: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-635</wp:posOffset>
            </wp:positionV>
            <wp:extent cx="28816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ind w:left="720" w:right="700" w:hanging="715"/>
        <w:spacing w:after="0" w:line="268" w:lineRule="auto"/>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75">
        <w:r>
          <w:rPr>
            <w:rFonts w:ascii="Arial" w:cs="Arial" w:eastAsia="Arial" w:hAnsi="Arial"/>
            <w:sz w:val="16"/>
            <w:szCs w:val="16"/>
            <w:u w:val="single" w:color="auto"/>
            <w:color w:val="0000EE"/>
          </w:rPr>
          <w:t>Certification of Chief Executive Officer Pursuant to</w:t>
        </w:r>
      </w:hyperlink>
      <w:r>
        <w:rPr>
          <w:rFonts w:ascii="Arial" w:cs="Arial" w:eastAsia="Arial" w:hAnsi="Arial"/>
          <w:sz w:val="16"/>
          <w:szCs w:val="16"/>
          <w:u w:val="single" w:color="auto"/>
          <w:color w:val="0000EE"/>
        </w:rPr>
        <w:t xml:space="preserve"> </w:t>
      </w:r>
      <w:hyperlink w:anchor="page75">
        <w:r>
          <w:rPr>
            <w:rFonts w:ascii="Arial" w:cs="Arial" w:eastAsia="Arial" w:hAnsi="Arial"/>
            <w:sz w:val="16"/>
            <w:szCs w:val="16"/>
            <w:u w:val="single" w:color="auto"/>
            <w:color w:val="0000EE"/>
          </w:rPr>
          <w:t>Section 302 of the Sarbanes-Oxley Act of 2002.</w:t>
        </w:r>
      </w:hyperlink>
    </w:p>
    <w:p>
      <w:pPr>
        <w:spacing w:after="0" w:line="100" w:lineRule="exact"/>
        <w:rPr>
          <w:sz w:val="20"/>
          <w:szCs w:val="20"/>
          <w:color w:val="auto"/>
        </w:rPr>
      </w:pPr>
    </w:p>
    <w:p>
      <w:pPr>
        <w:ind w:left="720" w:right="760" w:hanging="715"/>
        <w:spacing w:after="0" w:line="289" w:lineRule="auto"/>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76">
        <w:r>
          <w:rPr>
            <w:rFonts w:ascii="Arial" w:cs="Arial" w:eastAsia="Arial" w:hAnsi="Arial"/>
            <w:sz w:val="16"/>
            <w:szCs w:val="16"/>
            <w:u w:val="single" w:color="auto"/>
            <w:color w:val="0000EE"/>
          </w:rPr>
          <w:t>Certification of Chief Financial Officer Pursuant to</w:t>
        </w:r>
      </w:hyperlink>
      <w:r>
        <w:rPr>
          <w:rFonts w:ascii="Arial" w:cs="Arial" w:eastAsia="Arial" w:hAnsi="Arial"/>
          <w:sz w:val="16"/>
          <w:szCs w:val="16"/>
          <w:u w:val="single" w:color="auto"/>
          <w:color w:val="0000EE"/>
        </w:rPr>
        <w:t xml:space="preserve"> </w:t>
      </w:r>
      <w:hyperlink w:anchor="page76">
        <w:r>
          <w:rPr>
            <w:rFonts w:ascii="Arial" w:cs="Arial" w:eastAsia="Arial" w:hAnsi="Arial"/>
            <w:sz w:val="16"/>
            <w:szCs w:val="16"/>
            <w:u w:val="single" w:color="auto"/>
            <w:color w:val="0000EE"/>
          </w:rPr>
          <w:t>Section 302 of the Sarbanes-Oxley Act of 2002.</w:t>
        </w:r>
      </w:hyperlink>
    </w:p>
    <w:p>
      <w:pPr>
        <w:spacing w:after="0" w:line="84" w:lineRule="exact"/>
        <w:rPr>
          <w:sz w:val="20"/>
          <w:szCs w:val="20"/>
          <w:color w:val="auto"/>
        </w:rPr>
      </w:pPr>
    </w:p>
    <w:p>
      <w:pPr>
        <w:jc w:val="both"/>
        <w:ind w:left="720" w:right="20" w:hanging="715"/>
        <w:spacing w:after="0" w:line="224"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77">
        <w:r>
          <w:rPr>
            <w:rFonts w:ascii="Arial" w:cs="Arial" w:eastAsia="Arial" w:hAnsi="Arial"/>
            <w:sz w:val="18"/>
            <w:szCs w:val="18"/>
            <w:u w:val="single" w:color="auto"/>
            <w:color w:val="0000EE"/>
          </w:rPr>
          <w:t>Certification of Chief Executive Officer and Chief Financial</w:t>
        </w:r>
      </w:hyperlink>
      <w:r>
        <w:rPr>
          <w:rFonts w:ascii="Arial" w:cs="Arial" w:eastAsia="Arial" w:hAnsi="Arial"/>
          <w:sz w:val="18"/>
          <w:szCs w:val="18"/>
          <w:u w:val="single" w:color="auto"/>
          <w:color w:val="0000EE"/>
        </w:rPr>
        <w:t xml:space="preserve"> </w:t>
      </w:r>
      <w:hyperlink w:anchor="page77">
        <w:r>
          <w:rPr>
            <w:rFonts w:ascii="Arial" w:cs="Arial" w:eastAsia="Arial" w:hAnsi="Arial"/>
            <w:sz w:val="18"/>
            <w:szCs w:val="18"/>
            <w:u w:val="single" w:color="auto"/>
            <w:color w:val="0000EE"/>
          </w:rPr>
          <w:t>Officer Pursuant to Section 906 of the Sarbanes-Oxley Act of</w:t>
        </w:r>
      </w:hyperlink>
      <w:r>
        <w:rPr>
          <w:rFonts w:ascii="Arial" w:cs="Arial" w:eastAsia="Arial" w:hAnsi="Arial"/>
          <w:sz w:val="18"/>
          <w:szCs w:val="18"/>
          <w:u w:val="single" w:color="auto"/>
          <w:color w:val="0000EE"/>
        </w:rPr>
        <w:t xml:space="preserve"> </w:t>
      </w:r>
      <w:hyperlink w:anchor="page77">
        <w:r>
          <w:rPr>
            <w:rFonts w:ascii="Arial" w:cs="Arial" w:eastAsia="Arial" w:hAnsi="Arial"/>
            <w:sz w:val="18"/>
            <w:szCs w:val="18"/>
            <w:u w:val="single" w:color="auto"/>
            <w:color w:val="0000EE"/>
          </w:rPr>
          <w:t>2002.</w:t>
        </w:r>
      </w:hyperlink>
    </w:p>
    <w:p>
      <w:pPr>
        <w:spacing w:after="0" w:line="107" w:lineRule="exact"/>
        <w:rPr>
          <w:rFonts w:ascii="Arial" w:cs="Arial" w:eastAsia="Arial" w:hAnsi="Arial"/>
          <w:sz w:val="18"/>
          <w:szCs w:val="18"/>
          <w:u w:val="single" w:color="auto"/>
          <w:color w:val="0000EE"/>
        </w:rPr>
      </w:pPr>
    </w:p>
    <w:p>
      <w:pPr>
        <w:ind w:left="720" w:hanging="717"/>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financial statements, formatted in XBRL:</w:t>
      </w:r>
    </w:p>
    <w:p>
      <w:pPr>
        <w:ind w:left="720"/>
        <w:spacing w:after="0" w:line="236" w:lineRule="auto"/>
        <w:rPr>
          <w:rFonts w:ascii="Arial" w:cs="Arial" w:eastAsia="Arial" w:hAnsi="Arial"/>
          <w:sz w:val="18"/>
          <w:szCs w:val="18"/>
          <w:color w:val="auto"/>
        </w:rPr>
      </w:pPr>
      <w:r>
        <w:rPr>
          <w:rFonts w:ascii="Arial" w:cs="Arial" w:eastAsia="Arial" w:hAnsi="Arial"/>
          <w:sz w:val="16"/>
          <w:szCs w:val="16"/>
          <w:color w:val="auto"/>
        </w:rPr>
        <w:t>(i) Condensed Balance Sheets as of September 30, 2019 and December 31, 2018, (ii) Condensed Consolidated Statements of Operations and Comprehensive Loss for the three and nine months ended September 30, 2019 and 2018, (iii) Condensed Consolidated Statements of Cash Flows for the nine months ended September 30, 2019 and 2018, and (iv) Notes to Unaudited Condensed Consolidated Financial Statements.</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52070</wp:posOffset>
            </wp:positionV>
            <wp:extent cx="14408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39" w:lineRule="exact"/>
        <w:rPr>
          <w:rFonts w:ascii="Arial" w:cs="Arial" w:eastAsia="Arial" w:hAnsi="Arial"/>
          <w:sz w:val="18"/>
          <w:szCs w:val="18"/>
          <w:u w:val="single" w:color="auto"/>
          <w:color w:val="0000EE"/>
        </w:rPr>
      </w:pPr>
    </w:p>
    <w:p>
      <w:pPr>
        <w:ind w:left="4440"/>
        <w:spacing w:after="0"/>
        <w:rPr>
          <w:sz w:val="20"/>
          <w:szCs w:val="20"/>
          <w:color w:val="auto"/>
        </w:rPr>
      </w:pPr>
      <w:r>
        <w:rPr>
          <w:rFonts w:ascii="Arial" w:cs="Arial" w:eastAsia="Arial" w:hAnsi="Arial"/>
          <w:sz w:val="18"/>
          <w:szCs w:val="18"/>
          <w:color w:val="auto"/>
        </w:rPr>
        <w:t>72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79" w:lineRule="exact"/>
        <w:rPr>
          <w:rFonts w:ascii="Arial" w:cs="Arial" w:eastAsia="Arial" w:hAnsi="Arial"/>
          <w:sz w:val="18"/>
          <w:szCs w:val="18"/>
          <w:u w:val="single" w:color="auto"/>
          <w:color w:val="0000EE"/>
        </w:rPr>
      </w:pPr>
    </w:p>
    <w:p>
      <w:pPr>
        <w:ind w:left="980"/>
        <w:spacing w:after="0"/>
        <w:rPr>
          <w:sz w:val="20"/>
          <w:szCs w:val="20"/>
          <w:color w:val="auto"/>
        </w:rPr>
      </w:pPr>
      <w:r>
        <w:rPr>
          <w:rFonts w:ascii="Arial" w:cs="Arial" w:eastAsia="Arial" w:hAnsi="Arial"/>
          <w:sz w:val="14"/>
          <w:szCs w:val="14"/>
          <w:b w:val="1"/>
          <w:bCs w:val="1"/>
          <w:color w:val="auto"/>
        </w:rPr>
        <w:t>Incorporated by Reference</w:t>
      </w:r>
    </w:p>
    <w:tbl>
      <w:tblPr>
        <w:tblLayout w:type="fixed"/>
        <w:tblInd w:w="0" w:type="dxa"/>
        <w:tblCellMar>
          <w:top w:w="0" w:type="dxa"/>
          <w:left w:w="0" w:type="dxa"/>
          <w:bottom w:w="0" w:type="dxa"/>
          <w:right w:w="0" w:type="dxa"/>
        </w:tblCellMar>
      </w:tblPr>
      <w:tr>
        <w:trPr>
          <w:trHeight w:val="112"/>
        </w:trPr>
        <w:tc>
          <w:tcPr>
            <w:tcW w:w="94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Form</w:t>
            </w:r>
          </w:p>
        </w:tc>
        <w:tc>
          <w:tcPr>
            <w:tcW w:w="102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4"/>
                <w:szCs w:val="14"/>
                <w:b w:val="1"/>
                <w:bCs w:val="1"/>
                <w:color w:val="auto"/>
              </w:rPr>
              <w:t>Date</w:t>
            </w:r>
          </w:p>
        </w:tc>
        <w:tc>
          <w:tcPr>
            <w:tcW w:w="7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2"/>
                <w:szCs w:val="12"/>
                <w:b w:val="1"/>
                <w:bCs w:val="1"/>
                <w:color w:val="auto"/>
              </w:rPr>
              <w:t>Filed</w:t>
            </w:r>
          </w:p>
        </w:tc>
        <w:tc>
          <w:tcPr>
            <w:tcW w:w="0" w:type="dxa"/>
            <w:vAlign w:val="bottom"/>
          </w:tcPr>
          <w:p>
            <w:pPr>
              <w:spacing w:after="0"/>
              <w:rPr>
                <w:sz w:val="1"/>
                <w:szCs w:val="1"/>
                <w:color w:val="auto"/>
              </w:rPr>
            </w:pPr>
          </w:p>
        </w:tc>
      </w:tr>
      <w:tr>
        <w:trPr>
          <w:trHeight w:val="162"/>
        </w:trPr>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60" w:type="dxa"/>
            <w:vAlign w:val="bottom"/>
            <w:gridSpan w:val="3"/>
          </w:tcPr>
          <w:p>
            <w:pPr>
              <w:ind w:left="120"/>
              <w:spacing w:after="0"/>
              <w:rPr>
                <w:sz w:val="20"/>
                <w:szCs w:val="20"/>
                <w:color w:val="auto"/>
              </w:rPr>
            </w:pPr>
            <w:r>
              <w:rPr>
                <w:rFonts w:ascii="Arial" w:cs="Arial" w:eastAsia="Arial" w:hAnsi="Arial"/>
                <w:sz w:val="14"/>
                <w:szCs w:val="14"/>
                <w:b w:val="1"/>
                <w:bCs w:val="1"/>
                <w:color w:val="auto"/>
                <w:w w:val="98"/>
              </w:rPr>
              <w:t>NumberHerewith</w:t>
            </w:r>
          </w:p>
        </w:tc>
        <w:tc>
          <w:tcPr>
            <w:tcW w:w="0" w:type="dxa"/>
            <w:vAlign w:val="bottom"/>
          </w:tcPr>
          <w:p>
            <w:pPr>
              <w:spacing w:after="0"/>
              <w:rPr>
                <w:sz w:val="1"/>
                <w:szCs w:val="1"/>
                <w:color w:val="auto"/>
              </w:rPr>
            </w:pPr>
          </w:p>
        </w:tc>
      </w:tr>
      <w:tr>
        <w:trPr>
          <w:trHeight w:val="224"/>
        </w:trPr>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99"/>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27"/>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70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ectPr>
          <w:pgSz w:w="11900" w:h="16838" w:orient="portrait"/>
          <w:cols w:equalWidth="0" w:num="2">
            <w:col w:w="5160" w:space="280"/>
            <w:col w:w="362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940" w:type="dxa"/>
            <w:vAlign w:val="bottom"/>
            <w:gridSpan w:val="2"/>
          </w:tcPr>
          <w:p>
            <w:pPr>
              <w:ind w:left="1360"/>
              <w:spacing w:after="0"/>
              <w:rPr>
                <w:sz w:val="20"/>
                <w:szCs w:val="20"/>
                <w:color w:val="auto"/>
              </w:rPr>
            </w:pPr>
            <w:r>
              <w:rPr>
                <w:rFonts w:ascii="Arial" w:cs="Arial" w:eastAsia="Arial" w:hAnsi="Arial"/>
                <w:sz w:val="18"/>
                <w:szCs w:val="18"/>
                <w:b w:val="1"/>
                <w:bCs w:val="1"/>
                <w:color w:val="auto"/>
              </w:rPr>
              <w:t>Ardelyx, Inc.</w:t>
            </w:r>
          </w:p>
        </w:tc>
      </w:tr>
      <w:tr>
        <w:trPr>
          <w:trHeight w:val="500"/>
        </w:trPr>
        <w:tc>
          <w:tcPr>
            <w:tcW w:w="3120" w:type="dxa"/>
            <w:vAlign w:val="bottom"/>
          </w:tcPr>
          <w:p>
            <w:pPr>
              <w:spacing w:after="0"/>
              <w:rPr>
                <w:sz w:val="20"/>
                <w:szCs w:val="20"/>
                <w:color w:val="auto"/>
              </w:rPr>
            </w:pPr>
            <w:r>
              <w:rPr>
                <w:rFonts w:ascii="Arial" w:cs="Arial" w:eastAsia="Arial" w:hAnsi="Arial"/>
                <w:sz w:val="18"/>
                <w:szCs w:val="18"/>
                <w:color w:val="auto"/>
              </w:rPr>
              <w:t>Date: November 6, 2019</w:t>
            </w:r>
          </w:p>
        </w:tc>
        <w:tc>
          <w:tcPr>
            <w:tcW w:w="5940" w:type="dxa"/>
            <w:vAlign w:val="bottom"/>
            <w:gridSpan w:val="2"/>
          </w:tcPr>
          <w:p>
            <w:pPr>
              <w:ind w:left="1360"/>
              <w:spacing w:after="0"/>
              <w:rPr>
                <w:sz w:val="20"/>
                <w:szCs w:val="20"/>
                <w:color w:val="auto"/>
              </w:rPr>
            </w:pPr>
            <w:r>
              <w:rPr>
                <w:rFonts w:ascii="Arial" w:cs="Arial" w:eastAsia="Arial" w:hAnsi="Arial"/>
                <w:sz w:val="18"/>
                <w:szCs w:val="18"/>
                <w:color w:val="auto"/>
              </w:rPr>
              <w:t>By: /s/ Mark Kaufmann</w:t>
            </w:r>
          </w:p>
        </w:tc>
      </w:tr>
      <w:tr>
        <w:trPr>
          <w:trHeight w:val="142"/>
        </w:trPr>
        <w:tc>
          <w:tcPr>
            <w:tcW w:w="3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2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b w:val="1"/>
                <w:bCs w:val="1"/>
                <w:color w:val="auto"/>
              </w:rPr>
              <w:t>Mark Kaufmann</w:t>
            </w:r>
          </w:p>
        </w:tc>
      </w:tr>
      <w:tr>
        <w:trPr>
          <w:trHeight w:val="176"/>
        </w:trPr>
        <w:tc>
          <w:tcPr>
            <w:tcW w:w="3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80" w:type="dxa"/>
            <w:vAlign w:val="bottom"/>
          </w:tcPr>
          <w:p>
            <w:pPr>
              <w:spacing w:after="0" w:line="176" w:lineRule="exact"/>
              <w:rPr>
                <w:sz w:val="20"/>
                <w:szCs w:val="20"/>
                <w:color w:val="auto"/>
              </w:rPr>
            </w:pPr>
            <w:r>
              <w:rPr>
                <w:rFonts w:ascii="Arial" w:cs="Arial" w:eastAsia="Arial" w:hAnsi="Arial"/>
                <w:sz w:val="18"/>
                <w:szCs w:val="18"/>
                <w:b w:val="1"/>
                <w:bCs w:val="1"/>
                <w:color w:val="auto"/>
              </w:rPr>
              <w:t>Chief Financial Officer</w:t>
            </w:r>
          </w:p>
        </w:tc>
      </w:tr>
      <w:tr>
        <w:trPr>
          <w:trHeight w:val="234"/>
        </w:trPr>
        <w:tc>
          <w:tcPr>
            <w:tcW w:w="3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(Principal Financial and Accounting Officer)</w:t>
            </w:r>
          </w:p>
        </w:tc>
      </w:tr>
      <w:tr>
        <w:trPr>
          <w:trHeight w:val="805"/>
        </w:trPr>
        <w:tc>
          <w:tcPr>
            <w:tcW w:w="3120" w:type="dxa"/>
            <w:vAlign w:val="bottom"/>
          </w:tcPr>
          <w:p>
            <w:pPr>
              <w:spacing w:after="0"/>
              <w:rPr>
                <w:sz w:val="24"/>
                <w:szCs w:val="24"/>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4280" w:type="dxa"/>
            <w:vAlign w:val="bottom"/>
          </w:tcPr>
          <w:p>
            <w:pPr>
              <w:spacing w:after="0"/>
              <w:rPr>
                <w:sz w:val="24"/>
                <w:szCs w:val="24"/>
                <w:color w:val="auto"/>
              </w:rPr>
            </w:pPr>
          </w:p>
        </w:tc>
      </w:tr>
      <w:tr>
        <w:trPr>
          <w:trHeight w:val="534"/>
        </w:trPr>
        <w:tc>
          <w:tcPr>
            <w:tcW w:w="3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2" w:right="141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Michael Raab, certify that:</w:t>
      </w:r>
    </w:p>
    <w:p>
      <w:pPr>
        <w:spacing w:after="0" w:line="185" w:lineRule="exact"/>
        <w:rPr>
          <w:sz w:val="20"/>
          <w:szCs w:val="20"/>
          <w:color w:val="auto"/>
        </w:rPr>
      </w:pPr>
    </w:p>
    <w:p>
      <w:pPr>
        <w:ind w:left="440" w:hanging="437"/>
        <w:spacing w:after="0" w:line="207" w:lineRule="exact"/>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Ardelyx, Inc.;</w:t>
      </w:r>
    </w:p>
    <w:p>
      <w:pPr>
        <w:spacing w:after="0" w:line="184" w:lineRule="exact"/>
        <w:rPr>
          <w:rFonts w:ascii="Arial" w:cs="Arial" w:eastAsia="Arial" w:hAnsi="Arial"/>
          <w:sz w:val="18"/>
          <w:szCs w:val="18"/>
          <w:color w:val="auto"/>
        </w:rPr>
      </w:pPr>
    </w:p>
    <w:p>
      <w:pPr>
        <w:jc w:val="both"/>
        <w:ind w:left="440" w:right="80" w:hanging="437"/>
        <w:spacing w:after="0" w:line="224"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40" w:right="60" w:hanging="437"/>
        <w:spacing w:after="0" w:line="224"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440" w:right="20" w:hanging="437"/>
        <w:spacing w:after="0" w:line="194" w:lineRule="exact"/>
        <w:tabs>
          <w:tab w:leader="none" w:pos="4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ind w:left="860" w:right="220" w:hanging="425"/>
        <w:spacing w:after="0" w:line="219" w:lineRule="auto"/>
        <w:tabs>
          <w:tab w:leader="none" w:pos="8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60" w:right="20" w:hanging="425"/>
        <w:spacing w:after="0" w:line="219" w:lineRule="auto"/>
        <w:tabs>
          <w:tab w:leader="none" w:pos="8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860" w:right="60" w:hanging="425"/>
        <w:spacing w:after="0" w:line="224" w:lineRule="auto"/>
        <w:tabs>
          <w:tab w:leader="none" w:pos="8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60" w:right="300" w:hanging="425"/>
        <w:spacing w:after="0" w:line="219" w:lineRule="auto"/>
        <w:tabs>
          <w:tab w:leader="none" w:pos="8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440" w:right="280" w:hanging="437"/>
        <w:spacing w:after="0" w:line="224"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60" w:right="20" w:hanging="425"/>
        <w:spacing w:after="0" w:line="224" w:lineRule="auto"/>
        <w:tabs>
          <w:tab w:leader="none" w:pos="8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60" w:right="100" w:hanging="425"/>
        <w:spacing w:after="0" w:line="235" w:lineRule="auto"/>
        <w:tabs>
          <w:tab w:leader="none" w:pos="8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0" w:lineRule="exact"/>
        <w:rPr>
          <w:sz w:val="20"/>
          <w:szCs w:val="20"/>
          <w:color w:val="auto"/>
        </w:rPr>
      </w:pPr>
    </w:p>
    <w:p>
      <w:pPr>
        <w:spacing w:after="0"/>
        <w:tabs>
          <w:tab w:leader="none" w:pos="4380" w:val="left"/>
          <w:tab w:leader="none" w:pos="6280" w:val="left"/>
        </w:tabs>
        <w:rPr>
          <w:sz w:val="20"/>
          <w:szCs w:val="20"/>
          <w:color w:val="auto"/>
        </w:rPr>
      </w:pPr>
      <w:r>
        <w:rPr>
          <w:rFonts w:ascii="Arial" w:cs="Arial" w:eastAsia="Arial" w:hAnsi="Arial"/>
          <w:sz w:val="18"/>
          <w:szCs w:val="18"/>
          <w:color w:val="auto"/>
        </w:rPr>
        <w:t>Date: November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-635</wp:posOffset>
            </wp:positionV>
            <wp:extent cx="2735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4760"/>
        <w:spacing w:after="0" w:line="203" w:lineRule="auto"/>
        <w:rPr>
          <w:sz w:val="20"/>
          <w:szCs w:val="20"/>
          <w:color w:val="auto"/>
        </w:rPr>
      </w:pPr>
      <w:r>
        <w:rPr>
          <w:rFonts w:ascii="Arial" w:cs="Arial" w:eastAsia="Arial" w:hAnsi="Arial"/>
          <w:sz w:val="18"/>
          <w:szCs w:val="18"/>
          <w:b w:val="1"/>
          <w:bCs w:val="1"/>
          <w:color w:val="auto"/>
        </w:rPr>
        <w:t>Michael Raab</w:t>
      </w:r>
    </w:p>
    <w:p>
      <w:pPr>
        <w:jc w:val="center"/>
        <w:ind w:left="4760"/>
        <w:spacing w:after="0" w:line="204" w:lineRule="auto"/>
        <w:rPr>
          <w:sz w:val="20"/>
          <w:szCs w:val="20"/>
          <w:color w:val="auto"/>
        </w:rPr>
      </w:pPr>
      <w:r>
        <w:rPr>
          <w:rFonts w:ascii="Arial" w:cs="Arial" w:eastAsia="Arial" w:hAnsi="Arial"/>
          <w:sz w:val="18"/>
          <w:szCs w:val="18"/>
          <w:b w:val="1"/>
          <w:bCs w:val="1"/>
          <w:color w:val="auto"/>
        </w:rPr>
        <w:t>President Chief Executive Officer and Director</w:t>
      </w:r>
    </w:p>
    <w:p>
      <w:pPr>
        <w:jc w:val="center"/>
        <w:ind w:left="47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Mark Kaufmann, certify that:</w:t>
      </w:r>
    </w:p>
    <w:p>
      <w:pPr>
        <w:spacing w:after="0" w:line="185" w:lineRule="exact"/>
        <w:rPr>
          <w:sz w:val="20"/>
          <w:szCs w:val="20"/>
          <w:color w:val="auto"/>
        </w:rPr>
      </w:pPr>
    </w:p>
    <w:p>
      <w:pPr>
        <w:ind w:left="440" w:hanging="437"/>
        <w:spacing w:after="0" w:line="207" w:lineRule="exact"/>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Ardelyx, Inc.;</w:t>
      </w:r>
    </w:p>
    <w:p>
      <w:pPr>
        <w:spacing w:after="0" w:line="184" w:lineRule="exact"/>
        <w:rPr>
          <w:rFonts w:ascii="Arial" w:cs="Arial" w:eastAsia="Arial" w:hAnsi="Arial"/>
          <w:sz w:val="18"/>
          <w:szCs w:val="18"/>
          <w:color w:val="auto"/>
        </w:rPr>
      </w:pPr>
    </w:p>
    <w:p>
      <w:pPr>
        <w:jc w:val="both"/>
        <w:ind w:left="440" w:right="80" w:hanging="437"/>
        <w:spacing w:after="0" w:line="22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40" w:right="60" w:hanging="437"/>
        <w:spacing w:after="0" w:line="22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440" w:right="20" w:hanging="437"/>
        <w:spacing w:after="0" w:line="194" w:lineRule="exact"/>
        <w:tabs>
          <w:tab w:leader="none" w:pos="4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ind w:left="860" w:right="220" w:hanging="425"/>
        <w:spacing w:after="0" w:line="219" w:lineRule="auto"/>
        <w:tabs>
          <w:tab w:leader="none" w:pos="8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60" w:right="20" w:hanging="425"/>
        <w:spacing w:after="0" w:line="219" w:lineRule="auto"/>
        <w:tabs>
          <w:tab w:leader="none" w:pos="8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860" w:right="60" w:hanging="425"/>
        <w:spacing w:after="0" w:line="224" w:lineRule="auto"/>
        <w:tabs>
          <w:tab w:leader="none" w:pos="8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60" w:right="300" w:hanging="425"/>
        <w:spacing w:after="0" w:line="219" w:lineRule="auto"/>
        <w:tabs>
          <w:tab w:leader="none" w:pos="8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440" w:right="280" w:hanging="437"/>
        <w:spacing w:after="0" w:line="22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60" w:right="20" w:hanging="425"/>
        <w:spacing w:after="0" w:line="224" w:lineRule="auto"/>
        <w:tabs>
          <w:tab w:leader="none" w:pos="8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60" w:right="100" w:hanging="425"/>
        <w:spacing w:after="0" w:line="235" w:lineRule="auto"/>
        <w:tabs>
          <w:tab w:leader="none" w:pos="8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0" w:lineRule="exact"/>
        <w:rPr>
          <w:sz w:val="20"/>
          <w:szCs w:val="20"/>
          <w:color w:val="auto"/>
        </w:rPr>
      </w:pPr>
    </w:p>
    <w:p>
      <w:pPr>
        <w:spacing w:after="0"/>
        <w:tabs>
          <w:tab w:leader="none" w:pos="4600" w:val="left"/>
          <w:tab w:leader="none" w:pos="6260" w:val="left"/>
        </w:tabs>
        <w:rPr>
          <w:sz w:val="20"/>
          <w:szCs w:val="20"/>
          <w:color w:val="auto"/>
        </w:rPr>
      </w:pPr>
      <w:r>
        <w:rPr>
          <w:rFonts w:ascii="Arial" w:cs="Arial" w:eastAsia="Arial" w:hAnsi="Arial"/>
          <w:sz w:val="18"/>
          <w:szCs w:val="18"/>
          <w:color w:val="auto"/>
        </w:rPr>
        <w:t>Date: November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-635</wp:posOffset>
            </wp:positionV>
            <wp:extent cx="26416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jc w:val="center"/>
        <w:ind w:left="4900"/>
        <w:spacing w:after="0" w:line="203" w:lineRule="auto"/>
        <w:rPr>
          <w:sz w:val="20"/>
          <w:szCs w:val="20"/>
          <w:color w:val="auto"/>
        </w:rPr>
      </w:pPr>
      <w:r>
        <w:rPr>
          <w:rFonts w:ascii="Arial" w:cs="Arial" w:eastAsia="Arial" w:hAnsi="Arial"/>
          <w:sz w:val="18"/>
          <w:szCs w:val="18"/>
          <w:b w:val="1"/>
          <w:bCs w:val="1"/>
          <w:color w:val="auto"/>
        </w:rPr>
        <w:t>Mark Kaufmann</w:t>
      </w:r>
    </w:p>
    <w:p>
      <w:pPr>
        <w:jc w:val="center"/>
        <w:ind w:left="4900"/>
        <w:spacing w:after="0" w:line="204" w:lineRule="auto"/>
        <w:rPr>
          <w:sz w:val="20"/>
          <w:szCs w:val="20"/>
          <w:color w:val="auto"/>
        </w:rPr>
      </w:pPr>
      <w:r>
        <w:rPr>
          <w:rFonts w:ascii="Arial" w:cs="Arial" w:eastAsia="Arial" w:hAnsi="Arial"/>
          <w:sz w:val="18"/>
          <w:szCs w:val="18"/>
          <w:b w:val="1"/>
          <w:bCs w:val="1"/>
          <w:color w:val="auto"/>
        </w:rPr>
        <w:t>Chief Financial Officer</w:t>
      </w:r>
    </w:p>
    <w:p>
      <w:pPr>
        <w:jc w:val="center"/>
        <w:ind w:left="49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2200" w:right="2180" w:firstLine="62"/>
        <w:spacing w:after="0" w:line="239" w:lineRule="auto"/>
        <w:rPr>
          <w:sz w:val="20"/>
          <w:szCs w:val="20"/>
          <w:color w:val="auto"/>
        </w:rPr>
      </w:pPr>
      <w:r>
        <w:rPr>
          <w:rFonts w:ascii="Arial" w:cs="Arial" w:eastAsia="Arial" w:hAnsi="Arial"/>
          <w:sz w:val="17"/>
          <w:szCs w:val="17"/>
          <w:b w:val="1"/>
          <w:bCs w:val="1"/>
          <w:color w:val="auto"/>
        </w:rPr>
        <w:t>18 U.S.C. SECTION 1350, AS ADOPTED PURSUANT TO SECTION 906 OF THE SARBANES-OXLEY ACT OF 2002</w:t>
      </w:r>
    </w:p>
    <w:p>
      <w:pPr>
        <w:spacing w:after="0" w:line="162" w:lineRule="exact"/>
        <w:rPr>
          <w:sz w:val="20"/>
          <w:szCs w:val="20"/>
          <w:color w:val="auto"/>
        </w:rPr>
      </w:pPr>
    </w:p>
    <w:p>
      <w:pPr>
        <w:jc w:val="both"/>
        <w:ind w:firstLine="324"/>
        <w:spacing w:after="0" w:line="187" w:lineRule="exact"/>
        <w:rPr>
          <w:sz w:val="20"/>
          <w:szCs w:val="20"/>
          <w:color w:val="auto"/>
        </w:rPr>
      </w:pPr>
      <w:r>
        <w:rPr>
          <w:rFonts w:ascii="Arial" w:cs="Arial" w:eastAsia="Arial" w:hAnsi="Arial"/>
          <w:sz w:val="18"/>
          <w:szCs w:val="18"/>
          <w:color w:val="auto"/>
        </w:rPr>
        <w:t>In connection with the Quarterly Report of Ardelyx,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ending September 30, 2019, as filed with the Securities and Exchange Commission on the date hereof (the “Report”), Michael Raab, President and Chief Executive Officer of the Company, and Mark Kaufmann, Chief Financial Officer of the Company, respectively, do each hereby certify, pursuant to 18 U.S.C. Section 1350, as adopted pursuant to Section 906 of the Sarbanes-Oxley Act of 2002, that:</w:t>
      </w:r>
    </w:p>
    <w:p>
      <w:pPr>
        <w:spacing w:after="0" w:line="162" w:lineRule="exact"/>
        <w:rPr>
          <w:sz w:val="20"/>
          <w:szCs w:val="20"/>
          <w:color w:val="auto"/>
        </w:rPr>
      </w:pPr>
    </w:p>
    <w:p>
      <w:pPr>
        <w:ind w:left="760" w:hanging="433"/>
        <w:spacing w:after="0" w:line="235"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760" w:hanging="433"/>
        <w:spacing w:after="0" w:line="235"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90" w:lineRule="exact"/>
        <w:rPr>
          <w:sz w:val="20"/>
          <w:szCs w:val="20"/>
          <w:color w:val="auto"/>
        </w:rPr>
      </w:pPr>
    </w:p>
    <w:p>
      <w:pPr>
        <w:spacing w:after="0"/>
        <w:tabs>
          <w:tab w:leader="none" w:pos="4600" w:val="left"/>
          <w:tab w:leader="none" w:pos="6380" w:val="left"/>
        </w:tabs>
        <w:rPr>
          <w:sz w:val="20"/>
          <w:szCs w:val="20"/>
          <w:color w:val="auto"/>
        </w:rPr>
      </w:pPr>
      <w:r>
        <w:rPr>
          <w:rFonts w:ascii="Arial" w:cs="Arial" w:eastAsia="Arial" w:hAnsi="Arial"/>
          <w:sz w:val="18"/>
          <w:szCs w:val="18"/>
          <w:color w:val="auto"/>
        </w:rPr>
        <w:t>Date: November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-635</wp:posOffset>
            </wp:positionV>
            <wp:extent cx="26155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jc w:val="center"/>
        <w:ind w:left="4940"/>
        <w:spacing w:after="0" w:line="203" w:lineRule="auto"/>
        <w:rPr>
          <w:sz w:val="20"/>
          <w:szCs w:val="20"/>
          <w:color w:val="auto"/>
        </w:rPr>
      </w:pPr>
      <w:r>
        <w:rPr>
          <w:rFonts w:ascii="Arial" w:cs="Arial" w:eastAsia="Arial" w:hAnsi="Arial"/>
          <w:sz w:val="18"/>
          <w:szCs w:val="18"/>
          <w:b w:val="1"/>
          <w:bCs w:val="1"/>
          <w:color w:val="auto"/>
        </w:rPr>
        <w:t>Michael Raab</w:t>
      </w:r>
    </w:p>
    <w:p>
      <w:pPr>
        <w:jc w:val="center"/>
        <w:ind w:left="4940"/>
        <w:spacing w:after="0" w:line="204" w:lineRule="auto"/>
        <w:rPr>
          <w:sz w:val="20"/>
          <w:szCs w:val="20"/>
          <w:color w:val="auto"/>
        </w:rPr>
      </w:pPr>
      <w:r>
        <w:rPr>
          <w:rFonts w:ascii="Arial" w:cs="Arial" w:eastAsia="Arial" w:hAnsi="Arial"/>
          <w:sz w:val="18"/>
          <w:szCs w:val="18"/>
          <w:b w:val="1"/>
          <w:bCs w:val="1"/>
          <w:color w:val="auto"/>
        </w:rPr>
        <w:t>President Chief Executive Officer and Director</w:t>
      </w:r>
    </w:p>
    <w:p>
      <w:pPr>
        <w:jc w:val="center"/>
        <w:ind w:left="4940"/>
        <w:spacing w:after="0"/>
        <w:rPr>
          <w:sz w:val="20"/>
          <w:szCs w:val="20"/>
          <w:color w:val="auto"/>
        </w:rPr>
      </w:pPr>
      <w:r>
        <w:rPr>
          <w:rFonts w:ascii="Arial" w:cs="Arial" w:eastAsia="Arial" w:hAnsi="Arial"/>
          <w:sz w:val="18"/>
          <w:szCs w:val="18"/>
          <w:b w:val="1"/>
          <w:bCs w:val="1"/>
          <w:color w:val="auto"/>
        </w:rPr>
        <w:t>(Principal Executive Officer)</w:t>
      </w:r>
    </w:p>
    <w:p>
      <w:pPr>
        <w:spacing w:after="0" w:line="302" w:lineRule="exact"/>
        <w:rPr>
          <w:sz w:val="20"/>
          <w:szCs w:val="20"/>
          <w:color w:val="auto"/>
        </w:rPr>
      </w:pPr>
    </w:p>
    <w:p>
      <w:pPr>
        <w:spacing w:after="0"/>
        <w:tabs>
          <w:tab w:leader="none" w:pos="4600" w:val="left"/>
          <w:tab w:leader="none" w:pos="6280" w:val="left"/>
        </w:tabs>
        <w:rPr>
          <w:sz w:val="20"/>
          <w:szCs w:val="20"/>
          <w:color w:val="auto"/>
        </w:rPr>
      </w:pPr>
      <w:r>
        <w:rPr>
          <w:rFonts w:ascii="Arial" w:cs="Arial" w:eastAsia="Arial" w:hAnsi="Arial"/>
          <w:sz w:val="18"/>
          <w:szCs w:val="18"/>
          <w:color w:val="auto"/>
        </w:rPr>
        <w:t>Date: November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-635</wp:posOffset>
            </wp:positionV>
            <wp:extent cx="26155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jc w:val="center"/>
        <w:ind w:left="4940"/>
        <w:spacing w:after="0" w:line="203" w:lineRule="auto"/>
        <w:rPr>
          <w:sz w:val="20"/>
          <w:szCs w:val="20"/>
          <w:color w:val="auto"/>
        </w:rPr>
      </w:pPr>
      <w:r>
        <w:rPr>
          <w:rFonts w:ascii="Arial" w:cs="Arial" w:eastAsia="Arial" w:hAnsi="Arial"/>
          <w:sz w:val="18"/>
          <w:szCs w:val="18"/>
          <w:b w:val="1"/>
          <w:bCs w:val="1"/>
          <w:color w:val="auto"/>
        </w:rPr>
        <w:t>Mark Kaufmann</w:t>
      </w:r>
    </w:p>
    <w:p>
      <w:pPr>
        <w:jc w:val="center"/>
        <w:ind w:left="4940"/>
        <w:spacing w:after="0" w:line="204" w:lineRule="auto"/>
        <w:rPr>
          <w:sz w:val="20"/>
          <w:szCs w:val="20"/>
          <w:color w:val="auto"/>
        </w:rPr>
      </w:pPr>
      <w:r>
        <w:rPr>
          <w:rFonts w:ascii="Arial" w:cs="Arial" w:eastAsia="Arial" w:hAnsi="Arial"/>
          <w:sz w:val="18"/>
          <w:szCs w:val="18"/>
          <w:b w:val="1"/>
          <w:bCs w:val="1"/>
          <w:color w:val="auto"/>
        </w:rPr>
        <w:t>Chief Financial Officer</w:t>
      </w:r>
    </w:p>
    <w:p>
      <w:pPr>
        <w:jc w:val="center"/>
        <w:ind w:left="49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lowerRoman"/>
      <w:start w:val="2"/>
    </w:lvl>
  </w:abstractNum>
  <w:abstractNum w:abstractNumId="5">
    <w:nsid w:val="189A769B"/>
    <w:multiLevelType w:val="hybridMultilevel"/>
    <w:lvl w:ilvl="0">
      <w:lvlJc w:val="left"/>
      <w:lvlText w:val="(%1)"/>
      <w:numFmt w:val="lowerRoman"/>
      <w:start w:val="4"/>
    </w:lvl>
  </w:abstractNum>
  <w:abstractNum w:abstractNumId="6">
    <w:nsid w:val="54E49EB4"/>
    <w:multiLevelType w:val="hybridMultilevel"/>
    <w:lvl w:ilvl="0">
      <w:lvlJc w:val="left"/>
      <w:lvlText w:val="%1."/>
      <w:numFmt w:val="decimal"/>
      <w:start w:val="6"/>
    </w:lvl>
  </w:abstractNum>
  <w:abstractNum w:abstractNumId="7">
    <w:nsid w:val="71F32454"/>
    <w:multiLevelType w:val="hybridMultilevel"/>
    <w:lvl w:ilvl="0">
      <w:lvlJc w:val="left"/>
      <w:lvlText w:val="%1)"/>
      <w:numFmt w:val="lowerRoman"/>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lvl w:ilvl="1">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0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2019-12-28T02:35:53Z</dcterms:created>
  <dcterms:modified xsi:type="dcterms:W3CDTF">2019-12-28T02:35:53Z</dcterms:modified>
</cp:coreProperties>
</file>