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2822970.xml.htm"/>
      <w:bookmarkStart w:id="1" w:name="kswkform4_16928229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Blanks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ARDELYX, INC.</w:t>
              </w:r>
            </w:hyperlink>
            <w:r>
              <w:rPr/>
              <w:t xml:space="preserve"> [ </w:t>
            </w:r>
            <w:r>
              <w:rPr>
                <w:rFonts w:ascii="Times;serif" w:hAnsi="Times;serif"/>
                <w:color w:val="0000FF"/>
                <w:sz w:val="24"/>
                <w:shd w:fill="FFFFFF" w:val="clear"/>
              </w:rPr>
              <w:t>ARDX</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See Remarks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2,846</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3.5518</w:t>
            </w:r>
            <w:r>
              <w:rPr>
                <w:rFonts w:ascii="Times;serif" w:hAnsi="Times;serif"/>
                <w:color w:val="008000"/>
                <w:position w:val="7"/>
                <w:sz w:val="16"/>
                <w:sz w:val="20"/>
                <w:shd w:fill="FFFFFF" w:val="clear"/>
              </w:rPr>
              <w:t>(2)</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263,288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in prices ranging from $3.515 to $3.551843,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Regulatory and Quality Affairs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Grammer, Attorney-in-Fact for Robert Blanks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15433" TargetMode="External"/><Relationship Id="rId4" Type="http://schemas.openxmlformats.org/officeDocument/2006/relationships/hyperlink" Target="http://www.sec.gov/cgi-bin/browse-edgar?action=getcompany&amp;CIK=000143740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3698</Characters>
  <CharactersWithSpaces>4312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