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GRAMMER ELIZABETH A</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09/15/2020</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FREMONT</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94555</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1"/>
                <w:szCs w:val="11"/>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09/15/2020</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28,810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5.3653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center"/>
              <w:ind w:right="237"/>
              <w:spacing w:after="0"/>
              <w:rPr>
                <w:sz w:val="20"/>
                <w:szCs w:val="20"/>
                <w:color w:val="auto"/>
              </w:rPr>
            </w:pPr>
            <w:r>
              <w:rPr>
                <w:rFonts w:ascii="Times New Roman" w:cs="Times New Roman" w:eastAsia="Times New Roman" w:hAnsi="Times New Roman"/>
                <w:sz w:val="17"/>
                <w:szCs w:val="17"/>
                <w:color w:val="0000FF"/>
              </w:rPr>
              <w:t>72,527</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ind w:right="377"/>
              <w:spacing w:after="0"/>
              <w:rPr>
                <w:sz w:val="20"/>
                <w:szCs w:val="20"/>
                <w:color w:val="auto"/>
              </w:rPr>
            </w:pPr>
            <w:r>
              <w:rPr>
                <w:rFonts w:ascii="Times New Roman" w:cs="Times New Roman" w:eastAsia="Times New Roman" w:hAnsi="Times New Roman"/>
                <w:sz w:val="17"/>
                <w:szCs w:val="17"/>
                <w:color w:val="0000FF"/>
                <w:w w:val="93"/>
              </w:rPr>
              <w:t>2,566</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Son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vMerge w:val="continue"/>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-3098800</wp:posOffset>
            </wp:positionV>
            <wp:extent cx="7031355" cy="3139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139440"/>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in prices ranging from $5.30 to $5.7797,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1,229 shares acquired under the Issuer's Employee Stock Purchase Plan on August 31, 2020.</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Legal and Administrative Officer</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Elizabeth Grammer</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09/17/2020</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13041"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2020-09-17T17:32:44Z</dcterms:created>
  <dcterms:modified xsi:type="dcterms:W3CDTF">2020-09-17T17:32:44Z</dcterms:modified>
</cp:coreProperties>
</file>