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2280" w:type="dxa"/>
            <w:vAlign w:val="bottom"/>
          </w:tcPr>
          <w:p>
            <w:pPr>
              <w:spacing w:after="0"/>
              <w:rPr>
                <w:sz w:val="24"/>
                <w:szCs w:val="24"/>
                <w:color w:val="auto"/>
              </w:rPr>
            </w:pPr>
          </w:p>
        </w:tc>
        <w:tc>
          <w:tcPr>
            <w:tcW w:w="4840" w:type="dxa"/>
            <w:vAlign w:val="bottom"/>
            <w:gridSpan w:val="3"/>
          </w:tcPr>
          <w:p>
            <w:pPr>
              <w:jc w:val="center"/>
              <w:ind w:left="225"/>
              <w:spacing w:after="0"/>
              <w:rPr>
                <w:sz w:val="20"/>
                <w:szCs w:val="20"/>
                <w:color w:val="auto"/>
              </w:rPr>
            </w:pPr>
            <w:r>
              <w:rPr>
                <w:rFonts w:ascii="Times New Roman" w:cs="Times New Roman" w:eastAsia="Times New Roman" w:hAnsi="Times New Roman"/>
                <w:sz w:val="32"/>
                <w:szCs w:val="32"/>
                <w:b w:val="1"/>
                <w:bCs w:val="1"/>
                <w:color w:val="auto"/>
              </w:rPr>
              <w:t>SCHEDULE 14A</w:t>
            </w:r>
          </w:p>
        </w:tc>
      </w:tr>
      <w:tr>
        <w:trPr>
          <w:trHeight w:val="262"/>
        </w:trPr>
        <w:tc>
          <w:tcPr>
            <w:tcW w:w="2280" w:type="dxa"/>
            <w:vAlign w:val="bottom"/>
          </w:tcPr>
          <w:p>
            <w:pPr>
              <w:spacing w:after="0"/>
              <w:rPr>
                <w:sz w:val="22"/>
                <w:szCs w:val="22"/>
                <w:color w:val="auto"/>
              </w:rPr>
            </w:pPr>
          </w:p>
        </w:tc>
        <w:tc>
          <w:tcPr>
            <w:tcW w:w="4840" w:type="dxa"/>
            <w:vAlign w:val="bottom"/>
            <w:gridSpan w:val="3"/>
          </w:tcPr>
          <w:p>
            <w:pPr>
              <w:jc w:val="center"/>
              <w:ind w:left="225"/>
              <w:spacing w:after="0"/>
              <w:rPr>
                <w:sz w:val="20"/>
                <w:szCs w:val="20"/>
                <w:color w:val="auto"/>
              </w:rPr>
            </w:pPr>
            <w:r>
              <w:rPr>
                <w:rFonts w:ascii="Times New Roman" w:cs="Times New Roman" w:eastAsia="Times New Roman" w:hAnsi="Times New Roman"/>
                <w:sz w:val="22"/>
                <w:szCs w:val="22"/>
                <w:b w:val="1"/>
                <w:bCs w:val="1"/>
                <w:color w:val="auto"/>
                <w:w w:val="98"/>
              </w:rPr>
              <w:t>Proxy Statement Pursuant to Section 14(a) of the</w:t>
            </w:r>
          </w:p>
        </w:tc>
      </w:tr>
      <w:tr>
        <w:trPr>
          <w:trHeight w:val="243"/>
        </w:trPr>
        <w:tc>
          <w:tcPr>
            <w:tcW w:w="2280" w:type="dxa"/>
            <w:vAlign w:val="bottom"/>
          </w:tcPr>
          <w:p>
            <w:pPr>
              <w:spacing w:after="0"/>
              <w:rPr>
                <w:sz w:val="21"/>
                <w:szCs w:val="21"/>
                <w:color w:val="auto"/>
              </w:rPr>
            </w:pPr>
          </w:p>
        </w:tc>
        <w:tc>
          <w:tcPr>
            <w:tcW w:w="4840" w:type="dxa"/>
            <w:vAlign w:val="bottom"/>
            <w:gridSpan w:val="3"/>
          </w:tcPr>
          <w:p>
            <w:pPr>
              <w:jc w:val="center"/>
              <w:ind w:left="205"/>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 Exchange Act of 1934</w:t>
            </w:r>
          </w:p>
        </w:tc>
      </w:tr>
      <w:tr>
        <w:trPr>
          <w:trHeight w:val="286"/>
        </w:trPr>
        <w:tc>
          <w:tcPr>
            <w:tcW w:w="2280" w:type="dxa"/>
            <w:vAlign w:val="bottom"/>
          </w:tcPr>
          <w:p>
            <w:pPr>
              <w:spacing w:after="0"/>
              <w:rPr>
                <w:sz w:val="24"/>
                <w:szCs w:val="24"/>
                <w:color w:val="auto"/>
              </w:rPr>
            </w:pPr>
          </w:p>
        </w:tc>
        <w:tc>
          <w:tcPr>
            <w:tcW w:w="4840" w:type="dxa"/>
            <w:vAlign w:val="bottom"/>
            <w:gridSpan w:val="3"/>
          </w:tcPr>
          <w:p>
            <w:pPr>
              <w:jc w:val="center"/>
              <w:ind w:left="205"/>
              <w:spacing w:after="0"/>
              <w:rPr>
                <w:sz w:val="20"/>
                <w:szCs w:val="20"/>
                <w:color w:val="auto"/>
              </w:rPr>
            </w:pPr>
            <w:r>
              <w:rPr>
                <w:rFonts w:ascii="Times New Roman" w:cs="Times New Roman" w:eastAsia="Times New Roman" w:hAnsi="Times New Roman"/>
                <w:sz w:val="22"/>
                <w:szCs w:val="22"/>
                <w:b w:val="1"/>
                <w:bCs w:val="1"/>
                <w:color w:val="auto"/>
              </w:rPr>
              <w:t>(Amendment No.  )</w:t>
            </w:r>
          </w:p>
        </w:tc>
      </w:tr>
      <w:tr>
        <w:trPr>
          <w:trHeight w:val="218"/>
        </w:trPr>
        <w:tc>
          <w:tcPr>
            <w:tcW w:w="2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r>
        <w:trPr>
          <w:trHeight w:val="378"/>
        </w:trPr>
        <w:tc>
          <w:tcPr>
            <w:tcW w:w="22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4840" w:type="dxa"/>
            <w:vAlign w:val="bottom"/>
            <w:gridSpan w:val="3"/>
          </w:tcPr>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3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7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highlight w:val="black"/>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Ardelyx,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8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38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right="20" w:hanging="405"/>
        <w:spacing w:after="0" w:line="282" w:lineRule="auto"/>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6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582930</wp:posOffset>
            </wp:positionV>
            <wp:extent cx="699516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460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240030</wp:posOffset>
            </wp:positionV>
            <wp:extent cx="5666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-161925</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-565150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-967740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-2390775</wp:posOffset>
            </wp:positionV>
            <wp:extent cx="5666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-2794000</wp:posOffset>
            </wp:positionV>
            <wp:extent cx="5666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-3196590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-3736975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-4139565</wp:posOffset>
            </wp:positionV>
            <wp:extent cx="5666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386080</wp:posOffset>
            </wp:positionV>
            <wp:extent cx="6172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445770</wp:posOffset>
            </wp:positionV>
            <wp:extent cx="61722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3" w:right="1159" w:bottom="515" w:gutter="0" w:footer="0" w:header="0"/>
        </w:sectPr>
      </w:pPr>
    </w:p>
    <w:bookmarkStart w:id="1" w:name="page2"/>
    <w:bookmarkEnd w:id="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93345</wp:posOffset>
            </wp:positionV>
            <wp:extent cx="6858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 Fifth Avenue, Suite 210, Waltham, MA 02451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15, 2022</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Ardelyx, Inc.:</w:t>
      </w:r>
    </w:p>
    <w:p>
      <w:pPr>
        <w:spacing w:after="0" w:line="11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2022 Annual Meeting of Stockholders, or the 2022 Annual Meeting, of Ardelyx, Inc., a Delaware corporation, or the Company, will be held on June 15, 2022 at 11:30 a.m. Eastern Time. The 2022 Annual Meeting will be held entirely online. You will be able to attend the meeting online where you will be able to listen to the meeting live and vote. The 2022 Annual Meeting will be held for the following purposes:</w:t>
      </w:r>
    </w:p>
    <w:p>
      <w:pPr>
        <w:spacing w:after="0" w:line="72" w:lineRule="exact"/>
        <w:rPr>
          <w:sz w:val="20"/>
          <w:szCs w:val="20"/>
          <w:color w:val="auto"/>
        </w:rPr>
      </w:pPr>
    </w:p>
    <w:p>
      <w:pPr>
        <w:ind w:left="1000" w:right="6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hold office until the 2025 Annual Meeting of Stockholders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our Board of Directors authority to effect a reverse stock split of our authorized common stock and issued and outstanding common stock by amending our Amended and Restated Certificate of Incorporation by September 15, 2022 and within a range of not less than 1-for-2 and not more than 1-for 10, if our Board of Directors deems it within our best interests;</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as disclosed in the proxy statement accompanying this notice pursuant to the compensation disclosure rules of the Securities and Exchange Commission (“Say-on-Pay”);</w:t>
      </w:r>
    </w:p>
    <w:p>
      <w:pPr>
        <w:spacing w:after="0" w:line="6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our Board of Directors, of Ernst &amp; Young LLP as the independent registered public accounting firm of the Company for the fiscal year ending December 31, 2022; and</w:t>
      </w:r>
    </w:p>
    <w:p>
      <w:pPr>
        <w:spacing w:after="0" w:line="67" w:lineRule="exact"/>
        <w:rPr>
          <w:rFonts w:ascii="Times New Roman" w:cs="Times New Roman" w:eastAsia="Times New Roman" w:hAnsi="Times New Roman"/>
          <w:sz w:val="18"/>
          <w:szCs w:val="18"/>
          <w:color w:val="auto"/>
        </w:rPr>
      </w:pPr>
    </w:p>
    <w:p>
      <w:pPr>
        <w:ind w:left="1000" w:right="12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2022 Annual Meeting or any adjournment or postponement thereof.</w:t>
      </w:r>
    </w:p>
    <w:p>
      <w:pPr>
        <w:spacing w:after="0" w:line="54" w:lineRule="exact"/>
        <w:rPr>
          <w:sz w:val="20"/>
          <w:szCs w:val="20"/>
          <w:color w:val="auto"/>
        </w:rPr>
      </w:pPr>
    </w:p>
    <w:p>
      <w:pPr>
        <w:jc w:val="both"/>
        <w:ind w:left="300" w:right="819"/>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 Only stockholders who owned the Company’s common stock at the close of business on April 25, 2022 may vote at the 2022 Annual Meeting or any adjournments that take place.</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virtual 2022 Annual Meeting online via live audio-only webcast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 Whether or not you plan to attend the 2022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please vote as soon as possible. You may vote over the internet, by a toll-free telephone number, or by mailing a complete, signed and dated proxy card or voting instruction card in the envelope provided. Please note that any stockholder attending the 2022 Annual Meeting may vote online at the 2022 Annual Meeting, even if the stockholder has already voted over the internet or by phone or returned a proxy card or voting instruction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director nominees named in Proposal</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1 of the proxy statement,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amendment to our Amended and Restated Certificate of Incorporation to</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a reverse stock split as described in Proposal No. 2 of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binding, advisory basis, of the Say-On-Pay proposal as described in Proposal No. 3 of the proxy statement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Ernst &amp; Young LLP as our independent registered public accounting</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firm as described in Proposal No. 4 of the proxy statement.</w:t>
      </w:r>
    </w:p>
    <w:p>
      <w:pPr>
        <w:spacing w:after="0" w:line="1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27"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8"/>
          <w:szCs w:val="18"/>
          <w:color w:val="auto"/>
        </w:rPr>
        <w:t>April</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1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QUESTIONS AND ANSWERS REGARDING THE PROXY MATERIALS AND THE VOTING</w:t>
              </w:r>
            </w:hyperlink>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9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PROCESS</w:t>
              </w:r>
            </w:hyperlink>
          </w:p>
        </w:tc>
        <w:tc>
          <w:tcPr>
            <w:tcW w:w="1020" w:type="dxa"/>
            <w:vAlign w:val="bottom"/>
            <w:tcBorders>
              <w:top w:val="single" w:sz="8" w:color="CCEEFF"/>
            </w:tcBorders>
            <w:gridSpan w:val="5"/>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PROPOSAL NO. 1 ELECTION OF DIRECTORS</w:t>
              </w:r>
            </w:hyperlink>
          </w:p>
        </w:tc>
        <w:tc>
          <w:tcPr>
            <w:tcW w:w="3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7</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660" w:type="dxa"/>
            <w:vAlign w:val="bottom"/>
            <w:tcBorders>
              <w:bottom w:val="single" w:sz="8" w:color="0000EE"/>
            </w:tcBorders>
            <w:gridSpan w:val="22"/>
            <w:shd w:val="clear" w:color="auto" w:fill="CCEEFF"/>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PROPOSAL NO. 2 TO GRANT THE BOARD AUTHORITY TO EFFECT A REVERSE STOCK SPLIT</w:t>
              </w:r>
            </w:hyperlink>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OF OUR AUTHORIZED COMMON STOCK AND ISSUED AND OUTSTANDING COMMON</w:t>
              </w:r>
            </w:hyperlink>
          </w:p>
        </w:tc>
        <w:tc>
          <w:tcPr>
            <w:tcW w:w="84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STOCK BY AMENDING OUR AMENDED AND RESTATED CERTIFICATE OF INCORPORATION</w:t>
              </w:r>
            </w:hyperlink>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56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BY SEPTEMBER 15, 2022 AND WITHIN A RANGE OF NOT LESS THAN 1-FOR-2 AND NOT</w:t>
              </w:r>
            </w:hyperlink>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MORE THAN 1-FOR-10, IF THE BOARD DEEMS IT WITHIN THE COMPANY’S BEST</w:t>
              </w:r>
            </w:hyperlink>
          </w:p>
        </w:tc>
        <w:tc>
          <w:tcPr>
            <w:tcW w:w="720" w:type="dxa"/>
            <w:vAlign w:val="bottom"/>
            <w:tcBorders>
              <w:top w:val="single" w:sz="8" w:color="CCEEFF"/>
            </w:tcBorders>
            <w:gridSpan w:val="3"/>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7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INTERESTS</w:t>
              </w:r>
            </w:hyperlink>
          </w:p>
        </w:tc>
        <w:tc>
          <w:tcPr>
            <w:tcW w:w="1240" w:type="dxa"/>
            <w:vAlign w:val="bottom"/>
            <w:tcBorders>
              <w:top w:val="single" w:sz="8" w:color="CCEEFF"/>
            </w:tcBorders>
            <w:gridSpan w:val="6"/>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10</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5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PROPOSAL NO. 3 ADVISORY VOTE TO APPROVE NAMED EXECUTIVE OFFICER</w:t>
              </w:r>
            </w:hyperlink>
          </w:p>
        </w:tc>
        <w:tc>
          <w:tcPr>
            <w:tcW w:w="1540" w:type="dxa"/>
            <w:vAlign w:val="bottom"/>
            <w:gridSpan w:val="8"/>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3"/>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COMPENSATION</w:t>
              </w:r>
            </w:hyperlink>
          </w:p>
        </w:tc>
        <w:tc>
          <w:tcPr>
            <w:tcW w:w="300" w:type="dxa"/>
            <w:vAlign w:val="bottom"/>
            <w:gridSpan w:val="3"/>
          </w:tcPr>
          <w:p>
            <w:pPr>
              <w:jc w:val="right"/>
              <w:ind w:right="2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17</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PROPOSAL NO. 4. RATIFICATION OF SELECTION OF INDEPENDENT REGISTERED PUBLIC</w:t>
              </w:r>
            </w:hyperlink>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22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ACCOUNTING FIRM</w:t>
              </w:r>
            </w:hyperlink>
          </w:p>
        </w:tc>
        <w:tc>
          <w:tcPr>
            <w:tcW w:w="72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18</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REPORT OF THE AUDIT COMMITTEE OF THE BOARD OF DIRECTORS</w:t>
              </w:r>
            </w:hyperlink>
          </w:p>
        </w:tc>
        <w:tc>
          <w:tcPr>
            <w:tcW w:w="3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19</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CORPORATE GOVERNANCE</w:t>
              </w:r>
            </w:hyperlink>
          </w:p>
        </w:tc>
        <w:tc>
          <w:tcPr>
            <w:tcW w:w="300" w:type="dxa"/>
            <w:vAlign w:val="bottom"/>
            <w:tcBorders>
              <w:right w:val="single" w:sz="8" w:color="CCEEFF"/>
            </w:tcBorders>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CERTAIN RELATIONSHIPS AND RELATED PARTY TRANSACTIONS</w:t>
              </w:r>
            </w:hyperlink>
          </w:p>
        </w:tc>
        <w:tc>
          <w:tcPr>
            <w:tcW w:w="3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25</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NON-EMPLOYEE DIRECTOR COMPENSATION</w:t>
              </w:r>
            </w:hyperlink>
          </w:p>
        </w:tc>
        <w:tc>
          <w:tcPr>
            <w:tcW w:w="300" w:type="dxa"/>
            <w:vAlign w:val="bottom"/>
            <w:tcBorders>
              <w:right w:val="single" w:sz="8" w:color="CCEEFF"/>
            </w:tcBorders>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EXECUTIVE OFFICERS</w:t>
              </w:r>
            </w:hyperlink>
          </w:p>
        </w:tc>
        <w:tc>
          <w:tcPr>
            <w:tcW w:w="3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COMPENSATION DISCUSSION AND ANALYSIS</w:t>
              </w:r>
            </w:hyperlink>
          </w:p>
        </w:tc>
        <w:tc>
          <w:tcPr>
            <w:tcW w:w="300" w:type="dxa"/>
            <w:vAlign w:val="bottom"/>
            <w:tcBorders>
              <w:right w:val="single" w:sz="8" w:color="CCEEFF"/>
            </w:tcBorders>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30</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SECURITY OWNERSHIP OF CERTAIN BENEFICIAL OWNERS AND MANAGEMENT</w:t>
              </w:r>
            </w:hyperlink>
          </w:p>
        </w:tc>
        <w:tc>
          <w:tcPr>
            <w:tcW w:w="3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SECTION 16(a) BENEFICIAL OWNERSHIP REPORTING COMPLIANCE</w:t>
              </w:r>
            </w:hyperlink>
          </w:p>
        </w:tc>
        <w:tc>
          <w:tcPr>
            <w:tcW w:w="300" w:type="dxa"/>
            <w:vAlign w:val="bottom"/>
            <w:tcBorders>
              <w:right w:val="single" w:sz="8" w:color="CCEEFF"/>
            </w:tcBorders>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ADDITIONAL INFORMATION</w:t>
              </w:r>
            </w:hyperlink>
          </w:p>
        </w:tc>
        <w:tc>
          <w:tcPr>
            <w:tcW w:w="30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APPENDIX A</w:t>
              </w:r>
            </w:hyperlink>
          </w:p>
        </w:tc>
        <w:tc>
          <w:tcPr>
            <w:tcW w:w="300" w:type="dxa"/>
            <w:vAlign w:val="bottom"/>
            <w:tcBorders>
              <w:right w:val="single" w:sz="8" w:color="CCEEFF"/>
            </w:tcBorders>
            <w:gridSpan w:val="3"/>
            <w:shd w:val="clear" w:color="auto" w:fill="CCEEFF"/>
          </w:tcPr>
          <w:p>
            <w:pPr>
              <w:jc w:val="right"/>
              <w:ind w:right="20"/>
              <w:spacing w:after="0"/>
              <w:rPr>
                <w:rFonts w:ascii="Times New Roman" w:cs="Times New Roman" w:eastAsia="Times New Roman" w:hAnsi="Times New Roman"/>
                <w:sz w:val="18"/>
                <w:szCs w:val="18"/>
                <w:color w:val="0000EE"/>
                <w:w w:val="92"/>
              </w:rPr>
            </w:pPr>
            <w:hyperlink w:anchor="page51">
              <w:r>
                <w:rPr>
                  <w:rFonts w:ascii="Times New Roman" w:cs="Times New Roman" w:eastAsia="Times New Roman" w:hAnsi="Times New Roman"/>
                  <w:sz w:val="18"/>
                  <w:szCs w:val="18"/>
                  <w:color w:val="0000EE"/>
                  <w:w w:val="92"/>
                </w:rPr>
                <w:t>A-1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-4319905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 w:name="page5"/>
    <w:bookmarkEnd w:id="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400 Fifth Avenue, Suite 210</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15,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15, 2022</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and our 2021 Annual Report to Stockholders, which includes our Annual Report on Form 10-K for the fiscal year ended December 31, 2021 are available on our website at www.ardelyx.com and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proxy statement the terms “Ardelyx,” “we,” “us,” “our” and “the Company” refer to Ardelyx, Inc.</w:t>
      </w:r>
    </w:p>
    <w:p>
      <w:pPr>
        <w:spacing w:after="0" w:line="158" w:lineRule="exact"/>
        <w:rPr>
          <w:sz w:val="20"/>
          <w:szCs w:val="20"/>
          <w:color w:val="auto"/>
        </w:rPr>
      </w:pPr>
    </w:p>
    <w:p>
      <w:pPr>
        <w:ind w:left="300" w:right="399"/>
        <w:spacing w:after="0" w:line="393" w:lineRule="auto"/>
        <w:rPr>
          <w:sz w:val="20"/>
          <w:szCs w:val="20"/>
          <w:color w:val="auto"/>
        </w:rPr>
      </w:pPr>
      <w:r>
        <w:rPr>
          <w:rFonts w:ascii="Times New Roman" w:cs="Times New Roman" w:eastAsia="Times New Roman" w:hAnsi="Times New Roman"/>
          <w:sz w:val="18"/>
          <w:szCs w:val="18"/>
          <w:b w:val="1"/>
          <w:bCs w:val="1"/>
          <w:color w:val="auto"/>
        </w:rPr>
        <w:t>QUESTIONS AND ANSWERS REGARDING THE PROXY MATERIALS AND THE VOTING PROCESS Why am I receiving these proxy materials?</w:t>
      </w:r>
    </w:p>
    <w:p>
      <w:pPr>
        <w:spacing w:after="0" w:line="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We have delivered paper proxy materials to you, because the board of directors of Ardelyx is soliciting your proxy to vote at the 2022 Annual Meeting of Stockholders, or the 2022 Annual Meeting, or any adjournments that take place. The 2022 Annual Meeting will be held online on June 15, 2022 at 11:30 a.m. Eastern Time via live audio-only webcast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 As a stockholder, you are invited to attend the 2022 Annual Meeting online and are requested to vote on the proposals described in this proxy statement. However, you do not need to attend the 2022 Annual Meeting to vote.</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includes information regarding the proposals to be voted on at the</w:t>
      </w:r>
    </w:p>
    <w:p>
      <w:pPr>
        <w:spacing w:after="0" w:line="27" w:lineRule="exact"/>
        <w:rPr>
          <w:rFonts w:ascii="Times New Roman" w:cs="Times New Roman" w:eastAsia="Times New Roman" w:hAnsi="Times New Roman"/>
          <w:sz w:val="18"/>
          <w:szCs w:val="18"/>
          <w:color w:val="auto"/>
        </w:rPr>
      </w:pPr>
    </w:p>
    <w:p>
      <w:pPr>
        <w:ind w:left="100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Annual Meeting, the voting process, corporate governance, the compensation of our directors and certain executive officers, and other required information;</w:t>
      </w:r>
    </w:p>
    <w:p>
      <w:pPr>
        <w:spacing w:after="0" w:line="7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2021 Annual Report to Stockholders, which includes our Annual Report on Form 10-K for the fiscal year ended December 31, 2021;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a voting instruction card for the 2022 Annual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materials are being mailed on or about May 5, 2022, and are available at www.ardelyx.com.</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2022 Annual Meeting?</w:t>
      </w:r>
    </w:p>
    <w:p>
      <w:pPr>
        <w:spacing w:after="0" w:line="121"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25, 2022 will be entitled to vote at the 2022 Annual Meeting. On this record date, there were [ ] shares of common stock outstanding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-48260</wp:posOffset>
            </wp:positionV>
            <wp:extent cx="228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at the close of business on April 25, 2022, your shares were registered directly in your name with our transfer agent, American Stock Transfer &amp; Trust Company, LLC, then you are a stockholder of record. As a stockholder of record, you may vote online at the 2022 Annual Meeting or vote by proxy. Whether or not you plan to attend the 2022 Annual Meeting, please vote as soon as possible by internet, telephone or by mail as instructed below to ensure your vote is counted.</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If, at the close of business on April 25, 2022,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holding your account is considered to be the stockholder of record for purposes of voting at the 2022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2022 Annual Meeting, you must obtain a valid proxy from your broker or other agent. Follow the instructions from your broker or other agent included with these proxy materials, or contact your broker or bank to request a proxy form. In order to login to the online 2022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are scheduled for a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four proposals scheduled for a vote at the 2022 Annual Meeting:</w:t>
      </w:r>
    </w:p>
    <w:p>
      <w:pPr>
        <w:spacing w:after="0" w:line="117" w:lineRule="exact"/>
        <w:rPr>
          <w:sz w:val="20"/>
          <w:szCs w:val="20"/>
          <w:color w:val="auto"/>
        </w:rPr>
      </w:pPr>
    </w:p>
    <w:p>
      <w:pPr>
        <w:ind w:left="1000" w:right="10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three Class II directors to hold office until the 2025 Annual Meeting of Stockholders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the amendment to our Amended and Restated Certificate of Incorporation to effect a reverse stock split;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on a non-binding, advisory basis, the compensation of our named executive officers as disclosed in this proxy statement pursuant to the compensation disclosure rules of the Securities and Exchange Commission (“Say-on-Pay”);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ratify the selection, by the Audit Committee of our Board of Directors, of Ernst &amp; Young LLP as the independent registered public accounting firm of the Company for the fiscal year ending December 31,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7"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8"/>
          <w:szCs w:val="18"/>
          <w:color w:val="auto"/>
        </w:rPr>
        <w:t>For Proposal No. 1,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nominees to the board of directors or you may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your vote for any nominee you specify. For Proposals No. 2, No. 3 and No. 4,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you may abstain from voting.</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at the virtual 2022 Annual Meeting or vote by internet, telephone or by mail. Whether or not you plan to attend the 2022 Annual Meeting online, please vote as soon as possible to ensure your vote is counted. You may still attend the 2022 Annual Meeting online and vote online even if you have already voted by proxy.</w:t>
      </w:r>
    </w:p>
    <w:p>
      <w:pPr>
        <w:spacing w:after="0" w:line="68" w:lineRule="exact"/>
        <w:rPr>
          <w:sz w:val="20"/>
          <w:szCs w:val="20"/>
          <w:color w:val="auto"/>
        </w:rPr>
      </w:pPr>
    </w:p>
    <w:p>
      <w:pPr>
        <w:ind w:left="1000" w:right="579" w:hanging="348"/>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Attending the 2022 Annual Meeting Online. </w:t>
      </w:r>
      <w:r>
        <w:rPr>
          <w:rFonts w:ascii="Times New Roman" w:cs="Times New Roman" w:eastAsia="Times New Roman" w:hAnsi="Times New Roman"/>
          <w:sz w:val="18"/>
          <w:szCs w:val="18"/>
          <w:color w:val="auto"/>
        </w:rPr>
        <w:t>You may vote online at the 2022 Annual Meeting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attending the 2022 Annual Meeting online via live audio-only webcast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vote by proxy by internet or telephone. </w:t>
      </w:r>
      <w:r>
        <w:rPr>
          <w:rFonts w:ascii="Times New Roman" w:cs="Times New Roman" w:eastAsia="Times New Roman" w:hAnsi="Times New Roman"/>
          <w:sz w:val="18"/>
          <w:szCs w:val="18"/>
          <w:color w:val="auto"/>
        </w:rPr>
        <w:t>You may submit your proxy by following the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with your proxy materials and on your proxy card or voting instruction card.</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vote by proxy by mail. </w:t>
      </w:r>
      <w:r>
        <w:rPr>
          <w:rFonts w:ascii="Times New Roman" w:cs="Times New Roman" w:eastAsia="Times New Roman" w:hAnsi="Times New Roman"/>
          <w:sz w:val="18"/>
          <w:szCs w:val="18"/>
          <w:color w:val="auto"/>
        </w:rPr>
        <w:t>You may submit your proxy by mail by completing and signing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and mailing it in the enclosed envelope. Your shares will be voted as you have instructed.</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121" w:lineRule="exact"/>
        <w:rPr>
          <w:sz w:val="20"/>
          <w:szCs w:val="20"/>
          <w:color w:val="auto"/>
        </w:rPr>
      </w:pPr>
    </w:p>
    <w:p>
      <w:pPr>
        <w:ind w:left="300" w:right="619"/>
        <w:spacing w:after="0" w:line="289"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Alternatively, you may vote by internet or telephone as instructed by your broker or other agent. To vote online at the 2022 Annual Meeting, you must obtain a valid proxy from your broker or other agent. Follow the instructions from your broker or other agent included with these proxy materials, or contact your broker or bank to request a proxy form.</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the Company’s common stock you owned as of April 25, 2022.</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any voting selections,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nominee for director (Proposal No.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to our Amended and Restated Certificate of Incorporation to effect a reverse stock split (Proposal No.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the Say-On-Pay proposal (Proposal No.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Ernst &amp; Young LLP as the independent registered public accounting firm of the Company for the fiscal year ending December 31, 2022 (Proposal No. 4). If any other matter is properly presented at the 2022 Annual Meeting, your proxyholder (one of the individuals named on your proxy card) will vote your shares using his or her best judgment.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MacKenzie Partners, Inc. (“MacKenzie”) as the proxy solicitor for the Annual Meeting for an approximate fee of $17,500 plus fees for additional services, if needed. We have also agreed to reimburse MacKenzie for its reasonable out of pocket expenses.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In order to vote all the shares you own, you must return each proxy card.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2022 Annual Meeting. If you are the stockholder of record of your shares, you may revoke your proxy in any one of three ways:</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bearing a date later than the date of the original proxy.</w:t>
      </w:r>
    </w:p>
    <w:p>
      <w:pPr>
        <w:spacing w:after="0" w:line="128" w:lineRule="exact"/>
        <w:rPr>
          <w:rFonts w:ascii="Times New Roman" w:cs="Times New Roman" w:eastAsia="Times New Roman" w:hAnsi="Times New Roman"/>
          <w:sz w:val="17"/>
          <w:szCs w:val="17"/>
          <w:color w:val="auto"/>
        </w:rPr>
      </w:pPr>
    </w:p>
    <w:p>
      <w:pPr>
        <w:ind w:left="1000" w:right="43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6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virtual 2022 Annual Meeting and vote online. Simply attending the 2022 Annual Meeting online will not, by itself, revoke your proxy.</w:t>
      </w:r>
    </w:p>
    <w:p>
      <w:pPr>
        <w:spacing w:after="0" w:line="54"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by your broker or other agent, you should follow the instructions provided by your broker or agent to change your vote.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19"/>
        <w:spacing w:after="0" w:line="257"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in attendance at the virtual 2022 Annual Meeting. On the record date, there were [ ] shares outstanding and entitled to vote. Accordingly, the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-24130</wp:posOffset>
            </wp:positionV>
            <wp:extent cx="2286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300" w:right="319" w:hanging="8"/>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must be present at the 2022 Annual Meeting to have a quorum. Your shares will be counted toward the quorum at the 2022 Annual Meeting only if you vote online at the meeting, or you submit a valid proxy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-172720</wp:posOffset>
            </wp:positionV>
            <wp:extent cx="228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2022 Annual Meeting to another date.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17"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color w:val="auto"/>
        </w:rPr>
        <w:t>With respect to the election of directors (Proposal 1),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authority to vote for each of the nominees for the Board. If you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72"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With respect to the amendment to our Amended and Restated Certificate of Incorporation to effect a reverse stock split (Proposal 2),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If you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with respect to this proposal, your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Broker non-votes, if any,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68" w:lineRule="exact"/>
        <w:rPr>
          <w:sz w:val="20"/>
          <w:szCs w:val="20"/>
          <w:color w:val="auto"/>
        </w:rPr>
      </w:pPr>
    </w:p>
    <w:p>
      <w:pPr>
        <w:jc w:val="both"/>
        <w:ind w:left="300" w:right="419"/>
        <w:spacing w:after="0" w:line="268" w:lineRule="auto"/>
        <w:rPr>
          <w:sz w:val="20"/>
          <w:szCs w:val="20"/>
          <w:color w:val="auto"/>
        </w:rPr>
      </w:pPr>
      <w:r>
        <w:rPr>
          <w:rFonts w:ascii="Times New Roman" w:cs="Times New Roman" w:eastAsia="Times New Roman" w:hAnsi="Times New Roman"/>
          <w:sz w:val="18"/>
          <w:szCs w:val="18"/>
          <w:color w:val="auto"/>
        </w:rPr>
        <w:t>With respect to the Say-On-Pay proposal (Proposal 3),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If you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with respect to this proposal, your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Broker non-votes will have no effect on the vote for this proposal.</w:t>
      </w:r>
    </w:p>
    <w:p>
      <w:pPr>
        <w:spacing w:after="0" w:line="67"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Ernst &amp; Young LLP as of our independent registered public accounting firm for the year ending December 31, 2022 (Proposal 4),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Absentions and broker non-votes will have no effect on the vote for this proposal.</w:t>
      </w:r>
    </w:p>
    <w:p>
      <w:pPr>
        <w:spacing w:after="0" w:line="68"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Votes will be counted by the Inspector of Elections appointed for the 2022 Annual Meeting. The Inspector of Elections will separately count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for the election of directors (Proposal 1),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if any, broker non-votes for the approval, of the amendment to our Amended and Restated Certificate of Incorporation to effect a reverse stock split (Proposal 2),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if any, broker non-votes for the approval, on a non-binding, advisory basis, of the Say-On-Pay (Proposal 3)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if any, broker non-votes for the ratification of the selection of Ernst</w:t>
      </w:r>
    </w:p>
    <w:p>
      <w:pPr>
        <w:spacing w:after="0" w:line="5" w:lineRule="exact"/>
        <w:rPr>
          <w:sz w:val="20"/>
          <w:szCs w:val="20"/>
          <w:color w:val="auto"/>
        </w:rPr>
      </w:pPr>
    </w:p>
    <w:p>
      <w:pPr>
        <w:ind w:left="300" w:right="1339" w:hanging="8"/>
        <w:spacing w:after="0" w:line="260" w:lineRule="auto"/>
        <w:tabs>
          <w:tab w:leader="none" w:pos="4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LLP as the independent registered accounting firm of the Company for the fiscal year ending December 31, 2022 (Proposal 4).</w:t>
      </w:r>
    </w:p>
    <w:p>
      <w:pPr>
        <w:spacing w:after="0" w:line="73"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and Proposal No. 3 to approve the Say-On-Pay are both “non-routine” matters, but Proposal No. 2 to approve the amendment to our Amended and Restated Certificate of Incorporation to effect a reverse stock split and Proposal No. 4 to ratify the selection of Ernst &amp; Young LLP as the independent registered public accounting firm for the Company for the fiscal year ending December 31, 2022 are both “routine” matters.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000" w:right="379" w:hanging="348"/>
        <w:spacing w:after="0" w:line="25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three Class I directors to hold office until the 2025 Annual Meeting of Stockholders and until their successors are elected and qualified. Directors shall be elected by a plurality of the votes cast, which means that the three nominees receiving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votes of shares present in attendance or represented by proxy and entitled to vote on the election of directors will be elected.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votes and broker non-votes will not be counted towards the vote total for this proposal.</w:t>
      </w:r>
    </w:p>
    <w:p>
      <w:pPr>
        <w:spacing w:after="0" w:line="79" w:lineRule="exact"/>
        <w:rPr>
          <w:rFonts w:ascii="Times New Roman" w:cs="Times New Roman" w:eastAsia="Times New Roman" w:hAnsi="Times New Roman"/>
          <w:sz w:val="18"/>
          <w:szCs w:val="18"/>
          <w:color w:val="auto"/>
        </w:rPr>
      </w:pPr>
    </w:p>
    <w:p>
      <w:pPr>
        <w:ind w:left="1000" w:right="419" w:hanging="348"/>
        <w:spacing w:after="0" w:line="253"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grant our Board of Directors authority to effect a reverse stock split of our authorized common stock and issued and outstanding common stock by amending our Amended and Restated Certificate of Incorporation by September 15, 2022 and within a range of not less than 1-for-2 and not more than 1-for-10, if our Board of Directors deems it within our best interests. The approval of the amendment to our Amended and Restated Certificate of Incorporation to effect a reverse stock split requires the affirmative vote of the holders of a majority of the outstanding shares of common stock entitled to vote at the meeting. Abstentions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Because Proposal No. 2 is considered a “routine” matter, no broker non-votes are expected in connection with this proposal. Any broker non-votes on the proposal to approve the amendment of our Amended and Restated Certificate of Incorporation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w:t>
      </w:r>
    </w:p>
    <w:p>
      <w:pPr>
        <w:spacing w:after="0" w:line="86" w:lineRule="exact"/>
        <w:rPr>
          <w:rFonts w:ascii="Times New Roman" w:cs="Times New Roman" w:eastAsia="Times New Roman" w:hAnsi="Times New Roman"/>
          <w:sz w:val="18"/>
          <w:szCs w:val="18"/>
          <w:color w:val="auto"/>
        </w:rPr>
      </w:pPr>
    </w:p>
    <w:p>
      <w:pPr>
        <w:ind w:left="1000" w:right="499" w:hanging="348"/>
        <w:spacing w:after="0" w:line="277"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3 — To approve, on a non-binding, advisory basis, the Say-On-Pay proposal. The Say-On-Pay proposal requires the affirmative vote of the majority of the votes cast, which means the number of shares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proposal must exceed the number of shares voted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such proposal. Abstentions have the same effect as a vote “AGAINST” such proposal. Broker non-votes are not considered votes cast for the foregoing purpose, and will have no effect on the vote for this proposal.</w:t>
      </w:r>
    </w:p>
    <w:p>
      <w:pPr>
        <w:spacing w:after="0" w:line="59" w:lineRule="exact"/>
        <w:rPr>
          <w:rFonts w:ascii="Times New Roman" w:cs="Times New Roman" w:eastAsia="Times New Roman" w:hAnsi="Times New Roman"/>
          <w:sz w:val="17"/>
          <w:szCs w:val="17"/>
          <w:color w:val="auto"/>
        </w:rPr>
      </w:pPr>
    </w:p>
    <w:p>
      <w:pPr>
        <w:ind w:left="1020" w:right="53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Because the vote on Proposal No. 3 is advisory, it will not be binding on the Board of Directors, the compensation committee of the Board of Directors or the Company. With respect to Proposal No. 3, the Board of Directors will review the voting results and take them into consideration when making future decisions about executive compensation.</w:t>
      </w:r>
    </w:p>
    <w:p>
      <w:pPr>
        <w:spacing w:after="0" w:line="71" w:lineRule="exact"/>
        <w:rPr>
          <w:rFonts w:ascii="Times New Roman" w:cs="Times New Roman" w:eastAsia="Times New Roman" w:hAnsi="Times New Roman"/>
          <w:sz w:val="17"/>
          <w:szCs w:val="17"/>
          <w:color w:val="auto"/>
        </w:rPr>
      </w:pPr>
    </w:p>
    <w:p>
      <w:pPr>
        <w:ind w:left="1000" w:right="359" w:hanging="348"/>
        <w:spacing w:after="0" w:line="254"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ratify the selection of Ernst &amp; Young LLP as the independent registered public accounting firm of the Company for the fiscal year ending December 31, 2022. The ratification of Ernst &amp; Young LLP as our independent registered public accounting firm for the year ending December 31, 2022 requires the affirmative vote of the majority of the votes cast, which means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must exceed the number of shares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Abstentions and broker non-votes are not considered votes cast for the foregoing purpose, and will have no effect on the vote for this proposal. Because Proposal No. 4 is considered a “routine” matter, no broker non-votes are expected in connection with this proposal.</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121"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 xml:space="preserve">This year’s Annual Meeting will be held entirely online. Stockholders of record as of April 25, 2022 will be able to attend and participate in the 2022 Annual Meeting online via live audio-only webcast at </w:t>
      </w:r>
      <w:r>
        <w:rPr>
          <w:rFonts w:ascii="Times New Roman" w:cs="Times New Roman" w:eastAsia="Times New Roman" w:hAnsi="Times New Roman"/>
          <w:sz w:val="17"/>
          <w:szCs w:val="17"/>
          <w:i w:val="1"/>
          <w:iCs w:val="1"/>
          <w:color w:val="auto"/>
        </w:rPr>
        <w:t>www.virtualshareholdermeeting.com/ARDX2022</w:t>
      </w:r>
      <w:r>
        <w:rPr>
          <w:rFonts w:ascii="Times New Roman" w:cs="Times New Roman" w:eastAsia="Times New Roman" w:hAnsi="Times New Roman"/>
          <w:sz w:val="17"/>
          <w:szCs w:val="17"/>
          <w:color w:val="auto"/>
        </w:rPr>
        <w:t>. You will be able to vote your shares electronically by Internet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w:t>
      </w:r>
    </w:p>
    <w:p>
      <w:pPr>
        <w:spacing w:after="0" w:line="65"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Even if you plan to attend the 2022 Annual Meeting online, we recommend that you also vote by proxy as described herein so that your vote will be counted if you decide not to attend the 2022 Annual Meeting.</w:t>
      </w:r>
    </w:p>
    <w:p>
      <w:pPr>
        <w:spacing w:after="0" w:line="50" w:lineRule="exact"/>
        <w:rPr>
          <w:sz w:val="20"/>
          <w:szCs w:val="20"/>
          <w:color w:val="auto"/>
        </w:rPr>
      </w:pPr>
    </w:p>
    <w:p>
      <w:pPr>
        <w:jc w:val="both"/>
        <w:ind w:left="300" w:right="3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Access to the Audio Webcast of the 2022 Annual Meeting. </w:t>
      </w:r>
      <w:r>
        <w:rPr>
          <w:rFonts w:ascii="Times New Roman" w:cs="Times New Roman" w:eastAsia="Times New Roman" w:hAnsi="Times New Roman"/>
          <w:sz w:val="17"/>
          <w:szCs w:val="17"/>
          <w:color w:val="auto"/>
        </w:rPr>
        <w:t>The live audio webcast of the 2022 Annual Meeting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 promptly at 11:30 a.m. Eastern Time. Online check-in will begin at 11:15 a.m. Eastern Time and should allow ample time for the check-in procedures. We encourage our stockholders to access the meeting prior to the start time.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6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Log in Instructions. </w:t>
      </w:r>
      <w:r>
        <w:rPr>
          <w:rFonts w:ascii="Times New Roman" w:cs="Times New Roman" w:eastAsia="Times New Roman" w:hAnsi="Times New Roman"/>
          <w:sz w:val="17"/>
          <w:szCs w:val="17"/>
          <w:color w:val="auto"/>
        </w:rPr>
        <w:t>To attend the online 2022 Annual Meeting, you will need to login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www.virtualshareholdermeeting.com/ARDX2022</w:t>
      </w:r>
      <w:r>
        <w:rPr>
          <w:rFonts w:ascii="Times New Roman" w:cs="Times New Roman" w:eastAsia="Times New Roman" w:hAnsi="Times New Roman"/>
          <w:sz w:val="17"/>
          <w:szCs w:val="17"/>
          <w:color w:val="auto"/>
        </w:rPr>
        <w:t>. To attend the 2022 Annual Meeting, you will need the 16-digit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number included in on your proxy card or on the instructions that accompanied your proxy materials.</w:t>
      </w:r>
    </w:p>
    <w:p>
      <w:pPr>
        <w:spacing w:after="0" w:line="45" w:lineRule="exact"/>
        <w:rPr>
          <w:sz w:val="20"/>
          <w:szCs w:val="20"/>
          <w:color w:val="auto"/>
        </w:rPr>
      </w:pPr>
    </w:p>
    <w:p>
      <w:pPr>
        <w:ind w:left="30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You may vote online during the 2022 Annual Meeting. </w:t>
      </w:r>
      <w:r>
        <w:rPr>
          <w:rFonts w:ascii="Times New Roman" w:cs="Times New Roman" w:eastAsia="Times New Roman" w:hAnsi="Times New Roman"/>
          <w:sz w:val="18"/>
          <w:szCs w:val="18"/>
          <w:color w:val="auto"/>
        </w:rPr>
        <w:t>To do so, go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www.virtualshareholder.com/ARDX2022 </w:t>
      </w:r>
      <w:r>
        <w:rPr>
          <w:rFonts w:ascii="Times New Roman" w:cs="Times New Roman" w:eastAsia="Times New Roman" w:hAnsi="Times New Roman"/>
          <w:sz w:val="18"/>
          <w:szCs w:val="18"/>
          <w:color w:val="auto"/>
        </w:rPr>
        <w:t>and have available the 16-digit control number included on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on the instructions that accompanied your proxy materials.</w:t>
      </w:r>
    </w:p>
    <w:p>
      <w:pPr>
        <w:spacing w:after="0" w:line="63"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Submitting Questions During the virtual 2022 Annual Meeting. </w:t>
      </w:r>
      <w:r>
        <w:rPr>
          <w:rFonts w:ascii="Times New Roman" w:cs="Times New Roman" w:eastAsia="Times New Roman" w:hAnsi="Times New Roman"/>
          <w:sz w:val="18"/>
          <w:szCs w:val="18"/>
          <w:color w:val="auto"/>
        </w:rPr>
        <w:t>During the 2022 Annual Meeting, you will be 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submit questions in the question box provided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 We will respond to as many inquiries at the 2022 Annual Meeting as time allows.</w:t>
      </w:r>
    </w:p>
    <w:p>
      <w:pPr>
        <w:spacing w:after="0" w:line="63" w:lineRule="exact"/>
        <w:rPr>
          <w:sz w:val="20"/>
          <w:szCs w:val="20"/>
          <w:color w:val="auto"/>
        </w:rPr>
      </w:pPr>
    </w:p>
    <w:p>
      <w:pPr>
        <w:ind w:left="300" w:right="3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Assistance. </w:t>
      </w:r>
      <w:r>
        <w:rPr>
          <w:rFonts w:ascii="Times New Roman" w:cs="Times New Roman" w:eastAsia="Times New Roman" w:hAnsi="Times New Roman"/>
          <w:sz w:val="18"/>
          <w:szCs w:val="18"/>
          <w:color w:val="auto"/>
        </w:rPr>
        <w:t>Beginning 15 minutes prior to the start of and during the virtual 2022 Annual Meeting,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have a support team ready to assist stockholders with any technical difficulties they may have accessing or hearing the virtual meeting. If you encounter difficulties accessing the virtual 2022 Annual Meeting during check-in or meeting time, please call the technical support number that will be posted on the 2022 Annual Meeting website log-in page.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2022 Annual Meeting?</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We will disclose final voting results in a Current Report on Form 8-K filed with the SEC within four business days after the 2022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the proxy materials for the 2023 Annual Meeting of Stockholders, your proposal must be submitted in writing by December 30, 2022, to the Company’s Corporate Secretary at Ardelyx, Inc., 400 Fifth Avenue, Suite 210, Waltham, Massachusetts 02451. However, if the meeting is more than 30 days before or after June 15, 2023, then the deadline will be a reasonable time before we begin to print and mail our proxy materials for that meeting.</w:t>
      </w:r>
    </w:p>
    <w:p>
      <w:pPr>
        <w:spacing w:after="0" w:line="75" w:lineRule="exact"/>
        <w:rPr>
          <w:sz w:val="20"/>
          <w:szCs w:val="20"/>
          <w:color w:val="auto"/>
        </w:rPr>
      </w:pPr>
    </w:p>
    <w:p>
      <w:pPr>
        <w:ind w:left="300" w:right="319"/>
        <w:spacing w:after="0" w:line="231" w:lineRule="auto"/>
        <w:rPr>
          <w:sz w:val="20"/>
          <w:szCs w:val="20"/>
          <w:color w:val="auto"/>
        </w:rPr>
      </w:pPr>
      <w:r>
        <w:rPr>
          <w:rFonts w:ascii="Times New Roman" w:cs="Times New Roman" w:eastAsia="Times New Roman" w:hAnsi="Times New Roman"/>
          <w:sz w:val="18"/>
          <w:szCs w:val="18"/>
          <w:color w:val="auto"/>
        </w:rPr>
        <w:t>If you wish to submit a proposal before the stockholders or nominate a director at the 2023 Annual Meeting of Stockholders, but you are not requesting that your proposal or nomination be included in the proxy materials for that meeting, then you must follow the procedures set forth in our bylaws and, among other things, notify the Company’s Corporate Secretary in writing between February 15, 2023 and March 17, 2023. However, if the date of the 2023 Annual Meeting of Stockholders is more than 30 days before June 15, 2023, then you must give notice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that meeting, and if the date of the 2023 Annual Meeting of Stockholders is more than 60 days after June 15, 2023, you must give notice not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that annual meeting date is first made. You are also advised to review our bylaws, which contain additional requirements regarding advance notice of stockholder proposals and director nominations. In addition to satisfying the foregoing requirements under our bylaws, to comply with the universal proxy rules (once they become effective), stockholders who intend to solicit proxies in support of director nominees other than our nominees must provide notice that sets forth the information required by Rule 14a-19 under the Exchange Act no later than no later than 60 calendar days prior to the anniversary of the previous year's annual meeting (no later than April 16, 2023 for the 2023 Annual Meeting of Stockholders).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currently consists of nine directors and no vacancies, divided into the following three classes: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William Bertrand, Jr., Esq., Onaiza Cadoret-Manier and Jan Lundberg, Ph.D., and their terms will expire at the 2024 Annual Meeting of Stockholders;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Geoffrey A. Block, M.D., David Mott and Michael Raab, and their terms will expire at the 2022 Annual Meeting;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Robert Bazemore, Muna Bhanji, R.Ph, and Richard Rodgers, and their terms will expire at the 2023 Annual Meeting of Stockholders.</w:t>
      </w:r>
    </w:p>
    <w:p>
      <w:pPr>
        <w:spacing w:after="0" w:line="54"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Our current Class II directors, Geoffrey A. Block, M.D., David Mott and Michael Raab, have been nominated to serve as Class II directors and have agreed to stand for election. If the nominees for Class II are elected at the 2022 Annual Meeting, then each nominee will serve for a three-year term expiring at the 2025 Annual Meeting of Stockholders, and until his or her successor is elected and qualified, or until his or her earlier death, resignation or removal.</w:t>
      </w:r>
    </w:p>
    <w:p>
      <w:pPr>
        <w:spacing w:after="0" w:line="75"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three nominees for Class 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8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and discussion of the specific attributes, qualifications, experience and skills of each nominee for director and each director whose term will continue after the 2022 Annual Meeting. Our board of directors and management encourage each nominee for director and each continuing director to attend the 2022 Annual Meeting.</w:t>
      </w:r>
    </w:p>
    <w:p>
      <w:pPr>
        <w:spacing w:after="0" w:line="108"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THREE CLASS I NOMINEES FOR DIRECTOR.</w:t>
      </w:r>
    </w:p>
    <w:p>
      <w:pPr>
        <w:spacing w:after="0" w:line="47"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II NOMINEES FOR DIRECTOR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be elected for a three-year term expiring at the 2025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Meeting of Stockholders</w:t>
      </w:r>
    </w:p>
    <w:p>
      <w:pPr>
        <w:spacing w:after="0" w:line="47" w:lineRule="exact"/>
        <w:rPr>
          <w:sz w:val="20"/>
          <w:szCs w:val="20"/>
          <w:color w:val="auto"/>
        </w:rPr>
      </w:pPr>
    </w:p>
    <w:p>
      <w:pPr>
        <w:ind w:left="300" w:right="359"/>
        <w:spacing w:after="0" w:line="270" w:lineRule="auto"/>
        <w:rPr>
          <w:sz w:val="20"/>
          <w:szCs w:val="20"/>
          <w:color w:val="auto"/>
        </w:rPr>
      </w:pPr>
      <w:r>
        <w:rPr>
          <w:rFonts w:ascii="Times New Roman" w:cs="Times New Roman" w:eastAsia="Times New Roman" w:hAnsi="Times New Roman"/>
          <w:sz w:val="17"/>
          <w:szCs w:val="17"/>
          <w:b w:val="1"/>
          <w:bCs w:val="1"/>
          <w:color w:val="auto"/>
        </w:rPr>
        <w:t>Geoffrey A. Block, M.D.</w:t>
      </w:r>
      <w:r>
        <w:rPr>
          <w:rFonts w:ascii="Times New Roman" w:cs="Times New Roman" w:eastAsia="Times New Roman" w:hAnsi="Times New Roman"/>
          <w:sz w:val="17"/>
          <w:szCs w:val="17"/>
          <w:color w:val="auto"/>
        </w:rPr>
        <w:t>, age 56, was appointed to our board of directors in March 2019. Dr. Block has served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Associate Chief Medical Officer of U.S. Renal Care since February 2020. Prior to that, Dr. Block served as Vice President, Nephrology of Reata Pharmaceuticals, Inc. (Nasdaq: RETA) from January 2019 to January 2020. Prior to that, Dr. Block held a variety of positions with the Denver Nephrology Division at Colorado Kidney Care/Denver Nephrologists, most recently serving as the Director of Clinical Research from 1998 to 2018. Dr. Block served as an associate professor in medicine at the University of Colorado Health Sciences Center from 2008 to 2018. Prior to that, Dr. Block served as an attending physician at St. Joseph's Hospital and as the medical director of the DaVita-Lowry Hemodialysis Unit. Dr. Block received his M.D. from the University of Cincinnati College of Medicine and completed his fellowship in nephrology at that the University of Michigan at Ann Arbor. We believe that Dr. Block is qualified to serve on our board of directors due to his extensive experience in the field of nephrology, and his unique ability to understand the treatment options, needs and challenges for the patients we expect to serve.</w:t>
      </w:r>
    </w:p>
    <w:p>
      <w:pPr>
        <w:spacing w:after="0" w:line="65" w:lineRule="exact"/>
        <w:rPr>
          <w:sz w:val="20"/>
          <w:szCs w:val="20"/>
          <w:color w:val="auto"/>
        </w:rPr>
      </w:pPr>
    </w:p>
    <w:p>
      <w:pPr>
        <w:ind w:left="300" w:right="939"/>
        <w:spacing w:after="0" w:line="317" w:lineRule="auto"/>
        <w:rPr>
          <w:sz w:val="20"/>
          <w:szCs w:val="20"/>
          <w:color w:val="auto"/>
        </w:rPr>
      </w:pPr>
      <w:r>
        <w:rPr>
          <w:rFonts w:ascii="Times New Roman" w:cs="Times New Roman" w:eastAsia="Times New Roman" w:hAnsi="Times New Roman"/>
          <w:sz w:val="17"/>
          <w:szCs w:val="17"/>
          <w:b w:val="1"/>
          <w:bCs w:val="1"/>
          <w:color w:val="auto"/>
        </w:rPr>
        <w:t>David Mott</w:t>
      </w:r>
      <w:r>
        <w:rPr>
          <w:rFonts w:ascii="Times New Roman" w:cs="Times New Roman" w:eastAsia="Times New Roman" w:hAnsi="Times New Roman"/>
          <w:sz w:val="17"/>
          <w:szCs w:val="17"/>
          <w:color w:val="auto"/>
        </w:rPr>
        <w:t>, age 56, has served on our board of directors since March 2009 and as chairman of the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since March 2014. Mr. Mott is currently a private investor through Mott Family Capital. Mr. Mott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Chairman of the Board of Directors for Adaptimmune (Nasdaq:ADAP), Epizyme, Inc. (Nasdaq:EPZM), Imara Inc. (Nasdaq: IMRA) and Mersana Therapeutics, Inc. (Nasdaq:MRSN). In addition, Mr. Mott serves on the board of directors of Novavax, Inc. (Nasdaq: NVAX).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Michael Raab</w:t>
      </w:r>
      <w:r>
        <w:rPr>
          <w:rFonts w:ascii="Times New Roman" w:cs="Times New Roman" w:eastAsia="Times New Roman" w:hAnsi="Times New Roman"/>
          <w:sz w:val="18"/>
          <w:szCs w:val="18"/>
          <w:color w:val="auto"/>
        </w:rPr>
        <w:t>, age 57, has served as our President and Chief Executive Officer and a director since March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2002 to 2009, Mr. Raab was a partner at NEA,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Chairman of the Board of Tempest Therapeutics (Nasdaq CM: TPST).</w:t>
      </w:r>
    </w:p>
    <w:p>
      <w:pPr>
        <w:spacing w:after="0" w:line="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Mr. Raab currently serves as a member of both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continue in office until the 2023 Annual Meeting of Stockholders</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b w:val="1"/>
          <w:bCs w:val="1"/>
          <w:color w:val="auto"/>
        </w:rPr>
        <w:t>Robert Bazemore</w:t>
      </w:r>
      <w:r>
        <w:rPr>
          <w:rFonts w:ascii="Times New Roman" w:cs="Times New Roman" w:eastAsia="Times New Roman" w:hAnsi="Times New Roman"/>
          <w:sz w:val="18"/>
          <w:szCs w:val="18"/>
          <w:color w:val="auto"/>
        </w:rPr>
        <w:t>, age 54, was appointed to our board of directors in June 2016. Mr. Bazemore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and a director of Epizyme, Inc. (Nasdaq: EPZM) from September 2015 to August 2021. Prior to joining Epizyme, Mr. Bazemore served as Chief Operating Officer of Synageva BioPharma Corp., which was acquired by Alexion Pharmaceuticals (Nasdaq: ALXN) for $8.4 billion in July 2015. Prior to that, Mr. Bazemore was President of Janssen Biotech, part of the Janssen Pharmaceutical Companies of Johnson &amp; Johnson (NYSE: JNJ). Mr. Bazemore currently serves on the board of directors of Nuvation Bio, Inc.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(NYSE: NUVB). Additionally, he served on the board of directors of Neon Therapeutics, Inc. from November 2018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its acquisition by Biopharmaceuticals New Technologies, or BioNTech (Nasdaq: BNTX) in May 2020.</w:t>
      </w:r>
    </w:p>
    <w:p>
      <w:pPr>
        <w:spacing w:after="0" w:line="9"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spacing w:after="0" w:line="74" w:lineRule="exact"/>
        <w:rPr>
          <w:sz w:val="20"/>
          <w:szCs w:val="20"/>
          <w:color w:val="auto"/>
        </w:rPr>
      </w:pPr>
    </w:p>
    <w:p>
      <w:pPr>
        <w:ind w:left="300" w:right="299"/>
        <w:spacing w:after="0" w:line="271" w:lineRule="auto"/>
        <w:rPr>
          <w:sz w:val="20"/>
          <w:szCs w:val="20"/>
          <w:color w:val="auto"/>
        </w:rPr>
      </w:pPr>
      <w:r>
        <w:rPr>
          <w:rFonts w:ascii="Times New Roman" w:cs="Times New Roman" w:eastAsia="Times New Roman" w:hAnsi="Times New Roman"/>
          <w:sz w:val="17"/>
          <w:szCs w:val="17"/>
          <w:b w:val="1"/>
          <w:bCs w:val="1"/>
          <w:color w:val="auto"/>
        </w:rPr>
        <w:t>Muna Bhanji</w:t>
      </w:r>
      <w:r>
        <w:rPr>
          <w:rFonts w:ascii="Times New Roman" w:cs="Times New Roman" w:eastAsia="Times New Roman" w:hAnsi="Times New Roman"/>
          <w:sz w:val="17"/>
          <w:szCs w:val="17"/>
          <w:color w:val="auto"/>
        </w:rPr>
        <w:t>, age 59, was appointed to our board of directors in March 2021. Ms. Bhanji has served as the founder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principal of Tiba Global Access, LLC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and Corus International, an international non-governnmental organization.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Richard Rodgers</w:t>
      </w:r>
      <w:r>
        <w:rPr>
          <w:rFonts w:ascii="Times New Roman" w:cs="Times New Roman" w:eastAsia="Times New Roman" w:hAnsi="Times New Roman"/>
          <w:sz w:val="18"/>
          <w:szCs w:val="18"/>
          <w:color w:val="auto"/>
        </w:rPr>
        <w:t>, age 55, has served on our board of directors since March 2014. From March 2010 until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Mr. Rodgers was co-founder, Executive Vice President, Chief Financial Officer, Secretary and Treasurer of Tesaro, Inc., which was acquired by GlaxoSmithKline plc (LSE/NYSE: GSK)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a pharmaceutical company, in January 2008. Mr. Rodgers has held finance and accounting positions at several private and public companies, including Arthur Anderson &amp; Co. Mr. Rodgers currently serves as a director of Ocuphire Pharma, Inc. (Nasdaq: OCUP).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continue in office until the 2024 Annual Meeting of Stockholders</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color w:val="auto"/>
        </w:rPr>
        <w:t>William Bertrand, Jr. Esq.</w:t>
      </w:r>
      <w:r>
        <w:rPr>
          <w:rFonts w:ascii="Times New Roman" w:cs="Times New Roman" w:eastAsia="Times New Roman" w:hAnsi="Times New Roman"/>
          <w:sz w:val="18"/>
          <w:szCs w:val="18"/>
          <w:color w:val="auto"/>
        </w:rPr>
        <w:t>, age 57, was appointed to our board of directors in October 2015. Mr. Bertrand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Operating Officer at Adaptimmune Therapeutics Plc (Nasdaq: ADAP) since March 2017. From October 2015 to September 2016, Mr. Bertrand served as the Executive Vice President, General Counsel of Infinity Pharmaceuticals, Inc.(Nasdaq: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pursued a 12 year career at Medimmune Limited, a biotechnology company and subsidiary of AstraZeneca Plc (NYSE:AZN),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82"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b w:val="1"/>
          <w:bCs w:val="1"/>
          <w:color w:val="auto"/>
        </w:rPr>
        <w:t>Onaiza Cadoret-Manier</w:t>
      </w:r>
      <w:r>
        <w:rPr>
          <w:rFonts w:ascii="Times New Roman" w:cs="Times New Roman" w:eastAsia="Times New Roman" w:hAnsi="Times New Roman"/>
          <w:sz w:val="18"/>
          <w:szCs w:val="18"/>
          <w:color w:val="auto"/>
        </w:rPr>
        <w:t>, age 58, was appointed to our board of directors in March 2020. Ms. Cadoret-Manier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Global Product Strategy and Operations Officer at Ionis Pharmaceuticals (Nasdaq:IONS) since March 2022, and previously served as Chief Corporate Development and Commercial Officer at Ionis Pharmaceuticals from January 2020 to March 2022. Ms. Cadoret-Manier was previously the Chief Commercial Officer for Grail Biosciences, an early detection genomics company, from June 2018 until June 2019. Prior to Grail, from April 2011 until June 2018, she was Vice President of the Respiratory Franchise at Genentech. Ms. Cadoret-Manier also has held multiple senior management positions overseeing corporate strategy, alliances, and marketing and sales for numerous disease areas for Genentech, Pfizer and Amylin Pharmaceuticals. She has an MBA from the University of Chicago and a bachelor’s degree in economics and accounting from City University of New York Queens College. We believe that Ms. Cadoret-Manier is qualified to serve on our board of directors due to her extensive commercial and operational experience with life sciences companies.</w:t>
      </w:r>
    </w:p>
    <w:p>
      <w:pPr>
        <w:spacing w:after="0" w:line="7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color w:val="auto"/>
        </w:rPr>
        <w:t>Jan Lundberg, Ph.D.</w:t>
      </w:r>
      <w:r>
        <w:rPr>
          <w:rFonts w:ascii="Times New Roman" w:cs="Times New Roman" w:eastAsia="Times New Roman" w:hAnsi="Times New Roman"/>
          <w:sz w:val="18"/>
          <w:szCs w:val="18"/>
          <w:color w:val="auto"/>
        </w:rPr>
        <w:t>, age 68, was appointed to our board of directors in March 2018. Dr. Lundberg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Lilly Research Laboratories and Executive Vice President of Science and Technology for Eli Lilly and Company (NYSE: LLY) from January 2010 to March 2018. Prior to joining Lilly he served for ten years as global head of discovery research at AstraZeneca Plc (NYSE: AZN), where he was a member of the senior executive team. Dr. Lundberg also served as a professor at the Karolinska Institute’s department of pharmacology in Sweden, and was a cofounder of biotechnology company, Aerocrine. Dr. Lundberg currently serves on the board of directors of several privately held life sciences and pharmaceutical companies, including Ferring Pharmaceuticals, where he also serves as the Chairman of the Research and Development Committee. Dr. Lundberg was instrumental in the establishment of the Innovative Medicines Initiative in Europe and the Accelerating Medicines Partnership with National Institutes of Health. Dr. Lundberg received a B.S.M. in medicine from the University of Gothenberg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left="1760"/>
        <w:spacing w:after="0" w:line="253" w:lineRule="auto"/>
        <w:rPr>
          <w:sz w:val="20"/>
          <w:szCs w:val="20"/>
          <w:color w:val="auto"/>
        </w:rPr>
      </w:pPr>
      <w:r>
        <w:rPr>
          <w:rFonts w:ascii="Times New Roman" w:cs="Times New Roman" w:eastAsia="Times New Roman" w:hAnsi="Times New Roman"/>
          <w:sz w:val="18"/>
          <w:szCs w:val="18"/>
          <w:b w:val="1"/>
          <w:bCs w:val="1"/>
          <w:color w:val="auto"/>
        </w:rPr>
        <w:t>TO GRANT THE BOARD AUTHORITY TO EFFECT A REVERSE STOCK SPLIT OF OUR AUTHORIZED COMMON STOCK AND ISSUED AND OUTSTANDING COMMON STOCK BY AMENDING OUR AMENDED AND RESTATED CERTIFICATE OF INCORPORATION BY SEPTEMBER 15, 2022 AND WITHIN A RANGE OF NOT LESS THAN 1-FOR-2 AND NOT MORE THAN 1-FOR-10, IF THE BOARD DEEMS IT WITHIN THE COMPANY’S BEST INTERESTS.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Our board of directors is recommending that the stockholders approve an amendment to our Amended and Restated Certificate of Incorporation to effect a reverse stock split of our authorized common stock and issued and outstanding common stock at an exchange ratio of not less than 1 -for-2 and not more than 1-for-10 with the exact ratio to be set within this range by our Board of Directors in its sole discretion. If our board of directors decides to implement the split, it will become effective upon the filing of the amendment to the company’s certificate of incorporation with the Secretary of State of the State of Delaware. If the reverse split is implemented, the number of authorized shares of our common stock and the number of issued and outstanding shares of common stock would be reduced in accordance with the exchange ratio selected by the board or committee.</w:t>
      </w:r>
    </w:p>
    <w:p>
      <w:pPr>
        <w:spacing w:after="0" w:line="8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form of the proposed amendment to our Amended and Restated Certificate of Incorporation to effect the reverse stock split is attached to this Proxy Statement as Appendix A. Notwithstanding approval of the proposed amendment by our stockholders, our Board may, at its sole option, abandon the proposed amendment and determine prior to the effectiveness of any filing with the Secretary of State of the State of Delaware not to effect any reverse stock split, as permitted under Section 242(c) of the General Corporation Law of the State of Delaware. If our Board does not implement a reverse stock split on or prior to September 15, 2022, stockholder approval would again be required prior to implementing any reverse stock split.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Reverse Split</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Nasdaq Listing Qualifications Department notified us on February 28, 2022 that the bid price of our common stock had closed at less than $1.00 per share over the previous 30 consecutive business days, and, as a result, did not comply with Listing Rule 5550(a)(2) (“Bid Price Rule”). Therefore, in accordance with Listing Rule 5810(c)(3)(A), we were provided an initial period of 180 calendar days, or until August 27, 2022, to regain compliance. The letter states that the Nasdaq staff will provide written notification that we have achieved compliance with the Bid Price Rule if at any time before August 27, 2022, the bid price of our common stock closes at $1.00 per share or more for a minimum of ten (10) consecutive business days. As of March 30, 2022, we regained compliance with the Bid Price Rule. The closing trading price on March 30, 2022 was $1.08.</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While we intend to monitor the closing price of our common stock and consider available options depending on the trading price of our common stock, no assurance can be made that we will in fact be able to continue to comply. If an issuer’s equity security is delisted from Nasdaq, it may be forced to seek to have its equity security traded or quoted on the OTC Bulletin Board or in the “pink sheets.” Such alternatives are generally considered to be less efficient markets and not as broad as Nasdaq, and therefore less desirable. Accordingly, the delisting, or even the potential delisting, of an equity security could have a negative impact on the liquidity and market price of the equity security. As such, our Board believes that it is in the best interest of the Company and its stockholders that the Board has the ability to effect, in its discretion, the reverse stock split to improve the price level of our common stock so that we are able to maintain continued compliance with the Bid Price Rule and minimize the risk of future delisting from Nasdaq.</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primary objective in asking for the authority to effect the reverse stock split is to raise the per share trading price of our common stock. The board believes that having the ability to implement the reverse stock split would better enable us to maintain the listing of our common stock on the Nasdaq Global Market. Also, if the reverse stock split is implemented, we believe it would facilitate higher levels of institutional stock ownership, where investment policies generally prohibit investments in lower-priced securities and better enable us to raise funds to finance operations.</w:t>
      </w:r>
    </w:p>
    <w:p>
      <w:pPr>
        <w:spacing w:after="0" w:line="79"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Although the board presently intends to effect the reverse stock split to maintain compliance with the Nasdaq Global Market’s minimum bid price requirement, under Section 242(c) of the Delaware General 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Law, our board has reserved the right, notwithstanding our stockholders’ approval of the proposed amendment to our Amended and Restated Certificate of Incorporation at the Annual Meeting, to abandon the proposed amendment at any time (without further action by our stockholders) before the amendment to the Amended and Restated Certificate of Incorporation is filed with the Secretary of State of the State of Delaware.</w:t>
      </w:r>
    </w:p>
    <w:p>
      <w:pPr>
        <w:spacing w:after="0" w:line="7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Our board may consider a variety of factors in determining whether or not to proceed with the proposed amendment of the certificate of incorporation, including overall trends in the stock market, recent changes and anticipated trends in the per-share market price of our common stock, business developments and our actual and projected financial performance. If the closing bid price of our common stock on the Nasdaq Global Market remains at or above $1.00 per share, as discussed more fully below, our board of directors may decide to abandon the filing of the proposed amendment to the Amended and Restated Certificate of Incorporation.</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Associated with the Reverse Stock Split</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We cannot assure you that the reverse stock split, if implemented, will have the desired effect of raising the price of our common stock over the long term. The history of similar stock split combinations for companies in like circumstances is varied. There is no assurance that:</w:t>
      </w:r>
    </w:p>
    <w:p>
      <w:pPr>
        <w:spacing w:after="0" w:line="68" w:lineRule="exact"/>
        <w:rPr>
          <w:sz w:val="20"/>
          <w:szCs w:val="20"/>
          <w:color w:val="auto"/>
        </w:rPr>
      </w:pPr>
    </w:p>
    <w:p>
      <w:pPr>
        <w:ind w:left="1000" w:right="4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post-split share of our common stock would either exceed or remain in excess of the $1.00 minimum bid price for a sustained period of time, as required by Nasdaq;</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312"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per share of our common stock after the reverse stock split would rise in proportion to the reduction in the number of pre-split shares of our common stock outstanding before the reverse stock split;</w:t>
      </w:r>
    </w:p>
    <w:p>
      <w:pPr>
        <w:spacing w:after="0" w:line="31" w:lineRule="exact"/>
        <w:rPr>
          <w:rFonts w:ascii="Times New Roman" w:cs="Times New Roman" w:eastAsia="Times New Roman" w:hAnsi="Times New Roman"/>
          <w:sz w:val="17"/>
          <w:szCs w:val="17"/>
          <w:color w:val="auto"/>
        </w:rPr>
      </w:pPr>
    </w:p>
    <w:p>
      <w:pPr>
        <w:ind w:left="1000" w:right="7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result in a per share price that would increase the level of investment by institutional investors or increase analyst and broker interest in our company;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decreased transaction costs for our stockholders.</w:t>
      </w:r>
    </w:p>
    <w:p>
      <w:pPr>
        <w:spacing w:after="0" w:line="117"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In addition, there can be no assurance that our common stock will not be delisted due to a failure to meet other continued listing requirements even if the market price per post-split share of our common stock remains in excess of $1.00.</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our performance and other factors, some of which are unrelated to the number of shares outstanding. If the reverse stock split is consummated and the trading price of our common stock declines, the percentage decline as an absolute number and as a percentage of our overall market capitalization may be greater than would occur in the absence of the reverse stock split. Furthermore, the liquidity of our common stock could be adversely affected by the reduced number of shares that would be outstanding after the reverse stock split.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After the effective date of the reverse stock split, each stockholder would own a reduced number of shares of common stock. However, the reverse stock split would affect all stockholders uniformly and would not affect any stockholder’s percentage ownership interest in the Company (except to the extent that the reverse stock split would result in some of our stockholders owning a fractional share as described below). Proportionate voting rights and other rights and preferences of the holders of common stock would not be affected by the reverse stock split (except to the extent that the reverse stock split would result in some of our stockholders owning a fractional share as described below). For example, a holder of 2% of the voting power of the outstanding shares of common stock immediately prior to the reverse stock split would continue to hold approximately 2% of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voting power of the outstanding shares of common stock immediately after the reverse stock split. The number of stockholders of record also would not be affected by the reverse stock split (except to the extent that the reverse stock split would result in some of our stockholders owning only a fractional share as described below).</w:t>
      </w:r>
    </w:p>
    <w:p>
      <w:pPr>
        <w:spacing w:after="0" w:line="68"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The table below summarizes our pro forma capitalization of common stock, as of March 31, 2022, before and after giving effect to a hypothetical reverse stock split of one-for-two (1-for-2), one-for-five (1-for-5), one-for-seven (1-for-7) and one-for-ten (1-for-10). The exact ration within the range of one-for-two and one-for-ten would be determined by our Board of Directors. The table below does not include the 5,000,000 shares of preferred stock authorized (all of which are undesignated and none of which are outstanding) under our Amended and Restated Certificate of Incorporation. The reverse stock split would have no effect on our authorized preferred stock. The figures below do not give effect to the treatment of fractional shares.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Reserved for</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108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New</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New Grants</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2014</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2016</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Incenetive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50"/>
        </w:trPr>
        <w:tc>
          <w:tcPr>
            <w:tcW w:w="29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300,000,000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136,330,360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17,393,477</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2,610,046</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3,284,785</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771,882</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for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150,000,000</w:t>
            </w:r>
          </w:p>
        </w:tc>
        <w:tc>
          <w:tcPr>
            <w:tcW w:w="120" w:type="dxa"/>
            <w:vAlign w:val="bottom"/>
          </w:tcPr>
          <w:p>
            <w:pPr>
              <w:spacing w:after="0"/>
              <w:rPr>
                <w:sz w:val="23"/>
                <w:szCs w:val="2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68,165,180</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8,696,738</w:t>
            </w:r>
          </w:p>
        </w:tc>
        <w:tc>
          <w:tcPr>
            <w:tcW w:w="10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1,305,023</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1,642,392</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385,941</w:t>
            </w: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 for 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27,266,072</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3,478,695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522,009</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656,957</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154,376</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for 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42,857,143</w:t>
            </w:r>
          </w:p>
        </w:tc>
        <w:tc>
          <w:tcPr>
            <w:tcW w:w="120" w:type="dxa"/>
            <w:vAlign w:val="bottom"/>
          </w:tcPr>
          <w:p>
            <w:pPr>
              <w:spacing w:after="0"/>
              <w:rPr>
                <w:sz w:val="23"/>
                <w:szCs w:val="2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19,475,765</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2,484,782</w:t>
            </w:r>
          </w:p>
        </w:tc>
        <w:tc>
          <w:tcPr>
            <w:tcW w:w="10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373,863</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469,255</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110,268</w:t>
            </w: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 for 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13,633,036</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1,739,347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261,004</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328,478</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0" w:type="dxa"/>
            <w:vAlign w:val="bottom"/>
          </w:tcPr>
          <w:p>
            <w:pPr>
              <w:spacing w:after="0"/>
              <w:rPr>
                <w:sz w:val="1"/>
                <w:szCs w:val="1"/>
                <w:color w:val="auto"/>
              </w:rPr>
            </w:pPr>
          </w:p>
        </w:tc>
      </w:tr>
      <w:tr>
        <w:trPr>
          <w:trHeight w:val="54"/>
        </w:trPr>
        <w:tc>
          <w:tcPr>
            <w:tcW w:w="29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-1045210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-1045210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-1045210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-1045210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-1045210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-1045210</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our common stock would have a new committee on uniform securities identification procedures, or CUSIP number, a number used to identify our common stock.</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Also, the number of outstanding shares of our common stock and the number of authorized shares of our common stock would be reduced in accordance with the ratio for the proposed reverse stock split selected by the board from among those set forth in this Proposal No. 2, but the percentage of the authorized shares of our common stock that are issued and outstanding would remain the same before and after the proposed reverse stock split is implemented. For example, based on the 136,330,360 shares of our common stock outstanding on March 31, 2022 and the 300,000,000 shares of our common stock currently authorized under our Amended and Restated Certificate of Incorporation, a proposed reverse stock split at a ratio of 1-for-2 would have the effect of reducing the number of outstanding shares of our common stock to approximately 68,165,180 and reducing the number of authorized shares of our common stock to 150,000,000, thereby reducing the number of authorized but unissued shares of common stock from 163,669,640 to approximately 81,834,820; however, the number of shares of outstanding common stock would remain approximately 45.4% of the number of shares of authorized common stock both immediately before and immediately after the proposed reverse stock split.</w:t>
      </w:r>
    </w:p>
    <w:p>
      <w:pPr>
        <w:spacing w:after="0" w:line="8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Further, the proposed reverse stock split would reduce the number of shares of our common stock issuable upon vesting of outstanding restricted stock units or conversion or exercise of outstanding convertible notes, warrants and stock options (and, as applicable, would increase the conversion, exchange or exercise price per share under such convertible notes, warrants and stock options), as well as the number of shares of our common stock reserved for issuance pursuant to our 2014 Employee Stock Purchase Plan and equity awards we may grant in the future under our 2014 Equity Incentive Plan or under our 2016 Employment Commencement Incentive Plan. In each such case, the number of shares of our common stock would be reduced by the ratio at which the proposed reversed stock split is implemented, and any applicable conversion, exchange or exercise price per share would be increased by the same ratio.</w:t>
      </w:r>
    </w:p>
    <w:p>
      <w:pPr>
        <w:spacing w:after="0" w:line="80"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If the proposed reverse stock split is implemented, it would increase the number of our stockholders who own “odd lots” of less than 100 shares of common stock. Brokerage commission and other costs of transactions in odd lots are generally higher than the costs of transactions of more than 100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of 1934, as amended (the “Exchange Act”), and we are subject to the periodic reporting and other requirements of the Exchange Act. The reverse stock split would not affect the registration of our common stock under the Exchange Act. If the reverse stock split is implemented, our common stock would continue to be reported on the Nasdaq Global Market under the symbol “ARDX” (although Nasdaq would likely add the letter “D” to the end of the trading symbol for a period of approximately 20 trading days to indicate that the reverse stock split has occurred).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of directors, in its discretion, may elect to effect the reverse stock split upon receipt of stockholder approval, or not if our board of director determines in its discretion not to proceed with the reverse stock split. The reverse stock split and the change in the number of our authorized shares of common stock would become effective on the date of filing of a certificate of amendment to our Amended and Restated Certificate of Incorporation with the Secretary of State of the State of Delaware. On the effective date, shares of common stock issued and outstanding immediately prior thereto will be combined and converted, automatically and without any action on the part of the stockholders, into new shares of common stock in accordance with the exchange ratio contained in the certificate of amendment. If our Board does not implement the reverse stock split by September 15, 2022, stockholder approval would be required again prior to the implementation of any reverse stock split.</w:t>
      </w:r>
    </w:p>
    <w:p>
      <w:pPr>
        <w:spacing w:after="0" w:line="80"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If the amendment is approved, we will provide additional details about the implementation of the reverse stock split on our website following the Annual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No scrip or fractional shares would be issued if, as a result of the reverse stock split, a stockholder would otherwise become entitled to a fractional share. Instead, we would pay to the stockholder, in cash, the value of any fractional share arising from the reverse stock split. The cash payment would equal the closing sale price per share of our common stock as reported on the Nasdaq Global Market on the last trading day preceding the effective date of the reverse stock split multiplied by the number of shares of pre-split common stock held by the stockholder that would otherwise have been exchanged for such fractional share. No transaction costs would be assessed to stockholders for the cash payment. Stockholders would not be entitled to receive interest for their fractional shares.</w:t>
      </w:r>
    </w:p>
    <w:p>
      <w:pPr>
        <w:spacing w:after="0" w:line="81" w:lineRule="exact"/>
        <w:rPr>
          <w:sz w:val="20"/>
          <w:szCs w:val="20"/>
          <w:color w:val="auto"/>
        </w:rPr>
      </w:pPr>
    </w:p>
    <w:p>
      <w:pPr>
        <w:jc w:val="both"/>
        <w:ind w:left="300" w:right="639"/>
        <w:spacing w:after="0" w:line="266" w:lineRule="auto"/>
        <w:rPr>
          <w:sz w:val="20"/>
          <w:szCs w:val="20"/>
          <w:color w:val="auto"/>
        </w:rPr>
      </w:pPr>
      <w:r>
        <w:rPr>
          <w:rFonts w:ascii="Times New Roman" w:cs="Times New Roman" w:eastAsia="Times New Roman" w:hAnsi="Times New Roman"/>
          <w:sz w:val="18"/>
          <w:szCs w:val="18"/>
          <w:color w:val="auto"/>
        </w:rPr>
        <w:t>If you do not hold sufficient shares of pre-split common stock to receive at least one post-split share of common stock and you want to hold our common stock after the reverse stock split, you may do so by taking either of the following actions far enough in advance so that it is completed before the reverse stock split is effected:</w:t>
      </w:r>
    </w:p>
    <w:p>
      <w:pPr>
        <w:spacing w:after="0" w:line="68"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purchase a sufficient number of shares of our common stock so that you would hold at least that number of shares of common stock in your account prior to the implementation of the reverse stock split that would entitle you to receive at least one share of common stock on a post-split basis; or</w:t>
      </w:r>
    </w:p>
    <w:p>
      <w:pPr>
        <w:spacing w:after="0" w:line="68" w:lineRule="exact"/>
        <w:rPr>
          <w:sz w:val="20"/>
          <w:szCs w:val="20"/>
          <w:color w:val="auto"/>
        </w:rPr>
      </w:pPr>
    </w:p>
    <w:p>
      <w:pPr>
        <w:ind w:left="660" w:right="379"/>
        <w:spacing w:after="0" w:line="254" w:lineRule="auto"/>
        <w:rPr>
          <w:sz w:val="20"/>
          <w:szCs w:val="20"/>
          <w:color w:val="auto"/>
        </w:rPr>
      </w:pPr>
      <w:r>
        <w:rPr>
          <w:rFonts w:ascii="Times New Roman" w:cs="Times New Roman" w:eastAsia="Times New Roman" w:hAnsi="Times New Roman"/>
          <w:sz w:val="18"/>
          <w:szCs w:val="18"/>
          <w:color w:val="auto"/>
        </w:rPr>
        <w:t>if applicable, consolidate your accounts so that you hold at least that number of shares of our common stock in one account prior to the reverse stock split that would entitle you to at least one share of our common stock on a post-split basis. Common stock held in registered form (that is, shares held by you in your own name on our company’s share register maintained by our transfer agent) and common stock held in “street name” (that is, shares held by you through a bank, broker or other nominee) for the same investor would be considered held in separate accounts and would not be aggregated when implementing the reverse stock split. Also, shares of common stock held in registered form but in separate accounts by the same investor would not be aggregated when implementing the reverse stock split.</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After the reverse stock split, then-current stockholders would have no further interest in our company with respect to their fractional shares. A person otherwise entitled to a fractional share would not have any voting, dividend or other rights in respect of his or her fractional share except to receive the cash payment as described above. Such cash payments would reduce the number of post-split stockholders to the extent that there are stockholders holding fewer than that number of pre-split shares within the range of exchange ratios described above. Reducing the number of post-split stockholders, however, is not the purpose of this proposal.</w:t>
      </w:r>
    </w:p>
    <w:p>
      <w:pPr>
        <w:spacing w:after="0" w:line="79"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Stockholders should be aware that, under the escheat laws of the various jurisdictions where stockholders reside, where we are domiciled and where the funds for fractional shares would be deposited, sums due to stockholders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 payment for fractional shares that are not timely claimed after the effective date may be required to be paid to the designated agent for each such jurisdiction. Thereafter, stockholders otherwise entitled to receive such funds may have to seek to obtain them directly from the state to which they were paid.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on Non-Registered Stockholders</w:t>
      </w:r>
    </w:p>
    <w:p>
      <w:pPr>
        <w:spacing w:after="0" w:line="121"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Non-registered stockholders holding our common stock through a bank, broker or other nominee should note that such banks, brokers or other nominees may have different procedures for processing the consolidation than those that would be put in place by us for registered stockholders, and their procedures may result, for example, in differences in the precise cash amounts being paid by such nominees in lieu of a fractional share. If you hold your shares with such a bank, broker or other nominee and if you have questions in this regard, you are encouraged to contact your nominee.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Shares and Payment for Fractional Shares</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combination of and reduction in the number of our outstanding shares of common stock as a result of the reverse stock split would occur automatically on the effective date without any action on the part of our stockholders. Our registered stockholders all of their shares electronically in book-entry form, and as a result do not have stock certificates evidencing their ownership of common stock. They are, however, provided with a statement reflecting the number of shares of common stock registered in their accounts.</w:t>
      </w:r>
    </w:p>
    <w:p>
      <w:pPr>
        <w:spacing w:after="0" w:line="75"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Stockholders who hold registered shares of our common stock in book-entry form do not need to take any action to receive post-reverse stock split shares of our common stock in registered book-entry form or the cash payment in lieu of any fractional interest, if applicable. These stockholders will have their pre-reverse stock split shares exchanged automatically and a Credit Advice will be mailed to them upon exchange indicating the number of post-reverse stock split shares owned by such stockholders. A check will also be mailed to such stockholders’ registered address as soon as practicable after the effective date of the reverse stock split. By signing and cashing this check, such stockholders will warrant that they owned the shares of our common stock for which they received the cash payment.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$0.0001 per share after the reverse stock split. As a result, on the effective date of the reverse stock split, the amount on our balance sheet attributable to our common stock would be reduced proportionally, based on the exchange ratio of the reverse stock split, from its present amount, and the additional paid-in capital account would be credited with the amount by which the common stock is reduced. The per share common stock net loss would be increased because there would be fewer shares of our common stock outstanding. We do not anticipate that any other accounting consequences would arise as a result of the reverse stock split.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stockholders are not entitled to dissenters’ rights with respect to the proposed amendment to our Amended and Restated Certificate of Incorporation to effect the reverse stock split, and we will not independently provide our stockholders with any such right.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Notwithstanding the change in the number of authorized shares and outstanding shares following the reverse stock split, the board of directors does not intend for this transaction to be the first step in a series of plans or proposals of a “going private transaction” within the meaning of Rule 13e-3 of the Exchange Act.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Proposal</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Certain of our officers and directors have an interest in Proposal No. 2 as a result of their ownership of shares of our common stock, as set forth in the section entitled “Security Ownership of Certain Beneficial Owners and Management” below. However, we do not believe that our officers or directors have interests in Proposal No. 2 that are different from or greater than those of any other of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consequences of the reverse stock split that may be relevant to U.S. Holders (as defined below) of our common stock,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our common stock. We have not sought and will not seek an opinion of counsel or any rulings from the IRS regarding the matters discussed below. There can be no assurance the IRS or a court will not take a contrary position to that discussed below regarding the tax consequences of the reverse stock split.</w:t>
      </w:r>
    </w:p>
    <w:p>
      <w:pPr>
        <w:spacing w:after="0" w:line="8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This discussion is limited to holders that hold our common stock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In addition, it does not address consequences relevant to holders subject to special rules, including, without limitation: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that are not U.S. Holders (as defined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subject to the alternative minimum tax;</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sz w:val="20"/>
          <w:szCs w:val="20"/>
          <w:color w:val="auto"/>
        </w:rPr>
      </w:pPr>
    </w:p>
    <w:p>
      <w:pPr>
        <w:ind w:left="660" w:right="559"/>
        <w:spacing w:after="0" w:line="282" w:lineRule="auto"/>
        <w:rPr>
          <w:sz w:val="20"/>
          <w:szCs w:val="20"/>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banks, insurance companies, and other financial institutions;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brokers, dealers or traders in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17"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tax-exempt organizations or governmental organizations;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sz w:val="20"/>
          <w:szCs w:val="20"/>
          <w:color w:val="auto"/>
        </w:rPr>
      </w:pPr>
    </w:p>
    <w:p>
      <w:pPr>
        <w:ind w:left="660" w:right="839"/>
        <w:spacing w:after="0" w:line="282" w:lineRule="auto"/>
        <w:rPr>
          <w:sz w:val="20"/>
          <w:szCs w:val="20"/>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 and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tax-qualified retirement plans.</w:t>
      </w:r>
    </w:p>
    <w:p>
      <w:pPr>
        <w:spacing w:after="0" w:line="117"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5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INTENDED AS TAX ADVICE. HOLDERS OF OUR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shares of our common stock that for U.S. federal income tax purposes is or is treated as: (1) an individual who is a citizen or resident of the United States; (2) a corporation created or organized under the laws of the United States, any state thereof, or the District of Columbia;</w:t>
      </w:r>
    </w:p>
    <w:p>
      <w:pPr>
        <w:spacing w:after="0" w:line="2" w:lineRule="exact"/>
        <w:rPr>
          <w:sz w:val="20"/>
          <w:szCs w:val="20"/>
          <w:color w:val="auto"/>
        </w:rPr>
      </w:pPr>
    </w:p>
    <w:p>
      <w:pPr>
        <w:jc w:val="both"/>
        <w:ind w:left="300" w:right="399" w:hanging="8"/>
        <w:spacing w:after="0" w:line="253" w:lineRule="auto"/>
        <w:tabs>
          <w:tab w:leader="none" w:pos="5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 (4) a trust that (a) is subject to the primary supervision of a U.S. court and the control of one of more “United States persons” (within the meaning of Section 7701(a)(30) of the Code), or (b) has a valid election in effect to be treated as a United States person for U.S. federal income tax purposes.</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As a result, a U.S. Holder generally should not recognize gain or loss upon the reverse stock split, except with respect to cash received in lieu of a fractional share of our common stock, as discussed below. A U.S. Holder’s aggregate tax basis in the shares of our common stock received pursuant to the reverse stock split should equal the aggregate tax basis of the shares of our common stock surrendered (excluding any portion of such basis that is allocated to any fractional share of our common stock), and such U.S. Holder’s holding period in the shares of our common stock received should include the holding period in the shares of our common stock surrendered. Treasury Regulations provide detailed rules for allocating the tax basis and holding period of the shares of our common stock surrendered to the shares of our common stock received pursuant to the reverse stock split. Holders of shares of our common stock acquired on different dates and at different prices should consult their tax advisors regarding the allocation of the tax basis and holding period of such shares.</w:t>
      </w:r>
    </w:p>
    <w:p>
      <w:pPr>
        <w:spacing w:after="0" w:line="8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 U.S. Holder that receives cash in lieu of a fractional share of our common stock pursuant to the reverse stock split should recognize capital gain or loss in an amount equal to the difference between the amount of cash received and the U.S. Holder’s tax basis in the shares of our common stock surrendered that is allocated to such fractional share of our common stock. Such capital gain or loss should be long-term capital gain or loss if the U.S. Holder’s holding period for our common stock surrendered exceeded one year at the effective time of the reverse stock split.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 U.S. Holder (other than corporations and certain other exempt recipients) may be subject to information reporting and backup withholding when such holder receives cash in lieu of a fractional share of our common stock pursuant to the reverse stock split. A U.S. Holder will be subject to backup withholding if such holder is not otherwise exempt and such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the U.S. Holder’s federal income tax liability, if any, provided the required information is timely furnished to the IRS. U.S. Holders should consult their tax advisors regarding their qualification for an exemption from backup withholding and the procedures for obtaining such an exemption.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outstanding shares of common stock entitled to vote at the meeting will be required to approve the amendment of our Amended and Restated Certificate of Incorporation to effect a reverse stock split. Abstentions and broker non-votes with respect to this proposal will be counted for purposes of establishing a quorum and, if a quorum is present, will have the same effect as a vote against this proposal.</w:t>
      </w:r>
    </w:p>
    <w:p>
      <w:pPr>
        <w:spacing w:after="0" w:line="68"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PROPOSAL NO. 2 TO GRANT THE BOARD AUTHORITY TO EFFECT A REVERSE STOCK SPLIT OF OUR AUTHORIZED COMMON STOCK AND OUTSTANDING COMMON STOCK BY AMENDING OUR AMENDED AND RESTATED CERTIFICATE OF INCORPORATION BY SEPTEMBER 15, 2022 AND WITHIN A RANGE OF NOT LESS THAN 1-FOR-2 AND NOT MORE THAN 1-FOR-10, IF THE BOARD DEEMS IT WITHIN THE COMPANY’S BEST INTERESTS.</w:t>
      </w:r>
    </w:p>
    <w:p>
      <w:pPr>
        <w:spacing w:after="0" w:line="74" w:lineRule="exact"/>
        <w:rPr>
          <w:sz w:val="20"/>
          <w:szCs w:val="20"/>
          <w:color w:val="auto"/>
        </w:rPr>
      </w:pPr>
    </w:p>
    <w:p>
      <w:pPr>
        <w:ind w:left="300" w:right="1519"/>
        <w:spacing w:after="0" w:line="286" w:lineRule="auto"/>
        <w:rPr>
          <w:sz w:val="20"/>
          <w:szCs w:val="20"/>
          <w:color w:val="auto"/>
        </w:rPr>
      </w:pPr>
      <w:r>
        <w:rPr>
          <w:rFonts w:ascii="Times New Roman" w:cs="Times New Roman" w:eastAsia="Times New Roman" w:hAnsi="Times New Roman"/>
          <w:sz w:val="18"/>
          <w:szCs w:val="18"/>
          <w:b w:val="1"/>
          <w:bCs w:val="1"/>
          <w:color w:val="auto"/>
        </w:rPr>
        <w:t>PROXIES SOLICITED BY OUR BOARD OF DIRECTORS WILL BE SO VOTED UNLESS STOCKHOLDERS SPECIFY OTHERWISE ON THEIR PROXY CARDS.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9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In accordance with Section 14A of the Exchange Act, the Company is providing stockholders an opportunity to cast a non-binding, advisory vote to approve the compensation of our Named Executive Officers, or NEOs (sometimes referred to as a “Say-on-Pay” vote). Accordingly, you have the opportunity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on the following non-binding resolution at the 2022 Annual Meeting:</w:t>
      </w:r>
    </w:p>
    <w:p>
      <w:pPr>
        <w:spacing w:after="0" w:line="72"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the Company’s named executive officers as disclosed in the Company’s proxy statement for the 2022 Annual Meeting of Stockholders pursuant to the compensation disclosure rules of the SEC, including the accompanying compensation tables and the related narrative disclosure in the proxy statement.”</w:t>
      </w:r>
    </w:p>
    <w:p>
      <w:pPr>
        <w:spacing w:after="0" w:line="72"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review the accompanying compensation tables and the related narrative disclosure. As described in detail in the sections entitled “Compensation Discussion and Analysis” and “Compensation of Our Named Executive Officers,”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Approval, on a non-binding, advisory basis, of the compensation of our NEOs, as disclosed in this Proxy Statement pursuant to the compensation disclosure rules of the SEC, requires the affirmative vote of the majority of shares of common stock present online live or represented by proxy at the 2022 Annual Meeting and entitled to vote on such proposal. Abstentions and broker non-votes will be counted towards a quorum. Abstentions will have the same effect as an “Against” vote for purposes of determining whether this matter has been approved. Broker non-votes will not be counted for any purpose in determining whether this matter has been approved.</w:t>
      </w:r>
    </w:p>
    <w:p>
      <w:pPr>
        <w:spacing w:after="0" w:line="79" w:lineRule="exact"/>
        <w:rPr>
          <w:sz w:val="20"/>
          <w:szCs w:val="20"/>
          <w:color w:val="auto"/>
        </w:rPr>
      </w:pPr>
    </w:p>
    <w:p>
      <w:pPr>
        <w:ind w:left="300" w:right="539"/>
        <w:spacing w:after="0" w:line="274" w:lineRule="auto"/>
        <w:rPr>
          <w:sz w:val="20"/>
          <w:szCs w:val="20"/>
          <w:color w:val="auto"/>
        </w:rPr>
      </w:pPr>
      <w:r>
        <w:rPr>
          <w:rFonts w:ascii="Times New Roman" w:cs="Times New Roman" w:eastAsia="Times New Roman" w:hAnsi="Times New Roman"/>
          <w:sz w:val="17"/>
          <w:szCs w:val="17"/>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2023 annual meeting of stockholders.</w:t>
      </w:r>
    </w:p>
    <w:p>
      <w:pPr>
        <w:spacing w:after="0" w:line="101" w:lineRule="exact"/>
        <w:rPr>
          <w:sz w:val="20"/>
          <w:szCs w:val="20"/>
          <w:color w:val="auto"/>
        </w:rPr>
      </w:pPr>
    </w:p>
    <w:p>
      <w:pPr>
        <w:jc w:val="center"/>
        <w:ind w:left="30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BOARD OF DIRECTORS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xml:space="preserve"> THE APPROVAL OF THE COMPENSATION OF THE NAMED EXECUTIVE OFFICERS, AS DISCLOSED IN THIS PROXY STATEMENT.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of directors has selected Ernst &amp; Young LLP, or EY, as our independent registered public accounting firm for the year ending December 31, 2022, and is seeking ratification of such selection by our stockholders at the 2022 Annual Meeting. EY has audited our financial statements since the fiscal year ended December 31, 2014. Representatives of EY are expected to be present in attendance online at the 2022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439"/>
        <w:spacing w:after="0" w:line="274" w:lineRule="auto"/>
        <w:rPr>
          <w:sz w:val="20"/>
          <w:szCs w:val="20"/>
          <w:color w:val="auto"/>
        </w:rPr>
      </w:pPr>
      <w:r>
        <w:rPr>
          <w:rFonts w:ascii="Times New Roman" w:cs="Times New Roman" w:eastAsia="Times New Roman" w:hAnsi="Times New Roman"/>
          <w:sz w:val="17"/>
          <w:szCs w:val="17"/>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65"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cast at the 2022 Annual Meeting will be required to ratify the selection of EY.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NO. 4.</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and Related Fees</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2021 and 2020, EY billed the approximate fees set forth below. All fees included below were approved by the audit committee.</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78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66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13"/>
        </w:trPr>
        <w:tc>
          <w:tcPr>
            <w:tcW w:w="6640" w:type="dxa"/>
            <w:vAlign w:val="bottom"/>
          </w:tcPr>
          <w:p>
            <w:pPr>
              <w:spacing w:after="0"/>
              <w:rPr>
                <w:sz w:val="18"/>
                <w:szCs w:val="18"/>
                <w:color w:val="auto"/>
              </w:rPr>
            </w:pP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66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90"/>
        </w:trPr>
        <w:tc>
          <w:tcPr>
            <w:tcW w:w="66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$1,626,350</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$1,078,000</w:t>
            </w:r>
          </w:p>
        </w:tc>
      </w:tr>
      <w:tr>
        <w:trPr>
          <w:trHeight w:val="270"/>
        </w:trPr>
        <w:tc>
          <w:tcPr>
            <w:tcW w:w="66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125,866</w:t>
            </w:r>
          </w:p>
        </w:tc>
      </w:tr>
      <w:tr>
        <w:trPr>
          <w:trHeight w:val="282"/>
        </w:trPr>
        <w:tc>
          <w:tcPr>
            <w:tcW w:w="664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Other Fees</w:t>
            </w:r>
            <w:r>
              <w:rPr>
                <w:rFonts w:ascii="Times New Roman" w:cs="Times New Roman" w:eastAsia="Times New Roman" w:hAnsi="Times New Roman"/>
                <w:sz w:val="26"/>
                <w:szCs w:val="26"/>
                <w:color w:val="auto"/>
                <w:vertAlign w:val="superscript"/>
              </w:rPr>
              <w:t>(3)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57"/>
        </w:trPr>
        <w:tc>
          <w:tcPr>
            <w:tcW w:w="6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All Fees</w:t>
            </w:r>
          </w:p>
        </w:tc>
        <w:tc>
          <w:tcPr>
            <w:tcW w:w="8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1,652,413</w:t>
            </w: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1,206,376</w:t>
            </w: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-753745</wp:posOffset>
            </wp:positionV>
            <wp:extent cx="94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-753745</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49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and expenses for professional services rendered for the audit of our annual financial statements, reviews of our interim quarterly reports, accounting and financial reporting consultations, and the issuance of consents and comfort letters in connection with statutory and regulatory filings or engagements. In 2021, Audit Fees also included fees and expenses covering the integrated audit of our annual financial statements and of our internal controls over financial reporting.</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for professional services rendered by EY for tax compliance, tax advice and tax planning.</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related to accessing EY’s online research database.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http://ir.ardelyx.com/corporate-governance. The policy provides that before an independent registered public accounting firm is engaged by Ardelyx or its subsidiaries to render audit or non-audit services, the audit committee must review the terms of the proposed engagement and pre-approve the engagement. Audit committee pre-approval of audit and non-audit services is not required if the engagement for the services is entered into pursuant to the pre-approval policies and procedures established by the audit committee regarding Ardelyx’s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management. The audit committee may delegate to one or more designated members of the audit committee the authority to grant pre-approvals, provided such approvals are presented to the audit committee at a subsequent meeting. Audit committee pre-approval of non-audit services (other than review and attest services) also will not be required if such services fall within available exceptions established by the SEC. The audit committee has considered the role of EY in providing audit and audit-related services to the Company and has concluded that such services are compatible with EY’s role as the Company’s independent registered public accounting firm.</w:t>
      </w:r>
    </w:p>
    <w:p>
      <w:pPr>
        <w:sectPr>
          <w:pgSz w:w="11900" w:h="16838" w:orient="portrait"/>
          <w:cols w:equalWidth="0" w:num="1">
            <w:col w:w="9019"/>
          </w:cols>
          <w:pgMar w:left="1440" w:top="26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left="300" w:right="79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6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oversee our accounting and our financial reporting processes on behalf of our board of directors and our compliance with legal and regulatory requirements. The audit committee’s functions are more fully described in its charter, which is available on our website at http://ir.ardelyx.com/corporate-governance.</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the Company’s audited financial statements for the fiscal year ended December 31, 2021 and the audited internal controls over financial reporting as of December 31, 2021. The audit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committee has discussed with EY their independence, and received from EY the written disclosures and the letter required by PCAOB Ethics and Independence Rule 3526, “Communication with Audit Committees Concerning Independence.” Finally, the audit committee discussed with EY, with and without management present, the scope and results of EY’s audit of the financial statements for the fiscal year ended December 31, 2021 and internal controls over financial reporting as of December 31, 2021.</w:t>
      </w:r>
    </w:p>
    <w:p>
      <w:pPr>
        <w:spacing w:after="0" w:line="86"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has recommended to our board of directors that such audited financial statements be included in our Annual Report on Form 10-K for the year ended December 31, 2021 for filing with the SEC.</w:t>
      </w:r>
    </w:p>
    <w:p>
      <w:pPr>
        <w:spacing w:after="0" w:line="14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Richard Rodgers, Chair</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Bertrand, Jr., Esq.</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David Mott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nine members. Our board of directors has determined that all of our directors, as well as each individual nominated by our board of directors for election to our board of directors at the 2022 Annual Meeting, other than Mr. Raab, qualify as “independent” directors in accordance with the Nasdaq listing requirements. Mr. Raab is not considered independent because he is an employee of our company.</w:t>
      </w:r>
    </w:p>
    <w:p>
      <w:pPr>
        <w:spacing w:after="0" w:line="7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86"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As described more fully below, the board of directors has also determined that each current member of the compensation committee, the audit committee and the nominating and corporate governance committee meets the independence standards applicable to those committees prescribed by Nasdaq, the SEC and the Internal Revenue Service.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Mott currently serves as the Chairman of the Board. In that role,</w:t>
      </w:r>
    </w:p>
    <w:p>
      <w:pPr>
        <w:spacing w:after="0" w:line="3" w:lineRule="exact"/>
        <w:rPr>
          <w:sz w:val="20"/>
          <w:szCs w:val="20"/>
          <w:color w:val="auto"/>
        </w:rPr>
      </w:pPr>
    </w:p>
    <w:p>
      <w:pPr>
        <w:ind w:left="300" w:right="519"/>
        <w:spacing w:after="0" w:line="260" w:lineRule="auto"/>
        <w:rPr>
          <w:sz w:val="20"/>
          <w:szCs w:val="20"/>
          <w:color w:val="auto"/>
        </w:rPr>
      </w:pPr>
      <w:r>
        <w:rPr>
          <w:rFonts w:ascii="Times New Roman" w:cs="Times New Roman" w:eastAsia="Times New Roman" w:hAnsi="Times New Roman"/>
          <w:sz w:val="18"/>
          <w:szCs w:val="18"/>
          <w:color w:val="auto"/>
        </w:rPr>
        <w:t>Mr. Mott presides over the executive sessions of the board of directors in which Mr. Raab does not participate and serves as a liaison to Mr. Raab and management on behalf of the board of directors.</w:t>
      </w:r>
    </w:p>
    <w:p>
      <w:pPr>
        <w:spacing w:after="0" w:line="73"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63"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Our board of directors does not have a standing risk management committee, but rather administers this oversight function directly through our board of directors as a whole, as well as through various standing committees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During 2021, the board of directors met 17 times, the audit committee met four times, the compensation committee met three times and the nominating and corporate governance committee met one time. In that year, each director attended at least 75% of the aggregate number of meetings of the board of directors and the committees on which he or she served. As required under Nasdaq rules and regulations, our independent directors meet in regularly scheduled executive sessions at which only independent directors are present.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regarding the effectiveness of internal controls over financial reporting;</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audit and non-audit services;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as required by law;</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being knowledgeable about the content and operation of our global compliance program and exercising oversight over its implementation and effectiveness;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committee’s performance.</w:t>
      </w:r>
    </w:p>
    <w:p>
      <w:pPr>
        <w:spacing w:after="0" w:line="117"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In 2021, Messrs. Rodgers, Bertrand and Mott served as members of the audit committee, and they comprise the current members of our audit committee. Mr. Rodgers serves as the chairperson of the committee. Each of the members of our audit committee during 2021 met, and each of the current members of our audit committee, meets or will meet,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audit committee during 2021 was, and each of the current members of our audit committee is or will be an “independent director”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http://ir.ardelyx.com/corporate-governance.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Our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2014 Equity Incentive Plan to existing and new non-senior management team employees, with such individual grants to be consistent with equity grant guidelines provided by our compensation consultant and approved by the compensation committee. The compensation committee will review and evaluate, at least annually, the performance of the compensation committee and its members, including compliance of the compensation committee with its charter.</w:t>
      </w:r>
    </w:p>
    <w:p>
      <w:pPr>
        <w:spacing w:after="0" w:line="89"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In 2021, Messrs. Mott, Bazemore and Rodgers and Dr. Lundberg served as members of the compensation committee, and they comprise the current members of our compensation committee. Effective as of the date of our 2022 Annual Meeting, our compensation committee will be comprised of Messrs. Mott, Bazemore and Rodgers and Ms. Bhanji. Mr. Mott serves as the chairman of the committee. Each of the members of our compensation committee during 2021 was, and each of the current members of our compensation committee and each of the members of our compensation committee as of the date of our 2022 Annual Meeting, is or will be, an “independent director” under the applicable rules and regulations of The Nasdaq Global Market, a “non-employee director” as defined in Rule</w:t>
      </w:r>
    </w:p>
    <w:p>
      <w:pPr>
        <w:spacing w:after="0" w:line="2"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16b-3 promulgated under the Exchange Act and an “outside director” as that term is defined in Section 162(m) of the U.S. Internal Revenue Code of 1986, as amended, or Section 162(m).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7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For fiscal year 2021,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72"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In 2021, Dr. Block, Mmes. Bhanji and Cadoret-Manier and Mr. Bertrand served as members of the nominating and corporate governance committee, and they comprise the current members of our nominating and corporate governance committee. Effective as of the date of our 2022 Annual Meeting our nominating and corporate governance committee will be comprised of Drs. Block and Lundberg, Ms, Cadoret-Manier and Mr. Bertrand.</w:t>
      </w:r>
    </w:p>
    <w:p>
      <w:pPr>
        <w:spacing w:after="0" w:line="3"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Mr. Bertrand serves as the chairman of the committee. Each of the members of our nominating and corporate governance committee during 2021 was, and each of the current members of our nominating and corporate governance committee is, and each of the members of our nominating and corporate governance committee as of the date of our 2022 Annual Meeting, is an “independent director” under the applicable rules and regulations of Nasdaq relating to nominating and corporate governance committee independence. Following the 2022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79"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industries in which we compete;</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and mature business judgment.</w:t>
      </w:r>
    </w:p>
    <w:p>
      <w:pPr>
        <w:spacing w:after="0" w:line="11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 Our nominating and corporate governance committee considers diversity among the factors it considers in selecting candidates for nomination to the board recognizing the benefits to the Company of national origin, gender, race, and cultural diversity in board composition.</w:t>
      </w:r>
    </w:p>
    <w:p>
      <w:pPr>
        <w:spacing w:after="0" w:line="86"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color w:val="auto"/>
        </w:rPr>
        <w:t>areas. At this time, our nominating and corporate governance committee does not have a policy with regard to the consideration of director candidates recommended by our stockholders, but expects to adopt such a policy in the future. Until such a policy is adopted, our board of directors and nominating and corporate governance committee will consider candidates recommended by our stockholders on a case-by-case basis.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Among our nine board members, two self-identify as women and two self-identify as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534924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Board Diversity Matrix as of 4/15/2022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62865</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2"/>
        </w:trPr>
        <w:tc>
          <w:tcPr>
            <w:tcW w:w="5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Did Not</w:t>
            </w:r>
          </w:p>
        </w:tc>
      </w:tr>
      <w:tr>
        <w:trPr>
          <w:trHeight w:val="216"/>
        </w:trPr>
        <w:tc>
          <w:tcPr>
            <w:tcW w:w="5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Disclose</w:t>
            </w:r>
          </w:p>
        </w:tc>
      </w:tr>
      <w:tr>
        <w:trPr>
          <w:trHeight w:val="234"/>
        </w:trPr>
        <w:tc>
          <w:tcPr>
            <w:tcW w:w="5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Female</w:t>
            </w:r>
          </w:p>
        </w:tc>
        <w:tc>
          <w:tcPr>
            <w:tcW w:w="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Male</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Non-Binary</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Gender</w:t>
            </w:r>
          </w:p>
        </w:tc>
      </w:tr>
      <w:tr>
        <w:trPr>
          <w:trHeight w:val="68"/>
        </w:trPr>
        <w:tc>
          <w:tcPr>
            <w:tcW w:w="51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r>
      <w:tr>
        <w:trPr>
          <w:trHeight w:val="277"/>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LGBTQ+</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The reference to our web address does not constitute incorporation by reference of the information contained at or available through our website.</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jc w:val="both"/>
        <w:ind w:left="300" w:right="519"/>
        <w:spacing w:after="0" w:line="289" w:lineRule="auto"/>
        <w:rPr>
          <w:sz w:val="20"/>
          <w:szCs w:val="20"/>
          <w:color w:val="auto"/>
        </w:rPr>
      </w:pPr>
      <w:r>
        <w:rPr>
          <w:rFonts w:ascii="Times New Roman" w:cs="Times New Roman" w:eastAsia="Times New Roman" w:hAnsi="Times New Roman"/>
          <w:sz w:val="17"/>
          <w:szCs w:val="17"/>
          <w:color w:val="auto"/>
        </w:rPr>
        <w:t>Our board of directors has a policy of encouraging director attendance at our annual meetings of stockholders, but attendance is not mandatory. Our board of directors and management team encourage all of our directors to attend the 2022 Annual Meeting. All of our then-serving directors attended our 2021 annual meeting of stockholders.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During 2021, Messrs. Mott, Bazemore and Rodgers and Dr. Lundberg served as members of our compensation committee. None of Messrs. Mott, Bazemore and Rodgers and Dr. Lundberg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either entered into since January 1, 2021 or entered into prior to January 1, 2021 which have continuing obligations and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Our board of directors has approved a compensation policy for our non-employee directors, or the Director Compensation Program, which is periodically reviewed with consultation and recommendations provided by Pearl Meyer. Pursuant to the Director Compensation Program, we do not provide any compensation to directors who are employees. Retainers are paid to our non-employee directors in advance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8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In 2021, our non-employee directors received compensation pursuant to the Director Compensation Program. as amended in March 2021. Our non-employee directors received an annual retainer of $45,000. Our non-employee Chairman received an additional annual cash retainer in the amount of $30,000 per year. Non-employee directors received additional annual retainers of $10,000 for serving on the audit committee (or $20,000 for serving as the chair of the audit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 Under the Director Compensation Program, each non-employee director who was appointed to the board in 2021, was also granted an option to purchase shares of our common stock with an expected grant date fair value of $300,000, but with a maximum number of 100,000 shares. In addition, in 2021, each continuing non-employee director who had been serving on our board of directors for at least six months as of the date of any annual meeting of our stockholders and who continued to serve as a non-employee director immediately following such meeting was automatically granted an option to purchase shares of our common stock with an expected grant date fair value of $150,000, but with a maximum number of 50,000 shares. Each initial non-employee director stock option was subject to vesting with respect to 1/36th of the shares on each monthly anniversary of the grant date, subject to the non-employee director’s continued service on our board of directors through such date. Each annual non-employee director stock option was subject to vesting with respect to 1/12th of the shares on each monthly anniversary of the grant date, subject to acceleration in full immediately prior to the next annual stockholders meeting, subject to the non-employee director’s continued service on our board of directors through such date. The Director Compensation Program also provides that upon a “Change in Control” of Ardelyx (as defined in our equity incentive plan), all outstanding equity awards that are held by a non-employee director will become fully vested and/or exercisable.</w:t>
      </w:r>
    </w:p>
    <w:p>
      <w:pPr>
        <w:spacing w:after="0" w:line="80"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lieu of a cash retainer, each non-employee director may also elect to receive a stock award consisting of that number of fully vested shares of common stock calculated by dividing the amount of the cash retainer by the fair market value of the common stock on the date of our annual meeting of stockholders, rounded to the nearest whole share. For 2021, each of Messrs. Bertrand and Rodgers and Dr. Lundberg elected to receive a stock award in lieu of their respective 2021 annual cash retainers as calculated pursuant to the preceding sentence. Members of our board of directors are also reimbursed for reasonable travel and other out-of-pocket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 Table</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2021 regarding the compensation awarded to, earned by or paid to our non-employee directors. Dr. Ringold stepped down from our board of directors effective March 11, 2021 prior to our 2021 annual stockholders meeting, and therefore, Dr. Ringold did not receive any compensation during the year ended December 31, 2021, and is omitted from the table below.</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9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5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40" w:type="dxa"/>
            <w:vAlign w:val="bottom"/>
          </w:tcPr>
          <w:p>
            <w:pPr>
              <w:spacing w:after="0"/>
              <w:rPr>
                <w:sz w:val="21"/>
                <w:szCs w:val="21"/>
                <w:color w:val="auto"/>
              </w:rPr>
            </w:pP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23"/>
                <w:szCs w:val="23"/>
                <w:b w:val="1"/>
                <w:bCs w:val="1"/>
                <w:color w:val="auto"/>
                <w:w w:val="97"/>
                <w:vertAlign w:val="superscript"/>
              </w:rPr>
              <w:t>(1)</w:t>
            </w:r>
            <w:r>
              <w:rPr>
                <w:rFonts w:ascii="Times New Roman" w:cs="Times New Roman" w:eastAsia="Times New Roman" w:hAnsi="Times New Roman"/>
                <w:sz w:val="14"/>
                <w:szCs w:val="14"/>
                <w:b w:val="1"/>
                <w:bCs w:val="1"/>
                <w:color w:val="auto"/>
                <w:w w:val="97"/>
              </w:rPr>
              <w:t xml:space="preserve"> ($)</w:t>
            </w:r>
          </w:p>
        </w:tc>
        <w:tc>
          <w:tcPr>
            <w:tcW w:w="140" w:type="dxa"/>
            <w:vAlign w:val="bottom"/>
          </w:tcPr>
          <w:p>
            <w:pPr>
              <w:spacing w:after="0"/>
              <w:rPr>
                <w:sz w:val="21"/>
                <w:szCs w:val="21"/>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  Total ($)</w:t>
            </w:r>
          </w:p>
        </w:tc>
        <w:tc>
          <w:tcPr>
            <w:tcW w:w="0" w:type="dxa"/>
            <w:vAlign w:val="bottom"/>
          </w:tcPr>
          <w:p>
            <w:pPr>
              <w:spacing w:after="0"/>
              <w:rPr>
                <w:sz w:val="1"/>
                <w:szCs w:val="1"/>
                <w:color w:val="auto"/>
              </w:rPr>
            </w:pPr>
          </w:p>
        </w:tc>
      </w:tr>
      <w:tr>
        <w:trPr>
          <w:trHeight w:val="311"/>
        </w:trPr>
        <w:tc>
          <w:tcPr>
            <w:tcW w:w="4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52,500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201,905</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Bertrand, Jr.</w:t>
            </w:r>
          </w:p>
        </w:tc>
        <w:tc>
          <w:tcPr>
            <w:tcW w:w="860" w:type="dxa"/>
            <w:vAlign w:val="bottom"/>
          </w:tcPr>
          <w:p>
            <w:pPr>
              <w:ind w:left="180"/>
              <w:spacing w:after="0" w:line="324" w:lineRule="exact"/>
              <w:rPr>
                <w:sz w:val="20"/>
                <w:szCs w:val="20"/>
                <w:color w:val="auto"/>
              </w:rPr>
            </w:pPr>
            <w:r>
              <w:rPr>
                <w:rFonts w:ascii="Times New Roman" w:cs="Times New Roman" w:eastAsia="Times New Roman" w:hAnsi="Times New Roman"/>
                <w:sz w:val="18"/>
                <w:szCs w:val="18"/>
                <w:color w:val="auto"/>
                <w:w w:val="91"/>
              </w:rPr>
              <w:t>65,000</w:t>
            </w:r>
            <w:r>
              <w:rPr>
                <w:rFonts w:ascii="Times New Roman" w:cs="Times New Roman" w:eastAsia="Times New Roman" w:hAnsi="Times New Roman"/>
                <w:sz w:val="29"/>
                <w:szCs w:val="29"/>
                <w:color w:val="auto"/>
                <w:w w:val="9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214,405</w:t>
            </w: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Muna Bhanji</w:t>
            </w:r>
            <w:r>
              <w:rPr>
                <w:rFonts w:ascii="Times New Roman" w:cs="Times New Roman" w:eastAsia="Times New Roman" w:hAnsi="Times New Roman"/>
                <w:sz w:val="29"/>
                <w:szCs w:val="29"/>
                <w:color w:val="auto"/>
                <w:vertAlign w:val="superscript"/>
              </w:rPr>
              <w:t>(3)</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284,757</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334,757</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A. Block, M.D.</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3"/>
                <w:szCs w:val="23"/>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199,405</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199,405</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860" w:type="dxa"/>
            <w:vAlign w:val="bottom"/>
          </w:tcPr>
          <w:p>
            <w:pPr>
              <w:ind w:left="180"/>
              <w:spacing w:after="0" w:line="324" w:lineRule="exact"/>
              <w:rPr>
                <w:sz w:val="20"/>
                <w:szCs w:val="20"/>
                <w:color w:val="auto"/>
              </w:rPr>
            </w:pPr>
            <w:r>
              <w:rPr>
                <w:rFonts w:ascii="Times New Roman" w:cs="Times New Roman" w:eastAsia="Times New Roman" w:hAnsi="Times New Roman"/>
                <w:sz w:val="18"/>
                <w:szCs w:val="18"/>
                <w:color w:val="auto"/>
                <w:w w:val="91"/>
              </w:rPr>
              <w:t>52,500</w:t>
            </w:r>
            <w:r>
              <w:rPr>
                <w:rFonts w:ascii="Times New Roman" w:cs="Times New Roman" w:eastAsia="Times New Roman" w:hAnsi="Times New Roman"/>
                <w:sz w:val="29"/>
                <w:szCs w:val="29"/>
                <w:color w:val="auto"/>
                <w:w w:val="9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201,905</w:t>
            </w:r>
          </w:p>
        </w:tc>
        <w:tc>
          <w:tcPr>
            <w:tcW w:w="0" w:type="dxa"/>
            <w:vAlign w:val="bottom"/>
          </w:tcPr>
          <w:p>
            <w:pPr>
              <w:spacing w:after="0"/>
              <w:rPr>
                <w:sz w:val="1"/>
                <w:szCs w:val="1"/>
                <w:color w:val="auto"/>
              </w:rPr>
            </w:pPr>
          </w:p>
        </w:tc>
      </w:tr>
      <w:tr>
        <w:trPr>
          <w:trHeight w:val="304"/>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Mott</w:t>
            </w:r>
          </w:p>
        </w:tc>
        <w:tc>
          <w:tcPr>
            <w:tcW w:w="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249,405</w:t>
            </w:r>
          </w:p>
        </w:tc>
        <w:tc>
          <w:tcPr>
            <w:tcW w:w="0" w:type="dxa"/>
            <w:vAlign w:val="bottom"/>
          </w:tcPr>
          <w:p>
            <w:pPr>
              <w:spacing w:after="0"/>
              <w:rPr>
                <w:sz w:val="1"/>
                <w:szCs w:val="1"/>
                <w:color w:val="auto"/>
              </w:rPr>
            </w:pPr>
          </w:p>
        </w:tc>
      </w:tr>
      <w:tr>
        <w:trPr>
          <w:trHeight w:val="42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1"/>
              </w:rPr>
              <w:t>72,500</w:t>
            </w:r>
            <w:r>
              <w:rPr>
                <w:rFonts w:ascii="Times New Roman" w:cs="Times New Roman" w:eastAsia="Times New Roman" w:hAnsi="Times New Roman"/>
                <w:sz w:val="29"/>
                <w:szCs w:val="29"/>
                <w:color w:val="auto"/>
                <w:w w:val="9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221,905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-1723390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-1723390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-1723390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-1723390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2" w:lineRule="exact"/>
        <w:rPr>
          <w:sz w:val="20"/>
          <w:szCs w:val="20"/>
          <w:color w:val="auto"/>
        </w:rPr>
      </w:pPr>
    </w:p>
    <w:p>
      <w:pPr>
        <w:ind w:left="640" w:right="339" w:hanging="348"/>
        <w:spacing w:after="0" w:line="227"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Option Awards column represent the grant date fair value of the stock options granted to the non-employee members of our board of directors during 2021 as computed in accordance with ASC 718. The assumptions used in calculating the grant date fair value of the stock option reported in the Option Awards column are set forth in Note 10 to the audited financial statements included in our Annual Report on Form 10-K filed on March 8, 2022.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 In June 2021, each of our non-employee directors, other than Ms. Bhanji and Mr. Ringold, was granted an annual option to purchase 32,765 shares of our common stock pursuant to the Director Compensation Program with the grant date fair value of $149,405. Upon her initial appointment to our board of directors, on March 11, 2021, Ms. Bhanji was granted an initial option to purchase 63,687 shares of our common stock pursuant to our Director Compensation Program with a grant date fair value of $284,757.</w:t>
      </w:r>
    </w:p>
    <w:p>
      <w:pPr>
        <w:spacing w:after="0" w:line="16"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Director Compensation Program, each of Messrs. Bertrand and Rodgers and Dr. Lundberg elected to receive a stock award in lieu of their respective 2021 annual cash retainers. The fully vested stock awards consisted of 8,891, 9,917 and 7,181 shares of our common stock for Messrs. Bertrand and Rodgers and Dr. Lundberg, respectively. The number of shares of our common stock issued was calculated by dividing the annual retainer otherwise payable in cash at the 2021 Annual Meeting of Stockholders as reported in this column by $7.31, which was the closing trading price of our common stock on the date of the 2021 Annual Meeting of Stockholders, rounded down to the nearest whole share.</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Bhanji was appointed to our board of directors effective March 11, 2021.</w:t>
      </w:r>
    </w:p>
    <w:p>
      <w:pPr>
        <w:spacing w:after="0" w:line="100"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number of shares of our common stock subject to outstanding options held by each of our non-employee directors as of December 31, 2021.</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49"/>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50"/>
        </w:trPr>
        <w:tc>
          <w:tcPr>
            <w:tcW w:w="71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161,295</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Bertrand, Jr.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176,295</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Muna Bhanji</w:t>
            </w:r>
          </w:p>
        </w:tc>
        <w:tc>
          <w:tcPr>
            <w:tcW w:w="108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63,687</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A. Block, M.D.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138,795</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108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98,655</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136,295</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734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David Mott</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241,295</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Gordon Ringold, Ph.D.</w:t>
            </w:r>
            <w:r>
              <w:rPr>
                <w:rFonts w:ascii="Times New Roman" w:cs="Times New Roman" w:eastAsia="Times New Roman" w:hAnsi="Times New Roman"/>
                <w:sz w:val="29"/>
                <w:szCs w:val="29"/>
                <w:color w:val="auto"/>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157,647</w:t>
            </w:r>
          </w:p>
        </w:tc>
        <w:tc>
          <w:tcPr>
            <w:tcW w:w="0" w:type="dxa"/>
            <w:vAlign w:val="bottom"/>
          </w:tcPr>
          <w:p>
            <w:pPr>
              <w:spacing w:after="0"/>
              <w:rPr>
                <w:sz w:val="1"/>
                <w:szCs w:val="1"/>
                <w:color w:val="auto"/>
              </w:rPr>
            </w:pPr>
          </w:p>
        </w:tc>
      </w:tr>
      <w:tr>
        <w:trPr>
          <w:trHeight w:val="27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196,295</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-1868170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9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 options to purchase 110,000 shares of our common stock that Mr. Mott holds for the benefit of entities associated with New Enterprise Associates.</w:t>
      </w:r>
    </w:p>
    <w:p>
      <w:pPr>
        <w:ind w:left="640" w:right="37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Ringold stepped down from our board of directors effective March 11, 2021 and our compensation committee extended the time period during which Dr. Ringold could exercise his vested stock options through March 11, 2022.</w:t>
      </w:r>
    </w:p>
    <w:p>
      <w:pPr>
        <w:sectPr>
          <w:pgSz w:w="11900" w:h="16838" w:orient="portrait"/>
          <w:cols w:equalWidth="0" w:num="1">
            <w:col w:w="9019"/>
          </w:cols>
          <w:pgMar w:left="1440" w:top="263"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31, 2022.</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3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51"/>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Regulatory Affairs and Quality Assurance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Rodriguez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Rosenbaum,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Williams, M.D.</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-1456690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-1456690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following biographical information is furnished with regard to our executive officers (except for Mr. Raab, whose biographical information appears above under “Class II Directors”) as of March 31, 2022:</w:t>
      </w:r>
    </w:p>
    <w:p>
      <w:pPr>
        <w:spacing w:after="0" w:line="50" w:lineRule="exact"/>
        <w:rPr>
          <w:sz w:val="20"/>
          <w:szCs w:val="20"/>
          <w:color w:val="auto"/>
        </w:rPr>
      </w:pPr>
    </w:p>
    <w:p>
      <w:pPr>
        <w:ind w:left="300" w:right="399"/>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Robert Blanks, </w:t>
      </w:r>
      <w:r>
        <w:rPr>
          <w:rFonts w:ascii="Times New Roman" w:cs="Times New Roman" w:eastAsia="Times New Roman" w:hAnsi="Times New Roman"/>
          <w:sz w:val="18"/>
          <w:szCs w:val="18"/>
          <w:color w:val="auto"/>
        </w:rPr>
        <w:t>has served as our Chief Regulatory Affairs and Quality Assurance Officer since January 2020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served as our head of regulatory affairs and quality assurance from July 2013 to January 2020. From 2009 to 2012, Mr. Blanks served as the Vice President, Chemistry, Manufacturing and Controls for Flexion Therapeutics, Inc. (Nasdaq: FLXN), leading the CMC work on Zilretta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 addition, Mr. Blanks served as the Vice President Quality Assurance for Idenix Pharmaceuticals, Inc., a biopharmaceutical company, from 2006 to 2009, during the approval and launch of its first product, Tyzeka™. Prior to that, Mr. Blanks served in positions of increasing responsibility for GelTex Pharmaceuticals, a biopharmaceuticals company, including most recently as Senior Director, Quality Affairs, where he played a critical role in advancing the company’s first product, RenaGel from pre-IND to NDA approval in four years. Mr. Blanks has a B.S. in Biology from Bowdoin College, and an M.S. in Chemistry from Boston College.</w:t>
      </w:r>
    </w:p>
    <w:p>
      <w:pPr>
        <w:spacing w:after="0" w:line="90"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Elizabeth Grammer, Esq., </w:t>
      </w:r>
      <w:r>
        <w:rPr>
          <w:rFonts w:ascii="Times New Roman" w:cs="Times New Roman" w:eastAsia="Times New Roman" w:hAnsi="Times New Roman"/>
          <w:sz w:val="18"/>
          <w:szCs w:val="18"/>
          <w:color w:val="auto"/>
        </w:rPr>
        <w:t>has served as our Chief Legal and Administrative Officer since January 2020,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as our General Counsel since May 2014, and as our vice president responsible for legal affairs from December 2012 until May 2014.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Ms. Grammer received a B.A. from Boston University and a J.D. from Stanford Law School.</w:t>
      </w:r>
    </w:p>
    <w:p>
      <w:pPr>
        <w:spacing w:after="0" w:line="77" w:lineRule="exact"/>
        <w:rPr>
          <w:sz w:val="20"/>
          <w:szCs w:val="20"/>
          <w:color w:val="auto"/>
        </w:rPr>
      </w:pPr>
    </w:p>
    <w:p>
      <w:pPr>
        <w:jc w:val="both"/>
        <w:ind w:left="300" w:right="37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Justin Renz </w:t>
      </w:r>
      <w:r>
        <w:rPr>
          <w:rFonts w:ascii="Times New Roman" w:cs="Times New Roman" w:eastAsia="Times New Roman" w:hAnsi="Times New Roman"/>
          <w:sz w:val="17"/>
          <w:szCs w:val="17"/>
          <w:color w:val="auto"/>
        </w:rPr>
        <w:t>has served as our Chief Financial Officer since June 2020. Beginning in 2017, Mr. Renz held various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positions of increasing responsibility at Correvio Pharma Corp (Nasdaq: CORV), most recently as its President and Chief Financial Officer at the time of its acquisition by Advanz Pharma in May 2020. From 2014 to 2017, Mr. Renz was the Executive Vice President and Chief Financial Officer of Karyopharm Therapeutics, Inc. (Nasdaq: KTPI).</w:t>
      </w:r>
    </w:p>
    <w:p>
      <w:pPr>
        <w:ind w:left="300" w:right="419"/>
        <w:spacing w:after="0" w:line="273" w:lineRule="auto"/>
        <w:rPr>
          <w:sz w:val="20"/>
          <w:szCs w:val="20"/>
          <w:color w:val="auto"/>
        </w:rPr>
      </w:pPr>
      <w:r>
        <w:rPr>
          <w:rFonts w:ascii="Times New Roman" w:cs="Times New Roman" w:eastAsia="Times New Roman" w:hAnsi="Times New Roman"/>
          <w:sz w:val="17"/>
          <w:szCs w:val="17"/>
          <w:color w:val="auto"/>
        </w:rPr>
        <w:t>Prior to that, from 2006 to 2014, Mr. Renz held a variety of financial positions with Zalicus Incorporated,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spacing w:after="0" w:line="6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Susan Rodriguez, </w:t>
      </w:r>
      <w:r>
        <w:rPr>
          <w:rFonts w:ascii="Times New Roman" w:cs="Times New Roman" w:eastAsia="Times New Roman" w:hAnsi="Times New Roman"/>
          <w:sz w:val="18"/>
          <w:szCs w:val="18"/>
          <w:color w:val="auto"/>
        </w:rPr>
        <w:t>has served as our Chief Commercial Officer since May 2020. From 2014 to 2019, Ms. Rodriguez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founding Chief Executive Officer of Tolmar Pharmaceuticals, Inc., a U.S. specialty pharmaceutical company, and from 2019 to 2020, she served as President of the branded division following formation of the global entity, Tolmar, Inc. Prior to that, Ms. Rodriguez held various positions of increasing responsibility at Abbott Laboratories, Inc. (NYSE: ABT) from 1990 to 2014, most recently as Divisional Vice President of Global Marketing, where she established the global marketing function for an international portfolio of nutrition brands, and directed strategic brand planning and commercial strategies for multiple product launches. Ms. Rodriguez serves on the board of directors of Heron Therapeutics, Inc. (Nasdaq: HRTX), and on the board of directors of the Cuba Emprende Foundation, a non-profit charitable organization. Ms. Rodriguez received her B.A. and M.A. in Psychology from the University of Pennsylvania.</w:t>
      </w:r>
    </w:p>
    <w:p>
      <w:pPr>
        <w:spacing w:after="0" w:line="77"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David Rosenbaum, Ph.D., </w:t>
      </w:r>
      <w:r>
        <w:rPr>
          <w:rFonts w:ascii="Times New Roman" w:cs="Times New Roman" w:eastAsia="Times New Roman" w:hAnsi="Times New Roman"/>
          <w:sz w:val="18"/>
          <w:szCs w:val="18"/>
          <w:color w:val="auto"/>
        </w:rPr>
        <w:t>has served as our Chief Development Officer since January 2017 and formerly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vice president responsible for drug development from January 2010 to January 2017. From 2003 to 2008,</w:t>
      </w:r>
    </w:p>
    <w:p>
      <w:pPr>
        <w:sectPr>
          <w:pgSz w:w="11900" w:h="16838" w:orient="portrait"/>
          <w:cols w:equalWidth="0" w:num="1">
            <w:col w:w="9019"/>
          </w:cols>
          <w:pgMar w:left="1440" w:top="263" w:right="1440"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75"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Laura Williams, M.D., </w:t>
      </w:r>
      <w:r>
        <w:rPr>
          <w:rFonts w:ascii="Times New Roman" w:cs="Times New Roman" w:eastAsia="Times New Roman" w:hAnsi="Times New Roman"/>
          <w:sz w:val="18"/>
          <w:szCs w:val="18"/>
          <w:color w:val="auto"/>
        </w:rPr>
        <w:t>has served as our Chief Medical Officer since October 2021. Before that, Dr. Williams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our Senior Vice President, Global Therapeutic Strategies and Patient Advocacy since November 2020. Prior to Ardelyx, Dr. Williams served as Senior Vice President, Head of Clinical Development and Biostatistics at AMAG Pharmaceuticals, a pharmaceutical company, from September 2017 to January 2020. Previously,</w:t>
      </w:r>
    </w:p>
    <w:p>
      <w:pPr>
        <w:spacing w:after="0" w:line="3"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Dr. Williams served as Vice President, Clinical Development at Myovant Sciences (NYSE: MYOV) from September 2016 to August 2017. Dr. Williams held roles of increasing responsibility at AbbVie Pharmaceuticals (Nasdaq: ABBV) from January 2013 to July 2016, and at Abbott Laboratories, Inc. (NYSE: ABT) from July 2009 to December 2012, leading multiple global clinical development programs and managing the general medicine therapeutic area. Dr. Williams received a B.S. degree in Pre-Medicine/Pre-Medical Studies and Biochemistry from Mississippi State University, a M.D. from University of Iowa, and a M.P.H. degree in Epidemiology from University of Washington, where she also completed a clinical fellowship in Infectious Diseases.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In this Compensation Discussion and Analysis (“CD&amp;A”) set forth below, we provide an overview and analysis of the compensation awarded to or earned by our named executive officers identified in the Summary Compensation Table below during fiscal 2021, including the elements of our compensation program for named executive officers, material compensation decisions made under that program for fiscal 2021 and the material factors considered in making those decisions. Our named executive officers for the year ended December 31, 2021, which consist of our principal executive officer, our principal financial officer and our three other most highly compensated executive officers for fiscal year 2021 (collectively, the “named executive officers”) are:</w:t>
      </w:r>
    </w:p>
    <w:p>
      <w:pPr>
        <w:spacing w:after="0" w:line="81"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Raab, who serves as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Renz, who serves as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Blanks, who serves as Chief Regulatory Affairs and Quality Assurance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Grammer, Esq., who serves as our Chief Legal and Administrative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Rosenbaum, Ph.D., who serves as our Chief Development Officer.</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Details of our Compensation Program</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Objectives and Rewards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72"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Our compensation committee works with Pearl Meyer, the compensation committee’s compensation consultant, to and implement compensation arrangements that reflect our compensation philosophy.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Compensation</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During fiscal 2021, our board of directors or compensation committee made compensation decisions with respect to our named executive officers. Our board of directors and compensation committee took into account recommendations from Pearl Meyer, and, other than with respect to his own compensation, our Chief Executive Officer.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 in Determining Executive Compensation</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When making compensation decisions in fiscal 2021, our board of directors and compensation committee considered advice and market data provided by Pearl Meyer and reviewed compensation data from the public filings for the following companies: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Agenus,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Albiero Pharma,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Atara Biotherapeutics,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Cytokenetics, Incorporated</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DURECT Corporation</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Dynavax Technologies Corporation</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Enanta Pharmacuticals,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Flexion Therapeutics,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Kala Pharmaceuticals,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Karyopharm Therapeutics,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 Jolla Pharmaceutical Company</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Lexicon Pharmaceuticals,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Ocular Therapeutix,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Puma Biotechnology,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Radius Health,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Retrophin,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Rigel Pharmaceuticals,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Seres Therapeutics, Inc.</w:t>
            </w:r>
          </w:p>
        </w:tc>
      </w:tr>
    </w:tbl>
    <w:p>
      <w:pPr>
        <w:spacing w:after="0" w:line="14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Our compensation committee reviewed our named executive officer compensation against this peer group to ensure that our named executive officer compensation is competitive and sufficient to recruit and retain our named executive officers. While the compensation committee considered this data in evaluating named executive officer compensation, we did not seek to benchmark our named executive officer compensation to any particular level.</w:t>
      </w:r>
    </w:p>
    <w:p>
      <w:pPr>
        <w:spacing w:after="0" w:line="72"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Our compensation committee expects to periodically review and update this peer group and to utilize Pearl Meyer for benchmarking and peer group analysis in determining and developing compensation packages for our named executive officers.</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Determining Executive Compensation</w:t>
      </w:r>
    </w:p>
    <w:p>
      <w:pPr>
        <w:spacing w:after="0" w:line="121" w:lineRule="exact"/>
        <w:rPr>
          <w:sz w:val="20"/>
          <w:szCs w:val="20"/>
          <w:color w:val="auto"/>
        </w:rPr>
      </w:pPr>
    </w:p>
    <w:p>
      <w:pPr>
        <w:jc w:val="both"/>
        <w:ind w:left="300" w:right="559"/>
        <w:spacing w:after="0" w:line="261" w:lineRule="auto"/>
        <w:rPr>
          <w:sz w:val="20"/>
          <w:szCs w:val="20"/>
          <w:color w:val="auto"/>
        </w:rPr>
      </w:pPr>
      <w:r>
        <w:rPr>
          <w:rFonts w:ascii="Times New Roman" w:cs="Times New Roman" w:eastAsia="Times New Roman" w:hAnsi="Times New Roman"/>
          <w:sz w:val="18"/>
          <w:szCs w:val="18"/>
          <w:color w:val="auto"/>
        </w:rPr>
        <w:t>Our chief executive officer made recommendations to our compensation committee to assist in determining fiscal 2021 compensation levels, other than with respect to his own compensation. While our compensation committee utilized this information, the ultimate decisions regarding fiscal 2021 executive compensation were made by our compensation committee and our board of directors.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Executive Compensation Program</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For fiscal 2021, our executive compensation program consisted of the following elements, each established as part of our program in order to achieve the compensation objective specified below:</w:t>
      </w:r>
    </w:p>
    <w:p>
      <w:pPr>
        <w:sectPr>
          <w:pgSz w:w="11900" w:h="16838" w:orient="portrait"/>
          <w:cols w:equalWidth="0" w:num="1">
            <w:col w:w="9019"/>
          </w:cols>
          <w:pgMar w:left="1440" w:top="263" w:right="1440" w:bottom="1440" w:gutter="0" w:footer="0" w:header="0"/>
        </w:sect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1517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Base Salary</w:t>
      </w:r>
    </w:p>
    <w:p>
      <w:pPr>
        <w:spacing w:after="0" w:line="333" w:lineRule="exact"/>
        <w:rPr>
          <w:sz w:val="20"/>
          <w:szCs w:val="20"/>
          <w:color w:val="auto"/>
        </w:rPr>
      </w:pPr>
    </w:p>
    <w:p>
      <w:pPr>
        <w:ind w:left="300" w:right="720"/>
        <w:spacing w:after="0" w:line="312" w:lineRule="auto"/>
        <w:rPr>
          <w:sz w:val="20"/>
          <w:szCs w:val="20"/>
          <w:color w:val="auto"/>
        </w:rPr>
      </w:pPr>
      <w:r>
        <w:rPr>
          <w:rFonts w:ascii="Times New Roman" w:cs="Times New Roman" w:eastAsia="Times New Roman" w:hAnsi="Times New Roman"/>
          <w:sz w:val="17"/>
          <w:szCs w:val="17"/>
          <w:color w:val="auto"/>
        </w:rPr>
        <w:t>Cash-Based Incentive Compensation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Severance and Other Benefits Potentially Payable upon Termination of Employment or Change in Control</w:t>
      </w:r>
    </w:p>
    <w:p>
      <w:pPr>
        <w:spacing w:after="0" w:line="7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Retirement, Health and Welfare Benefits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Compensation Objectives Designed to be Achieved and Key</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36944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04" w:lineRule="exact"/>
        <w:rPr>
          <w:sz w:val="20"/>
          <w:szCs w:val="20"/>
          <w:color w:val="auto"/>
        </w:rPr>
      </w:pPr>
    </w:p>
    <w:p>
      <w:pPr>
        <w:ind w:right="459"/>
        <w:spacing w:after="0" w:line="282" w:lineRule="auto"/>
        <w:rPr>
          <w:sz w:val="20"/>
          <w:szCs w:val="20"/>
          <w:color w:val="auto"/>
        </w:rPr>
      </w:pPr>
      <w:r>
        <w:rPr>
          <w:rFonts w:ascii="Times New Roman" w:cs="Times New Roman" w:eastAsia="Times New Roman" w:hAnsi="Times New Roman"/>
          <w:sz w:val="18"/>
          <w:szCs w:val="18"/>
          <w:color w:val="auto"/>
        </w:rPr>
        <w:t>Base salary attracts and retains talented executives, recognizes individual roles and responsibilities and provides stable income</w:t>
      </w:r>
    </w:p>
    <w:p>
      <w:pPr>
        <w:spacing w:after="0" w:line="54" w:lineRule="exact"/>
        <w:rPr>
          <w:sz w:val="20"/>
          <w:szCs w:val="20"/>
          <w:color w:val="auto"/>
        </w:rPr>
      </w:pPr>
    </w:p>
    <w:p>
      <w:pPr>
        <w:ind w:right="939"/>
        <w:spacing w:after="0" w:line="282" w:lineRule="auto"/>
        <w:rPr>
          <w:sz w:val="20"/>
          <w:szCs w:val="20"/>
          <w:color w:val="auto"/>
        </w:rPr>
      </w:pPr>
      <w:r>
        <w:rPr>
          <w:rFonts w:ascii="Times New Roman" w:cs="Times New Roman" w:eastAsia="Times New Roman" w:hAnsi="Times New Roman"/>
          <w:sz w:val="18"/>
          <w:szCs w:val="18"/>
          <w:color w:val="auto"/>
        </w:rPr>
        <w:t>Directly ties pay to key corporate metrics, which we believe will lead to sustained value for all stakeholders over the long term.</w:t>
      </w:r>
    </w:p>
    <w:p>
      <w:pPr>
        <w:spacing w:after="0" w:line="54" w:lineRule="exact"/>
        <w:rPr>
          <w:sz w:val="20"/>
          <w:szCs w:val="20"/>
          <w:color w:val="auto"/>
        </w:rPr>
      </w:pPr>
    </w:p>
    <w:p>
      <w:pPr>
        <w:ind w:right="339"/>
        <w:spacing w:after="0" w:line="258" w:lineRule="auto"/>
        <w:rPr>
          <w:sz w:val="20"/>
          <w:szCs w:val="20"/>
          <w:color w:val="auto"/>
        </w:rPr>
      </w:pPr>
      <w:r>
        <w:rPr>
          <w:rFonts w:ascii="Times New Roman" w:cs="Times New Roman" w:eastAsia="Times New Roman" w:hAnsi="Times New Roman"/>
          <w:sz w:val="18"/>
          <w:szCs w:val="18"/>
          <w:color w:val="auto"/>
        </w:rPr>
        <w:t>Equity-based compensation, provided in the form of stock options and restricted stock units, reinforces the importance of a long-term, ownership orientation, creates alignment with our stockholders, and promotes retention. Equity-based compensation is the most significant portion of compensation for our executives.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our executives security to focus on executing our strategies.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color w:val="auto"/>
        </w:rPr>
        <w:t>Rounds out a competitive compensation package and aids in retaining our executives.</w:t>
      </w:r>
    </w:p>
    <w:p>
      <w:pPr>
        <w:spacing w:after="0" w:line="108" w:lineRule="exact"/>
        <w:rPr>
          <w:sz w:val="20"/>
          <w:szCs w:val="20"/>
          <w:color w:val="auto"/>
        </w:rPr>
      </w:pPr>
    </w:p>
    <w:p>
      <w:pPr>
        <w:sectPr>
          <w:pgSz w:w="11900" w:h="16838" w:orient="portrait"/>
          <w:cols w:equalWidth="0" w:num="2">
            <w:col w:w="2580" w:space="320"/>
            <w:col w:w="6119"/>
          </w:cols>
          <w:pgMar w:left="1440" w:top="263" w:right="1440" w:bottom="1440" w:gutter="0" w:footer="0" w:header="0"/>
          <w:type w:val="continuous"/>
        </w:sectPr>
      </w:pPr>
    </w:p>
    <w:p>
      <w:pPr>
        <w:ind w:left="300" w:right="1199"/>
        <w:spacing w:after="0" w:line="282" w:lineRule="auto"/>
        <w:rPr>
          <w:sz w:val="20"/>
          <w:szCs w:val="20"/>
          <w:color w:val="auto"/>
        </w:rPr>
      </w:pPr>
      <w:r>
        <w:rPr>
          <w:rFonts w:ascii="Times New Roman" w:cs="Times New Roman" w:eastAsia="Times New Roman" w:hAnsi="Times New Roman"/>
          <w:sz w:val="18"/>
          <w:szCs w:val="18"/>
          <w:color w:val="auto"/>
        </w:rPr>
        <w:t>We do not currently have, and we do not expect to have, formal policies relating to the allocation of total compensation among the various elements of our compensation program.</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base salaries of our named executive officers are an important part of their total compensation package, and are intended to reflect their respective positions, duties and responsibilities. Base salary is a visible and stable fixed component of our compensation program. Base salaries for our named executive officers were initially established through arms-length negotiation at the time an executive was hired.</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the base salaries of our named executive officers for fiscal 2021:</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Named Executive Officer Fiscal 2021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50800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75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$445,500</w:t>
            </w:r>
          </w:p>
        </w:tc>
      </w:tr>
      <w:tr>
        <w:trPr>
          <w:trHeight w:val="54"/>
        </w:trPr>
        <w:tc>
          <w:tcPr>
            <w:tcW w:w="7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$422,000</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Elizabeth Grammar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$445,500</w:t>
            </w:r>
          </w:p>
        </w:tc>
      </w:tr>
      <w:tr>
        <w:trPr>
          <w:trHeight w:val="54"/>
        </w:trPr>
        <w:tc>
          <w:tcPr>
            <w:tcW w:w="7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r>
      <w:tr>
        <w:trPr>
          <w:trHeight w:val="54"/>
        </w:trPr>
        <w:tc>
          <w:tcPr>
            <w:tcW w:w="75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Cash-Based Incentive Compensation</w:t>
      </w:r>
    </w:p>
    <w:p>
      <w:pPr>
        <w:spacing w:after="0" w:line="121"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We consider annual cash incentive bonuses to be an important component of our total compensation program and provides incentives necessary to retain and motivate named executive officers. For 2021, our named executive officers were eligible to receive performance-based cash incentives pursuant to the achievement of certain corporate performance objectives. The performance goals for these annual performance cash bonuses were evaluated by our compensation committee and approved by our board of directors. The determination of the amount of bonuses paid to our named executive officers generally reflects a number of considerations, including the named executive officer’s target bonus opportunity and the performance of the company against corporate goals.</w:t>
      </w:r>
    </w:p>
    <w:p>
      <w:pPr>
        <w:sectPr>
          <w:pgSz w:w="11900" w:h="16838" w:orient="portrait"/>
          <w:cols w:equalWidth="0" w:num="1">
            <w:col w:w="9019"/>
          </w:cols>
          <w:pgMar w:left="1440" w:top="263" w:right="1440" w:bottom="1440" w:gutter="0" w:footer="0" w:header="0"/>
          <w:type w:val="continuous"/>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5" w:name="page36"/>
    <w:bookmarkEnd w:id="3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Each named executive officer’s target bonus opportunity is expressed as a percentage of base salary. Our named executive officers’ 2021 target bonus opportunities, as a percentage of base salary, remained at the same level as in 2020. For 2021, Mr. Raab had an annual bonus target of 60% of his base salary, and each other named executive officer had an annual bonus target of 40% of base salary. Our board of directors or our compensation committee has historically reviewed these target percentages to ensure they are adequate, but does not follow a formula in determining them. Instead, our board of directors or our compensation committee has set these rates based on each participating executive’s experience in her or his role with our company and the level of responsibility held by each executive, which the board of directors or our compensation committee believe directly correlates to her or his ability to influence corporate results.</w:t>
      </w:r>
    </w:p>
    <w:p>
      <w:pPr>
        <w:spacing w:after="0" w:line="80"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For determining performance bonus amounts for our named executive officers for 2021, our board of directors initially set certain corporate performance goals related to tenapanor for the control of serum phosphorus, RDX013, RDX020, in-licensing, partnering and financing objectives and operation strategies. On August 2, 2021, the Company began implementing a restructuring plan to better align the Company’s workforce and anticipated commercial and development spend with the company’s capital resources and the needs of its business. In light of the Company’s restructuring and the need to retain the employees who were not impacted by the restructuring, the board of directors approved a retention program whereby the board agreed to amend the 2021 annual corporate bonus plan such that each current employee who continued to be employed through the earlier of January 31, 2022, or the payment date, would receive 50% of their 2021 target bonus.</w:t>
      </w:r>
    </w:p>
    <w:p>
      <w:pPr>
        <w:spacing w:after="0" w:line="80" w:lineRule="exact"/>
        <w:rPr>
          <w:sz w:val="20"/>
          <w:szCs w:val="20"/>
          <w:color w:val="auto"/>
        </w:rPr>
      </w:pPr>
    </w:p>
    <w:p>
      <w:pPr>
        <w:ind w:left="300" w:right="559"/>
        <w:spacing w:after="0" w:line="272" w:lineRule="auto"/>
        <w:rPr>
          <w:sz w:val="20"/>
          <w:szCs w:val="20"/>
          <w:color w:val="auto"/>
        </w:rPr>
      </w:pPr>
      <w:r>
        <w:rPr>
          <w:rFonts w:ascii="Times New Roman" w:cs="Times New Roman" w:eastAsia="Times New Roman" w:hAnsi="Times New Roman"/>
          <w:sz w:val="17"/>
          <w:szCs w:val="17"/>
          <w:color w:val="auto"/>
        </w:rPr>
        <w:t>Following the implementation of a second restructuring plan on October 4, 2021, and as part of the retention program discussed below, the board agreed to further amend the 2021 annual corporate bonus plan such that each current non-executive employee who continued to be employed through April 1, 2022 would receive the second</w:t>
      </w:r>
    </w:p>
    <w:p>
      <w:pPr>
        <w:spacing w:after="0" w:line="2" w:lineRule="exact"/>
        <w:rPr>
          <w:sz w:val="20"/>
          <w:szCs w:val="20"/>
          <w:color w:val="auto"/>
        </w:rPr>
      </w:pPr>
    </w:p>
    <w:p>
      <w:pPr>
        <w:ind w:left="300" w:right="319"/>
        <w:spacing w:after="0" w:line="232" w:lineRule="auto"/>
        <w:rPr>
          <w:sz w:val="20"/>
          <w:szCs w:val="20"/>
          <w:color w:val="auto"/>
        </w:rPr>
      </w:pPr>
      <w:r>
        <w:rPr>
          <w:rFonts w:ascii="Times New Roman" w:cs="Times New Roman" w:eastAsia="Times New Roman" w:hAnsi="Times New Roman"/>
          <w:sz w:val="18"/>
          <w:szCs w:val="18"/>
          <w:color w:val="auto"/>
        </w:rPr>
        <w:t>50% of their 2021 target bonus, and that each executive officer could earn the second 50% of their 2021 target bonus following the achievement of certain revised milestones related to IBSRELA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XPHOZAH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subject to continued employment through April 1, 2022. The bonus would not have been earned if the named executive officer voluntarily terminated employment or was terminated by the Company for cause prior to April 1, 2022. In April, 2022, the compensation committee determined that the milestones were attained and the second 50% of the named executive officers’ bonus opportunities were paid out at that time. The named executive officers’ 2021 bonuses are set forth in the “Non-Equity Incentive Plan Compensation” column of the “2021 Summary Compensation Table” below.</w:t>
      </w:r>
    </w:p>
    <w:p>
      <w:pPr>
        <w:spacing w:after="0" w:line="9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addition to our formal cash incentive program, our compensation committee may approve discretionary bonuses to be paid to our named executive officers from time to time, when it determines it to be appropriate to reward performance or incentivize future results. On October 8, 2021, the Board determined that it is in the best interests of the Company and its stockholder to put in place arrangements designed to provide that the Company will have the continued dedication and commitment of those employees, including executives, determined to be key to the restructuring and planned future operations of the Company, and thus, not impacted by the reduction in force. The Board approved a retention program consisting of cash payments and grants of restricted stock units to the Company’s employees not impacted by the reduction in force. Under the retention program, Mr. Raab and Dr. Rosenbaum and each other named executive officer has the opportunity to earn cash retention awards of $300,000, $150,000 and $250,000, respectively, subject to continued service through October 31, 2022 and attainment of individual performance milestones and corporate milestones primarily related to the regulatory process for XPHOZAH; the potential launch of IBSRELA; RDX013 and financing objectives and operation strategies. The cash retention bonus is payable earlier only upon the closing of a change in control or an involuntary termination of employment by the Company without cause.</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300" w:right="319"/>
        <w:spacing w:after="0" w:line="230" w:lineRule="auto"/>
        <w:rPr>
          <w:sz w:val="20"/>
          <w:szCs w:val="20"/>
          <w:color w:val="auto"/>
        </w:rPr>
      </w:pPr>
      <w:r>
        <w:rPr>
          <w:rFonts w:ascii="Times New Roman" w:cs="Times New Roman" w:eastAsia="Times New Roman" w:hAnsi="Times New Roman"/>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shareholders. We do not currently have any formal policy for determining the number of equity-based awards to grant to named executive officers, though our compensation committee does reference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 of companies when approving annual equity awards.</w:t>
      </w:r>
    </w:p>
    <w:p>
      <w:pPr>
        <w:spacing w:after="0" w:line="93" w:lineRule="exact"/>
        <w:rPr>
          <w:sz w:val="20"/>
          <w:szCs w:val="20"/>
          <w:color w:val="auto"/>
        </w:rPr>
      </w:pPr>
    </w:p>
    <w:p>
      <w:pPr>
        <w:ind w:left="300" w:right="839"/>
        <w:spacing w:after="0" w:line="312" w:lineRule="auto"/>
        <w:rPr>
          <w:sz w:val="20"/>
          <w:szCs w:val="20"/>
          <w:color w:val="auto"/>
        </w:rPr>
      </w:pPr>
      <w:r>
        <w:rPr>
          <w:rFonts w:ascii="Times New Roman" w:cs="Times New Roman" w:eastAsia="Times New Roman" w:hAnsi="Times New Roman"/>
          <w:sz w:val="17"/>
          <w:szCs w:val="17"/>
          <w:color w:val="auto"/>
        </w:rPr>
        <w:t>On January 5, 2021, in connection with our annual compensation review, Mr. Raab was granted an option to purchase 517,959 shares of our common stock and each other named executive officer was granted options 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purchase 146,755 shares of our common stock, in each case, under our 2014 Equity Incentive Award Plan at an exercise price equal to $6.35, which was the fair market value of our common stock on the grant date. The option vests and becomes exercisable in substantially equal monthly installments over four years from the grant date, subject to each holder continuing to provide services to us through such dates. In addition, Mr. Raab was granted 115,102 restricted stock units and each other named executive officer was granted 32,612 restricted stock units, in each case, under our 2014 Equity Incentive Award Plan. The restricted stock units vest in substantially equal quarterly installments over four years on each of February 19, May 19, August 19 and November 19 following the grant date, subject to each holder continuing to provide services to us through such dates.</w:t>
      </w:r>
    </w:p>
    <w:p>
      <w:pPr>
        <w:spacing w:after="0" w:line="84"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On October 8, 2021, as part of the retention program discussed above, the board of directors approved grants of restricted stock units with respect to 300,000 shares in the case of Mr. Raab, 150,000 shares in the case of</w:t>
      </w:r>
    </w:p>
    <w:p>
      <w:pPr>
        <w:ind w:left="300" w:right="639"/>
        <w:spacing w:after="0" w:line="255" w:lineRule="auto"/>
        <w:rPr>
          <w:sz w:val="20"/>
          <w:szCs w:val="20"/>
          <w:color w:val="auto"/>
        </w:rPr>
      </w:pPr>
      <w:r>
        <w:rPr>
          <w:rFonts w:ascii="Times New Roman" w:cs="Times New Roman" w:eastAsia="Times New Roman" w:hAnsi="Times New Roman"/>
          <w:sz w:val="18"/>
          <w:szCs w:val="18"/>
          <w:color w:val="auto"/>
        </w:rPr>
        <w:t>Dr. Rosenbaum and 250,000 shares in the case of each other named executive officers. The restricted stock units vest in full, subject to continued service, upon the earlier June 1, 2022, the closing of a change in control or an involuntary termination of employment by the Company without cause.</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We do not currently provide for any matching contributions under the 401(k) plan.</w:t>
      </w:r>
    </w:p>
    <w:p>
      <w:pPr>
        <w:spacing w:after="0" w:line="7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We do not provide any perquisites or personal benefits to our named executive officers not otherwise made available to other employees in 2021.</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Arrangements</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We have entered into agreements with each of the named executive officers in connection with their employment with us. These agreements set forth the terms and conditions of employment of each named executive officer, including base salary, initial equity award grants, and standard employee benefit plan participation. We also have agreements with each named executive officer that provide for severance benefits and payments upon certain terminations without cause or resignations for good reason. Our Compensation Committee believes that these types of arrangements are necessary to attract and retain executive talent and are a customary component of executive compensation. In particular, such arrangements can serve to mitigate a potential disincentive for them when they are evaluating a potential acquisition of the Company and can encourage retention through the conclusion of the transaction. The payments and benefits provided under our severance and change in control arrangements are designed to provide our named executive officers with treatment that is competitive with market practices. During 2021, we also entered into an amendment to the change in control severance agreement with Dr. Rosenbaum, under which Dr. Rosenbaum’s delivery of a resignation notice to us within the sixty day period after the $150,000 cash retention bonus, described above, is earned would entitle Dr. Rosenbaum to receive the severance benefits provided under his agreement; provided that the effective date of Dr. Rosenbaum’s resignation is no later than February 15 of the year following the year in which the cash retention bonus is earned. See ”—Potential Payments Upon Termination or Change in Control” for information regarding such severance benefits.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As a general matter, our compensation committee reviews and considers the various tax and accounting implications of compensation programs we utilize.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named executive officers during our most recently completed fiscal year ended December 31, 2021.</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1371600" cy="634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0" cy="634365"/>
                    </a:xfrm>
                    <a:prstGeom prst="rect">
                      <a:avLst/>
                    </a:prstGeom>
                    <a:noFill/>
                  </pic:spPr>
                </pic:pic>
              </a:graphicData>
            </a:graphic>
          </wp:anchor>
        </w:drawing>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Michael Raab,</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President, Chief</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Executive Officer and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Robert Blanks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Chief Regulatory Affairs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and Quality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Assurance Officer</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Elizabeth Grammer, Esq.</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Legal and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Administrative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Rosenbaum, Ph.D.</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Development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8229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23"/>
                <w:szCs w:val="23"/>
                <w:b w:val="1"/>
                <w:bCs w:val="1"/>
                <w:color w:val="auto"/>
                <w:w w:val="93"/>
                <w:vertAlign w:val="superscript"/>
              </w:rPr>
              <w:t>(1)</w:t>
            </w:r>
          </w:p>
        </w:tc>
        <w:tc>
          <w:tcPr>
            <w:tcW w:w="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2021 650,000</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31" w:lineRule="exact"/>
              <w:rPr>
                <w:sz w:val="20"/>
                <w:szCs w:val="20"/>
                <w:color w:val="auto"/>
              </w:rPr>
            </w:pPr>
            <w:r>
              <w:rPr>
                <w:rFonts w:ascii="Times New Roman" w:cs="Times New Roman" w:eastAsia="Times New Roman" w:hAnsi="Times New Roman"/>
                <w:sz w:val="18"/>
                <w:szCs w:val="18"/>
                <w:color w:val="auto"/>
              </w:rPr>
              <w:t>195,000</w:t>
            </w:r>
            <w:r>
              <w:rPr>
                <w:rFonts w:ascii="Times New Roman" w:cs="Times New Roman" w:eastAsia="Times New Roman" w:hAnsi="Times New Roman"/>
                <w:sz w:val="29"/>
                <w:szCs w:val="29"/>
                <w:color w:val="auto"/>
                <w:vertAlign w:val="superscript"/>
              </w:rPr>
              <w:t>(3)</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1,105,898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2,085,096</w:t>
            </w: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195,000</w:t>
            </w: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4,230,994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633,333</w:t>
            </w:r>
          </w:p>
        </w:tc>
        <w:tc>
          <w:tcPr>
            <w:tcW w:w="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3,006,326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314,325</w:t>
            </w: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3,953,984</w:t>
            </w: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740,922</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393,000</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1,728,922</w:t>
            </w:r>
          </w:p>
        </w:tc>
        <w:tc>
          <w:tcPr>
            <w:tcW w:w="0" w:type="dxa"/>
            <w:vAlign w:val="bottom"/>
          </w:tcPr>
          <w:p>
            <w:pPr>
              <w:spacing w:after="0"/>
              <w:rPr>
                <w:sz w:val="1"/>
                <w:szCs w:val="1"/>
                <w:color w:val="auto"/>
              </w:rPr>
            </w:pPr>
          </w:p>
        </w:tc>
      </w:tr>
      <w:tr>
        <w:trPr>
          <w:trHeight w:val="350"/>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2021 445,500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89,100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1,734,063</w:t>
            </w:r>
          </w:p>
        </w:tc>
        <w:tc>
          <w:tcPr>
            <w:tcW w:w="0" w:type="dxa"/>
            <w:vAlign w:val="bottom"/>
          </w:tcPr>
          <w:p>
            <w:pPr>
              <w:spacing w:after="0"/>
              <w:rPr>
                <w:sz w:val="1"/>
                <w:szCs w:val="1"/>
                <w:color w:val="auto"/>
              </w:rPr>
            </w:pPr>
          </w:p>
        </w:tc>
      </w:tr>
      <w:tr>
        <w:trPr>
          <w:trHeight w:val="324"/>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2020 242,839</w:t>
            </w:r>
          </w:p>
        </w:tc>
        <w:tc>
          <w:tcPr>
            <w:tcW w:w="60" w:type="dxa"/>
            <w:vAlign w:val="bottom"/>
          </w:tcPr>
          <w:p>
            <w:pPr>
              <w:spacing w:after="0"/>
              <w:rPr>
                <w:sz w:val="24"/>
                <w:szCs w:val="24"/>
                <w:color w:val="auto"/>
              </w:rPr>
            </w:pPr>
          </w:p>
        </w:tc>
        <w:tc>
          <w:tcPr>
            <w:tcW w:w="90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9"/>
                <w:szCs w:val="29"/>
                <w:color w:val="auto"/>
                <w:vertAlign w:val="superscript"/>
              </w:rPr>
              <w:t>(4)</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1,000,008</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141,900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1,468,247</w:t>
            </w:r>
          </w:p>
        </w:tc>
        <w:tc>
          <w:tcPr>
            <w:tcW w:w="0" w:type="dxa"/>
            <w:vAlign w:val="bottom"/>
          </w:tcPr>
          <w:p>
            <w:pPr>
              <w:spacing w:after="0"/>
              <w:rPr>
                <w:sz w:val="1"/>
                <w:szCs w:val="1"/>
                <w:color w:val="auto"/>
              </w:rPr>
            </w:pPr>
          </w:p>
        </w:tc>
      </w:tr>
      <w:tr>
        <w:trPr>
          <w:trHeight w:val="394"/>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2021 422,000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84,400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1,701,163</w:t>
            </w:r>
          </w:p>
        </w:tc>
        <w:tc>
          <w:tcPr>
            <w:tcW w:w="0" w:type="dxa"/>
            <w:vAlign w:val="bottom"/>
          </w:tcPr>
          <w:p>
            <w:pPr>
              <w:spacing w:after="0"/>
              <w:rPr>
                <w:sz w:val="1"/>
                <w:szCs w:val="1"/>
                <w:color w:val="auto"/>
              </w:rPr>
            </w:pPr>
          </w:p>
        </w:tc>
      </w:tr>
      <w:tr>
        <w:trPr>
          <w:trHeight w:val="972"/>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2021 445,500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89,100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1,734,063</w:t>
            </w:r>
          </w:p>
        </w:tc>
        <w:tc>
          <w:tcPr>
            <w:tcW w:w="0" w:type="dxa"/>
            <w:vAlign w:val="bottom"/>
          </w:tcPr>
          <w:p>
            <w:pPr>
              <w:spacing w:after="0"/>
              <w:rPr>
                <w:sz w:val="1"/>
                <w:szCs w:val="1"/>
                <w:color w:val="auto"/>
              </w:rPr>
            </w:pPr>
          </w:p>
        </w:tc>
      </w:tr>
      <w:tr>
        <w:trPr>
          <w:trHeight w:val="972"/>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2021 461,000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92,200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1,630,763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-1500505</wp:posOffset>
            </wp:positionV>
            <wp:extent cx="5357495" cy="6172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57495" cy="61722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-266065</wp:posOffset>
            </wp:positionV>
            <wp:extent cx="5357495" cy="4800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57495" cy="48006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-2546350</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-2546350</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-2546350</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-2546350</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-2546350</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-2546350</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-2546350</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2">
            <w:col w:w="2240" w:space="180"/>
            <w:col w:w="6599"/>
          </w:cols>
          <w:pgMar w:left="1440" w:top="263" w:right="1440" w:bottom="1440" w:gutter="0" w:footer="0" w:header="0"/>
          <w:type w:val="continuous"/>
        </w:sectPr>
      </w:pPr>
    </w:p>
    <w:p>
      <w:pPr>
        <w:spacing w:after="0" w:line="151" w:lineRule="exact"/>
        <w:rPr>
          <w:sz w:val="20"/>
          <w:szCs w:val="20"/>
          <w:color w:val="auto"/>
        </w:rPr>
      </w:pPr>
    </w:p>
    <w:p>
      <w:pPr>
        <w:ind w:left="640" w:right="339" w:hanging="348"/>
        <w:spacing w:after="0" w:line="229"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10 to the audited financial statements included in our Annual Report on Form 10-K filed on March 8, 2022.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w:t>
      </w:r>
    </w:p>
    <w:p>
      <w:pPr>
        <w:spacing w:after="0" w:line="18"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Non-Equity Incentive Plan Compensation column represent the portion of the annual cash performance-based bonuses earned by our named executive officers pursuant to the achievement of certain company performance objectives. Please see the description of the annual performance bonuses paid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right="67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Bonus column represent the portion of the annual cash performance-based bonuses that were guaranteed. Please see the description of these bonuses paid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sign-on bonus paid to Mr. Renz in connection with his commencement of employment with us in June 2020.</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8" w:name="page39"/>
    <w:bookmarkEnd w:id="3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2021</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following table provides supplemental information relating to grants of plan-based awards made during fiscal 2021 to help explain information provided above in our Summary Compensation Table. This table presents information regarding all grants of plan-based awards occurring during fiscal 2021.</w:t>
      </w:r>
    </w:p>
    <w:p>
      <w:pPr>
        <w:sectPr>
          <w:pgSz w:w="11900" w:h="16838" w:orient="portrait"/>
          <w:cols w:equalWidth="0" w:num="1">
            <w:col w:w="9019"/>
          </w:cols>
          <w:pgMar w:left="1440" w:top="263" w:right="1440" w:bottom="1440" w:gutter="0" w:footer="0" w:header="0"/>
        </w:sectPr>
      </w:pPr>
    </w:p>
    <w:p>
      <w:pPr>
        <w:spacing w:after="0" w:line="358"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Estimated Future Payouts Under Non-</w:t>
      </w:r>
    </w:p>
    <w:p>
      <w:pPr>
        <w:spacing w:after="0" w:line="6"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39370</wp:posOffset>
            </wp:positionV>
            <wp:extent cx="1594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31750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31750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31750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31750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31750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31750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31750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31750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580" w:space="180"/>
            <w:col w:w="325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351"/>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2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390,000</w:t>
            </w:r>
            <w:r>
              <w:rPr>
                <w:rFonts w:ascii="Times New Roman" w:cs="Times New Roman" w:eastAsia="Times New Roman" w:hAnsi="Times New Roman"/>
                <w:sz w:val="29"/>
                <w:szCs w:val="29"/>
                <w:color w:val="auto"/>
                <w:w w:val="98"/>
                <w:vertAlign w:val="superscript"/>
              </w:rPr>
              <w:t>(1)</w:t>
            </w:r>
          </w:p>
        </w:tc>
        <w:tc>
          <w:tcPr>
            <w:tcW w:w="10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2,085,096</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730,898</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35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178,200</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274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10/8/2021</w:t>
            </w:r>
          </w:p>
        </w:tc>
        <w:tc>
          <w:tcPr>
            <w:tcW w:w="1760" w:type="dxa"/>
            <w:vAlign w:val="bottom"/>
            <w:gridSpan w:val="4"/>
          </w:tcPr>
          <w:p>
            <w:pPr>
              <w:jc w:val="right"/>
              <w:spacing w:after="0" w:line="324"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8"/>
        </w:trPr>
        <w:tc>
          <w:tcPr>
            <w:tcW w:w="2740" w:type="dxa"/>
            <w:vAlign w:val="bottom"/>
            <w:gridSpan w:val="3"/>
          </w:tcPr>
          <w:p>
            <w:pPr>
              <w:ind w:left="1820"/>
              <w:spacing w:after="0" w:line="298"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324"/>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920" w:type="dxa"/>
            <w:vAlign w:val="bottom"/>
            <w:shd w:val="clear" w:color="auto" w:fill="CCEEFF"/>
          </w:tcPr>
          <w:p>
            <w:pPr>
              <w:spacing w:after="0"/>
              <w:rPr>
                <w:sz w:val="24"/>
                <w:szCs w:val="24"/>
                <w:color w:val="auto"/>
              </w:rPr>
            </w:pPr>
          </w:p>
        </w:tc>
        <w:tc>
          <w:tcPr>
            <w:tcW w:w="1760" w:type="dxa"/>
            <w:vAlign w:val="bottom"/>
            <w:gridSpan w:val="4"/>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168,800</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10/8/2021</w:t>
            </w:r>
          </w:p>
        </w:tc>
        <w:tc>
          <w:tcPr>
            <w:tcW w:w="10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35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178,200</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gridSpan w:val="4"/>
          </w:tcPr>
          <w:p>
            <w:pPr>
              <w:jc w:val="right"/>
              <w:spacing w:after="0" w:line="324" w:lineRule="exact"/>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8"/>
        </w:trPr>
        <w:tc>
          <w:tcPr>
            <w:tcW w:w="2740" w:type="dxa"/>
            <w:vAlign w:val="bottom"/>
            <w:gridSpan w:val="3"/>
          </w:tcPr>
          <w:p>
            <w:pPr>
              <w:ind w:left="1820"/>
              <w:spacing w:after="0" w:line="298"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324"/>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920" w:type="dxa"/>
            <w:vAlign w:val="bottom"/>
            <w:shd w:val="clear" w:color="auto" w:fill="CCEEFF"/>
          </w:tcPr>
          <w:p>
            <w:pPr>
              <w:spacing w:after="0"/>
              <w:rPr>
                <w:sz w:val="24"/>
                <w:szCs w:val="24"/>
                <w:color w:val="auto"/>
              </w:rPr>
            </w:pPr>
          </w:p>
        </w:tc>
        <w:tc>
          <w:tcPr>
            <w:tcW w:w="1760" w:type="dxa"/>
            <w:vAlign w:val="bottom"/>
            <w:gridSpan w:val="4"/>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184,400</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gridSpan w:val="3"/>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150,000</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39" w:hanging="348"/>
        <w:spacing w:after="0" w:line="24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target amount payable under our annual performance-based cash bonus program. Please see the description of the annual performance bonuses paid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and becomes exercisable as to 1/48th of the shares subject to the option on each monthly anniversary of January 5, 2021, subject to the subject to the holder continuing to provide services to us through each such date.</w:t>
      </w:r>
    </w:p>
    <w:p>
      <w:pPr>
        <w:ind w:left="640" w:right="4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substantially equal quarterly installments over four years on each of February 19, May 19, August 19 and November 19 following the grant date, subject to each holder continuing to provide services to us through each such date.</w:t>
      </w:r>
    </w:p>
    <w:p>
      <w:pPr>
        <w:ind w:left="640" w:right="319" w:hanging="348"/>
        <w:spacing w:after="0" w:line="24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bonus opportunities under the retention program. The awards are payable subject to continued service through October 31, 2022 and attainment of individual performance milestones and corporate milestones. Please see the description of the retention bonuses awarded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full, subject to continued service, upon the earlier June 1, 2022, the closing of a change in control or an involuntary termination of employment by the Company without cause.</w:t>
      </w:r>
    </w:p>
    <w:p>
      <w:pPr>
        <w:sectPr>
          <w:pgSz w:w="11900" w:h="16838" w:orient="portrait"/>
          <w:cols w:equalWidth="0" w:num="1">
            <w:col w:w="9019"/>
          </w:cols>
          <w:pgMar w:left="1440" w:top="263" w:right="1440" w:bottom="1440" w:gutter="0" w:footer="0" w:header="0"/>
          <w:type w:val="continuous"/>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9" w:name="page40"/>
    <w:bookmarkEnd w:id="3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121"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2021.</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37"/>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80" w:type="dxa"/>
            <w:vAlign w:val="bottom"/>
            <w:gridSpan w:val="2"/>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center"/>
              <w:ind w:left="3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90"/>
        </w:trPr>
        <w:tc>
          <w:tcPr>
            <w:tcW w:w="1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301,258</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318,141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79,535</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382,215</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8,133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158,020</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26,980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331,770</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123,230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267,116</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290,334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w w:val="98"/>
              </w:rPr>
              <w:t>118,698</w:t>
            </w:r>
            <w:r>
              <w:rPr>
                <w:rFonts w:ascii="Times New Roman" w:cs="Times New Roman" w:eastAsia="Times New Roman" w:hAnsi="Times New Roman"/>
                <w:sz w:val="29"/>
                <w:szCs w:val="29"/>
                <w:color w:val="auto"/>
                <w:w w:val="98"/>
                <w:vertAlign w:val="superscript"/>
              </w:rPr>
              <w:t>(1)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399,261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86,326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94,959</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330,000</w:t>
            </w:r>
          </w:p>
        </w:tc>
        <w:tc>
          <w:tcPr>
            <w:tcW w:w="0" w:type="dxa"/>
            <w:vAlign w:val="bottom"/>
          </w:tcPr>
          <w:p>
            <w:pPr>
              <w:spacing w:after="0"/>
              <w:rPr>
                <w:sz w:val="1"/>
                <w:szCs w:val="1"/>
                <w:color w:val="auto"/>
              </w:rPr>
            </w:pPr>
          </w:p>
        </w:tc>
      </w:tr>
      <w:tr>
        <w:trPr>
          <w:trHeight w:val="269"/>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60" w:type="dxa"/>
            <w:vAlign w:val="bottom"/>
          </w:tcPr>
          <w:p>
            <w:pPr>
              <w:spacing w:after="0"/>
              <w:rPr>
                <w:sz w:val="23"/>
                <w:szCs w:val="23"/>
                <w:color w:val="auto"/>
              </w:rPr>
            </w:pPr>
          </w:p>
        </w:tc>
        <w:tc>
          <w:tcPr>
            <w:tcW w:w="1080" w:type="dxa"/>
            <w:vAlign w:val="bottom"/>
          </w:tcPr>
          <w:p>
            <w:pPr>
              <w:jc w:val="right"/>
              <w:spacing w:after="0" w:line="269" w:lineRule="exact"/>
              <w:rPr>
                <w:sz w:val="20"/>
                <w:szCs w:val="20"/>
                <w:color w:val="auto"/>
              </w:rPr>
            </w:pPr>
            <w:r>
              <w:rPr>
                <w:rFonts w:ascii="Times New Roman" w:cs="Times New Roman" w:eastAsia="Times New Roman" w:hAnsi="Times New Roman"/>
                <w:sz w:val="18"/>
                <w:szCs w:val="18"/>
                <w:color w:val="auto"/>
              </w:rPr>
              <w:t>6/08/2020</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73,131</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121,886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6/8/2030</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98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1/05/2031</w:t>
            </w:r>
          </w:p>
        </w:tc>
        <w:tc>
          <w:tcPr>
            <w:tcW w:w="120" w:type="dxa"/>
            <w:vAlign w:val="bottom"/>
          </w:tcPr>
          <w:p>
            <w:pPr>
              <w:spacing w:after="0"/>
              <w:rPr>
                <w:sz w:val="23"/>
                <w:szCs w:val="23"/>
                <w:color w:val="auto"/>
              </w:rPr>
            </w:pPr>
          </w:p>
        </w:tc>
        <w:tc>
          <w:tcPr>
            <w:tcW w:w="920" w:type="dxa"/>
            <w:vAlign w:val="bottom"/>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1"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3"/>
                <w:szCs w:val="23"/>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4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7/18/2013</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33,333</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7/18/2023</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7,657</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30,810</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63,628</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19,884</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85,998</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46,748</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7,982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58,333</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21,667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66,779</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72,586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4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11/11/2012</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11/11/2022</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12/6/2012</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72,222</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12/6/2022</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11,450</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102,701</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79,535</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19,884</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spacing w:after="0" w:line="295"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114,664</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2,440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46,748</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7,982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45,500</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32,500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66,779</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72,586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98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tcPr>
          <w:p>
            <w:pPr>
              <w:spacing w:after="0"/>
              <w:rPr>
                <w:sz w:val="23"/>
                <w:szCs w:val="23"/>
                <w:color w:val="auto"/>
              </w:rPr>
            </w:pPr>
          </w:p>
        </w:tc>
        <w:tc>
          <w:tcPr>
            <w:tcW w:w="920" w:type="dxa"/>
            <w:vAlign w:val="bottom"/>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1"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3"/>
                <w:szCs w:val="23"/>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12,620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90,377</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106,047</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26,512</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9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114,664</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2,440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46,748</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7,982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87,500</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32,500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66,779</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72,586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-7928610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-7928610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-7928610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-7928610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-7928610</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-7928610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-7928610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and becomes exercisable in substantially equal monthly installments over four years from the vesting commencement date, subject to the holder continuing to provide services to us through each such date.</w:t>
      </w:r>
    </w:p>
    <w:p>
      <w:pPr>
        <w:sectPr>
          <w:pgSz w:w="11900" w:h="16838" w:orient="portrait"/>
          <w:cols w:equalWidth="0" w:num="1">
            <w:col w:w="9019"/>
          </w:cols>
          <w:pgMar w:left="1440" w:top="263" w:right="1440" w:bottom="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263" w:right="1440" w:bottom="0" w:gutter="0" w:footer="0" w:header="0"/>
          <w:type w:val="continuous"/>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right="4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substantially equal quarterly installments over four years from the date of grant, on each of Feb 19; May 19; August 19 and November 19, subject to the holder continuing to provide continued services to us through each such date.</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the $1.10 closing trading price of our common stock as of December 31, 2021.</w:t>
      </w:r>
    </w:p>
    <w:p>
      <w:pPr>
        <w:spacing w:after="0" w:line="41" w:lineRule="exact"/>
        <w:rPr>
          <w:rFonts w:ascii="Times New Roman" w:cs="Times New Roman" w:eastAsia="Times New Roman" w:hAnsi="Times New Roman"/>
          <w:sz w:val="14"/>
          <w:szCs w:val="14"/>
          <w:color w:val="auto"/>
        </w:rPr>
      </w:pPr>
    </w:p>
    <w:p>
      <w:pPr>
        <w:jc w:val="both"/>
        <w:ind w:left="640" w:right="5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full on upon the earlier June 1, 2022, the closing of a change in control or an involuntary termination of employment by the Company without cause, subject to the holder continuing to provide continued services to us through each such date.</w:t>
      </w:r>
    </w:p>
    <w:p>
      <w:pPr>
        <w:ind w:left="640" w:right="43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Options Exercises and Stock Vested in Fiscal 2021</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2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0"/>
        </w:trPr>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vMerge w:val="restart"/>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9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331"/>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840" w:type="dxa"/>
            <w:vAlign w:val="bottom"/>
            <w:shd w:val="clear" w:color="auto" w:fill="CCEEFF"/>
          </w:tcPr>
          <w:p>
            <w:pPr>
              <w:jc w:val="right"/>
              <w:spacing w:after="0" w:line="331" w:lineRule="exact"/>
              <w:rPr>
                <w:sz w:val="20"/>
                <w:szCs w:val="20"/>
                <w:color w:val="auto"/>
              </w:rPr>
            </w:pPr>
            <w:r>
              <w:rPr>
                <w:rFonts w:ascii="Times New Roman" w:cs="Times New Roman" w:eastAsia="Times New Roman" w:hAnsi="Times New Roman"/>
                <w:sz w:val="18"/>
                <w:szCs w:val="18"/>
                <w:color w:val="auto"/>
              </w:rPr>
              <w:t>267,892</w:t>
            </w:r>
            <w:r>
              <w:rPr>
                <w:rFonts w:ascii="Times New Roman" w:cs="Times New Roman" w:eastAsia="Times New Roman" w:hAnsi="Times New Roman"/>
                <w:sz w:val="29"/>
                <w:szCs w:val="29"/>
                <w:color w:val="auto"/>
                <w:vertAlign w:val="superscript"/>
              </w:rPr>
              <w:t>(3)</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294,681</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28,776</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115,823</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tcPr>
          <w:p>
            <w:pPr>
              <w:spacing w:after="0"/>
              <w:rPr>
                <w:sz w:val="23"/>
                <w:szCs w:val="2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tcPr>
          <w:p>
            <w:pPr>
              <w:spacing w:after="0"/>
              <w:rPr>
                <w:sz w:val="23"/>
                <w:szCs w:val="2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54"/>
        </w:trPr>
        <w:tc>
          <w:tcPr>
            <w:tcW w:w="38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-1045210</wp:posOffset>
            </wp:positionV>
            <wp:extent cx="171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-1045210</wp:posOffset>
            </wp:positionV>
            <wp:extent cx="1714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-1045210</wp:posOffset>
            </wp:positionV>
            <wp:extent cx="1714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-1045210</wp:posOffset>
            </wp:positionV>
            <wp:extent cx="171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5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equals the excess of the market price of our common stock at exercise over the option exercise price, multiplied by the number of shares for which the option was exercised.</w:t>
      </w:r>
    </w:p>
    <w:p>
      <w:pPr>
        <w:ind w:left="640" w:right="65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the vesting date is based on the closing trading price of our common stock on the vesting date, multiplied by the number of RSUs vested.</w:t>
      </w:r>
    </w:p>
    <w:p>
      <w:pPr>
        <w:ind w:left="640" w:right="29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150,343 shares that were withheld in a net exercise transaction to cover the exercise price and withholding taxes. The option shares exercised were granted in August 2011 and had an expiration date of August 11,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In June 2014, we entered into an amended and restated employment agreement with Mr. Raab. We have also entered into a change in control severance agreement with each of our other named executive officers.</w:t>
      </w:r>
    </w:p>
    <w:p>
      <w:pPr>
        <w:spacing w:after="0" w:line="5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8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Under each other named executive officer’s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resigns for good reason, in each case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within three months prior to and 12 months after a change in control, then they will receive: (i) a lump sum amount equal to the sum of their base salary as in effect immediately prior to such termination and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continued compliance with his/her confidential information agreement.</w:t>
      </w:r>
    </w:p>
    <w:p>
      <w:pPr>
        <w:spacing w:after="0" w:line="8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For the purposes of Mr. Raab’s amended and restated employment agreement and each of the other named executive officer’s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 (B) 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w:t>
      </w:r>
    </w:p>
    <w:p>
      <w:pPr>
        <w:spacing w:after="0" w:line="8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For the purposes of Mr. Raab’s amended and restated employment agreement and each of the other named executive officer’s change in control severance agreements, “good reason” includes the occurrence of: (i) a material diminution in the named executive officer’s authority, duties, or responsibilities, which substantially reduces the nature or character of their position; (ii) a reduction (or material reduction, in the case of each named executive officer other than Mr. Raab) by us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named executive officer, provided that in order for “good reason” to exist, each of the following conditions must be met: (i) the foregoing good reason conditions must have occurred without the named executive officer’s express written consent; (ii) 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w:t>
      </w:r>
    </w:p>
    <w:p>
      <w:pPr>
        <w:spacing w:after="0" w:line="8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cash retention bonuses and restricted stock units granted to the named executive officers on October 8, 2021 vest in full on the closing of a change in control or an involuntary termination of employment by the Company without cause. Additionally, we entered into an amendment to the change in control severance agreement with Dr. Rosenbaum effective December 1, 2021, under which Dr. Rosenbaum’s delivery of a resignation notice to us within the sixty day period after the retention cash bonus is earned would entitle Dr. Rosenbaum to receive the severance benefits described above; provided that the effective date of Dr. Rosenbaum’s resignation is no later than February 15 of the year following the year in which the retention bonus is earned. Please see the description of the retention bonus to be paid to our named executive officers in “Compensation Discussion and Analysis—Cash Incentive Compensation” above.</w:t>
      </w:r>
    </w:p>
    <w:p>
      <w:pPr>
        <w:spacing w:after="0" w:line="80"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Under our 2014 Equity Incentive Plan, the vesting of time-vesting equity awards only accelerate in the event that the successor corporation refuses to assume or substitute the awards.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In this section, we describe payments that may be made to our named executive officers upon certain terminations of employment, assuming the termination event occurred on the last day of fiscal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Covered Termination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 Termination</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3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Unrelated to a</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connection with a</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3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4"/>
              </w:rPr>
              <w:t>Control ($)</w:t>
            </w:r>
            <w:r>
              <w:rPr>
                <w:rFonts w:ascii="Times New Roman" w:cs="Times New Roman" w:eastAsia="Times New Roman" w:hAnsi="Times New Roman"/>
                <w:sz w:val="23"/>
                <w:szCs w:val="23"/>
                <w:b w:val="1"/>
                <w:bCs w:val="1"/>
                <w:color w:val="auto"/>
                <w:w w:val="94"/>
                <w:vertAlign w:val="superscript"/>
              </w:rPr>
              <w:t>(1)</w:t>
            </w:r>
          </w:p>
        </w:tc>
        <w:tc>
          <w:tcPr>
            <w:tcW w:w="3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 ($)</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 ($)</w:t>
            </w:r>
          </w:p>
        </w:tc>
        <w:tc>
          <w:tcPr>
            <w:tcW w:w="0" w:type="dxa"/>
            <w:vAlign w:val="bottom"/>
          </w:tcPr>
          <w:p>
            <w:pPr>
              <w:spacing w:after="0"/>
              <w:rPr>
                <w:sz w:val="1"/>
                <w:szCs w:val="1"/>
                <w:color w:val="auto"/>
              </w:rPr>
            </w:pPr>
          </w:p>
        </w:tc>
      </w:tr>
      <w:tr>
        <w:trPr>
          <w:trHeight w:val="277"/>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650,000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975,000</w:t>
            </w:r>
          </w:p>
        </w:tc>
        <w:tc>
          <w:tcPr>
            <w:tcW w:w="0" w:type="dxa"/>
            <w:vAlign w:val="bottom"/>
          </w:tcPr>
          <w:p>
            <w:pPr>
              <w:spacing w:after="0"/>
              <w:rPr>
                <w:sz w:val="1"/>
                <w:szCs w:val="1"/>
                <w:color w:val="auto"/>
              </w:rPr>
            </w:pPr>
          </w:p>
        </w:tc>
      </w:tr>
      <w:tr>
        <w:trPr>
          <w:trHeight w:val="324"/>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585,500</w:t>
            </w:r>
          </w:p>
        </w:tc>
        <w:tc>
          <w:tcPr>
            <w:tcW w:w="0" w:type="dxa"/>
            <w:vAlign w:val="bottom"/>
          </w:tcPr>
          <w:p>
            <w:pPr>
              <w:spacing w:after="0"/>
              <w:rPr>
                <w:sz w:val="1"/>
                <w:szCs w:val="1"/>
                <w:color w:val="auto"/>
              </w:rPr>
            </w:pPr>
          </w:p>
        </w:tc>
      </w:tr>
      <w:tr>
        <w:trPr>
          <w:trHeight w:val="358"/>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20,322</w:t>
            </w:r>
          </w:p>
        </w:tc>
        <w:tc>
          <w:tcPr>
            <w:tcW w:w="280" w:type="dxa"/>
            <w:vAlign w:val="bottom"/>
          </w:tcPr>
          <w:p>
            <w:pPr>
              <w:spacing w:after="0"/>
              <w:rPr>
                <w:sz w:val="23"/>
                <w:szCs w:val="23"/>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30,482</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330,000</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362,000</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424,959</w:t>
            </w:r>
          </w:p>
        </w:tc>
        <w:tc>
          <w:tcPr>
            <w:tcW w:w="0" w:type="dxa"/>
            <w:vAlign w:val="bottom"/>
          </w:tcPr>
          <w:p>
            <w:pPr>
              <w:spacing w:after="0"/>
              <w:rPr>
                <w:sz w:val="1"/>
                <w:szCs w:val="1"/>
                <w:color w:val="auto"/>
              </w:rPr>
            </w:pPr>
          </w:p>
        </w:tc>
      </w:tr>
      <w:tr>
        <w:trPr>
          <w:trHeight w:val="298"/>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line="298"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630,000</w:t>
            </w:r>
          </w:p>
        </w:tc>
        <w:tc>
          <w:tcPr>
            <w:tcW w:w="300" w:type="dxa"/>
            <w:vAlign w:val="bottom"/>
          </w:tcPr>
          <w:p>
            <w:pPr>
              <w:spacing w:after="0"/>
              <w:rPr>
                <w:sz w:val="23"/>
                <w:szCs w:val="23"/>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1,335,322</w:t>
            </w:r>
          </w:p>
        </w:tc>
        <w:tc>
          <w:tcPr>
            <w:tcW w:w="280" w:type="dxa"/>
            <w:vAlign w:val="bottom"/>
          </w:tcPr>
          <w:p>
            <w:pPr>
              <w:spacing w:after="0"/>
              <w:rPr>
                <w:sz w:val="23"/>
                <w:szCs w:val="23"/>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2,315,442</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334,125</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445,500</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178,000</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43,302</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43,902</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c>
          <w:tcPr>
            <w:tcW w:w="30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301,902</w:t>
            </w:r>
          </w:p>
        </w:tc>
        <w:tc>
          <w:tcPr>
            <w:tcW w:w="0" w:type="dxa"/>
            <w:vAlign w:val="bottom"/>
          </w:tcPr>
          <w:p>
            <w:pPr>
              <w:spacing w:after="0"/>
              <w:rPr>
                <w:sz w:val="1"/>
                <w:szCs w:val="1"/>
                <w:color w:val="auto"/>
              </w:rPr>
            </w:pPr>
          </w:p>
        </w:tc>
      </w:tr>
      <w:tr>
        <w:trPr>
          <w:trHeight w:val="330"/>
        </w:trPr>
        <w:tc>
          <w:tcPr>
            <w:tcW w:w="1520" w:type="dxa"/>
            <w:vAlign w:val="bottom"/>
          </w:tcPr>
          <w:p>
            <w:pPr>
              <w:spacing w:after="0"/>
              <w:rPr>
                <w:sz w:val="24"/>
                <w:szCs w:val="24"/>
                <w:color w:val="auto"/>
              </w:rPr>
            </w:pPr>
          </w:p>
        </w:tc>
        <w:tc>
          <w:tcPr>
            <w:tcW w:w="2760" w:type="dxa"/>
            <w:vAlign w:val="bottom"/>
            <w:gridSpan w:val="3"/>
          </w:tcPr>
          <w:p>
            <w:pPr>
              <w:ind w:left="300"/>
              <w:spacing w:after="0" w:line="330"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300" w:type="dxa"/>
            <w:vAlign w:val="bottom"/>
          </w:tcPr>
          <w:p>
            <w:pPr>
              <w:spacing w:after="0"/>
              <w:rPr>
                <w:sz w:val="20"/>
                <w:szCs w:val="20"/>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627,427</w:t>
            </w:r>
          </w:p>
        </w:tc>
        <w:tc>
          <w:tcPr>
            <w:tcW w:w="280" w:type="dxa"/>
            <w:vAlign w:val="bottom"/>
          </w:tcPr>
          <w:p>
            <w:pPr>
              <w:spacing w:after="0"/>
              <w:rPr>
                <w:sz w:val="20"/>
                <w:szCs w:val="20"/>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1,218,704</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316,500</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422,000</w:t>
            </w:r>
          </w:p>
        </w:tc>
        <w:tc>
          <w:tcPr>
            <w:tcW w:w="0" w:type="dxa"/>
            <w:vAlign w:val="bottom"/>
          </w:tcPr>
          <w:p>
            <w:pPr>
              <w:spacing w:after="0"/>
              <w:rPr>
                <w:sz w:val="1"/>
                <w:szCs w:val="1"/>
                <w:color w:val="auto"/>
              </w:rPr>
            </w:pPr>
          </w:p>
        </w:tc>
      </w:tr>
      <w:tr>
        <w:trPr>
          <w:trHeight w:val="324"/>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168,000</w:t>
            </w:r>
          </w:p>
        </w:tc>
        <w:tc>
          <w:tcPr>
            <w:tcW w:w="0" w:type="dxa"/>
            <w:vAlign w:val="bottom"/>
          </w:tcPr>
          <w:p>
            <w:pPr>
              <w:spacing w:after="0"/>
              <w:rPr>
                <w:sz w:val="1"/>
                <w:szCs w:val="1"/>
                <w:color w:val="auto"/>
              </w:rPr>
            </w:pPr>
          </w:p>
        </w:tc>
      </w:tr>
      <w:tr>
        <w:trPr>
          <w:trHeight w:val="358"/>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19,892</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19,892</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301,902</w:t>
            </w:r>
          </w:p>
        </w:tc>
        <w:tc>
          <w:tcPr>
            <w:tcW w:w="0" w:type="dxa"/>
            <w:vAlign w:val="bottom"/>
          </w:tcPr>
          <w:p>
            <w:pPr>
              <w:spacing w:after="0"/>
              <w:rPr>
                <w:sz w:val="1"/>
                <w:szCs w:val="1"/>
                <w:color w:val="auto"/>
              </w:rPr>
            </w:pPr>
          </w:p>
        </w:tc>
      </w:tr>
      <w:tr>
        <w:trPr>
          <w:trHeight w:val="298"/>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line="298"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30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586,392</w:t>
            </w:r>
          </w:p>
        </w:tc>
        <w:tc>
          <w:tcPr>
            <w:tcW w:w="280" w:type="dxa"/>
            <w:vAlign w:val="bottom"/>
          </w:tcPr>
          <w:p>
            <w:pPr>
              <w:spacing w:after="0"/>
              <w:rPr>
                <w:sz w:val="23"/>
                <w:szCs w:val="23"/>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1,161,794</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334,125</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445,500</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178,000</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37,467</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37,467</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c>
          <w:tcPr>
            <w:tcW w:w="300" w:type="dxa"/>
            <w:vAlign w:val="bottom"/>
          </w:tcPr>
          <w:p>
            <w:pPr>
              <w:spacing w:after="0"/>
              <w:rPr>
                <w:sz w:val="24"/>
                <w:szCs w:val="24"/>
                <w:color w:val="auto"/>
              </w:rPr>
            </w:pP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301,902</w:t>
            </w:r>
          </w:p>
        </w:tc>
        <w:tc>
          <w:tcPr>
            <w:tcW w:w="0" w:type="dxa"/>
            <w:vAlign w:val="bottom"/>
          </w:tcPr>
          <w:p>
            <w:pPr>
              <w:spacing w:after="0"/>
              <w:rPr>
                <w:sz w:val="1"/>
                <w:szCs w:val="1"/>
                <w:color w:val="auto"/>
              </w:rPr>
            </w:pPr>
          </w:p>
        </w:tc>
      </w:tr>
      <w:tr>
        <w:trPr>
          <w:trHeight w:val="330"/>
        </w:trPr>
        <w:tc>
          <w:tcPr>
            <w:tcW w:w="1520" w:type="dxa"/>
            <w:vAlign w:val="bottom"/>
          </w:tcPr>
          <w:p>
            <w:pPr>
              <w:spacing w:after="0"/>
              <w:rPr>
                <w:sz w:val="24"/>
                <w:szCs w:val="24"/>
                <w:color w:val="auto"/>
              </w:rPr>
            </w:pPr>
          </w:p>
        </w:tc>
        <w:tc>
          <w:tcPr>
            <w:tcW w:w="2760" w:type="dxa"/>
            <w:vAlign w:val="bottom"/>
            <w:gridSpan w:val="3"/>
          </w:tcPr>
          <w:p>
            <w:pPr>
              <w:ind w:left="300"/>
              <w:spacing w:after="0" w:line="330"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300" w:type="dxa"/>
            <w:vAlign w:val="bottom"/>
          </w:tcPr>
          <w:p>
            <w:pPr>
              <w:spacing w:after="0"/>
              <w:rPr>
                <w:sz w:val="20"/>
                <w:szCs w:val="20"/>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619,592</w:t>
            </w:r>
          </w:p>
        </w:tc>
        <w:tc>
          <w:tcPr>
            <w:tcW w:w="280" w:type="dxa"/>
            <w:vAlign w:val="bottom"/>
          </w:tcPr>
          <w:p>
            <w:pPr>
              <w:spacing w:after="0"/>
              <w:rPr>
                <w:sz w:val="20"/>
                <w:szCs w:val="20"/>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1,212,869</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345,750</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461,000</w:t>
            </w:r>
          </w:p>
        </w:tc>
        <w:tc>
          <w:tcPr>
            <w:tcW w:w="0" w:type="dxa"/>
            <w:vAlign w:val="bottom"/>
          </w:tcPr>
          <w:p>
            <w:pPr>
              <w:spacing w:after="0"/>
              <w:rPr>
                <w:sz w:val="1"/>
                <w:szCs w:val="1"/>
                <w:color w:val="auto"/>
              </w:rPr>
            </w:pPr>
          </w:p>
        </w:tc>
      </w:tr>
      <w:tr>
        <w:trPr>
          <w:trHeight w:val="324"/>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184,400</w:t>
            </w:r>
          </w:p>
        </w:tc>
        <w:tc>
          <w:tcPr>
            <w:tcW w:w="0" w:type="dxa"/>
            <w:vAlign w:val="bottom"/>
          </w:tcPr>
          <w:p>
            <w:pPr>
              <w:spacing w:after="0"/>
              <w:rPr>
                <w:sz w:val="1"/>
                <w:szCs w:val="1"/>
                <w:color w:val="auto"/>
              </w:rPr>
            </w:pPr>
          </w:p>
        </w:tc>
      </w:tr>
      <w:tr>
        <w:trPr>
          <w:trHeight w:val="358"/>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19,892</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19,892</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165,000</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191,902</w:t>
            </w:r>
          </w:p>
        </w:tc>
        <w:tc>
          <w:tcPr>
            <w:tcW w:w="0" w:type="dxa"/>
            <w:vAlign w:val="bottom"/>
          </w:tcPr>
          <w:p>
            <w:pPr>
              <w:spacing w:after="0"/>
              <w:rPr>
                <w:sz w:val="1"/>
                <w:szCs w:val="1"/>
                <w:color w:val="auto"/>
              </w:rPr>
            </w:pPr>
          </w:p>
        </w:tc>
      </w:tr>
      <w:tr>
        <w:trPr>
          <w:trHeight w:val="298"/>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line="298"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315,000</w:t>
            </w:r>
          </w:p>
        </w:tc>
        <w:tc>
          <w:tcPr>
            <w:tcW w:w="30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515,642</w:t>
            </w:r>
          </w:p>
        </w:tc>
        <w:tc>
          <w:tcPr>
            <w:tcW w:w="280" w:type="dxa"/>
            <w:vAlign w:val="bottom"/>
          </w:tcPr>
          <w:p>
            <w:pPr>
              <w:spacing w:after="0"/>
              <w:rPr>
                <w:sz w:val="23"/>
                <w:szCs w:val="23"/>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1,007,194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-6840220</wp:posOffset>
            </wp:positionV>
            <wp:extent cx="1714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-6840220</wp:posOffset>
            </wp:positionV>
            <wp:extent cx="188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-6840220</wp:posOffset>
            </wp:positionV>
            <wp:extent cx="1885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-6840220</wp:posOffset>
            </wp:positionV>
            <wp:extent cx="1885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right="83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change in control, assumes the equity awards are assumed by an acquirer such that only the vesting of the retention restricted stock units granted on October 8, 2021 would accelerate.</w:t>
      </w:r>
    </w:p>
    <w:p>
      <w:pPr>
        <w:ind w:left="640" w:right="39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accelerated vesting for stock options was calculated by subtracting the exercise prices of options from $1.10 per share, which was the closing trading price of our common stock on December 31, 2021. Options with exercise prices in excess of $1.10 per share were excluded. The value of accelerated vesting for restricted stock units was based on the closing trading price of our common stock on December 31, 2021.</w:t>
      </w:r>
    </w:p>
    <w:p>
      <w:pPr>
        <w:sectPr>
          <w:pgSz w:w="11900" w:h="16838" w:orient="portrait"/>
          <w:cols w:equalWidth="0" w:num="1">
            <w:col w:w="9019"/>
          </w:cols>
          <w:pgMar w:left="1440" w:top="263"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4" w:name="page45"/>
    <w:bookmarkEnd w:id="44"/>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2021, with respect to all of our equity compensation plans in effect on that date: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880" w:type="dxa"/>
            <w:vAlign w:val="bottom"/>
            <w:gridSpan w:val="4"/>
            <w:vMerge w:val="continue"/>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6"/>
                <w:szCs w:val="16"/>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50"/>
        </w:trPr>
        <w:tc>
          <w:tcPr>
            <w:tcW w:w="5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64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9"/>
                <w:szCs w:val="29"/>
                <w:color w:val="auto"/>
                <w:vertAlign w:val="superscript"/>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13,366,130</w:t>
            </w:r>
          </w:p>
        </w:tc>
        <w:tc>
          <w:tcPr>
            <w:tcW w:w="1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$6.97</w:t>
            </w:r>
          </w:p>
        </w:tc>
        <w:tc>
          <w:tcPr>
            <w:tcW w:w="12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0"/>
              <w:spacing w:after="0" w:line="331" w:lineRule="exact"/>
              <w:rPr>
                <w:sz w:val="20"/>
                <w:szCs w:val="20"/>
                <w:color w:val="auto"/>
              </w:rPr>
            </w:pPr>
            <w:r>
              <w:rPr>
                <w:rFonts w:ascii="Times New Roman" w:cs="Times New Roman" w:eastAsia="Times New Roman" w:hAnsi="Times New Roman"/>
                <w:sz w:val="18"/>
                <w:szCs w:val="18"/>
                <w:color w:val="auto"/>
                <w:w w:val="99"/>
              </w:rPr>
              <w:t>2,299,561</w:t>
            </w:r>
            <w:r>
              <w:rPr>
                <w:rFonts w:ascii="Times New Roman" w:cs="Times New Roman" w:eastAsia="Times New Roman" w:hAnsi="Times New Roman"/>
                <w:sz w:val="29"/>
                <w:szCs w:val="29"/>
                <w:color w:val="auto"/>
                <w:w w:val="99"/>
                <w:vertAlign w:val="superscript"/>
              </w:rPr>
              <w:t>(3)</w:t>
            </w:r>
          </w:p>
        </w:tc>
        <w:tc>
          <w:tcPr>
            <w:tcW w:w="0" w:type="dxa"/>
            <w:vAlign w:val="bottom"/>
          </w:tcPr>
          <w:p>
            <w:pPr>
              <w:spacing w:after="0"/>
              <w:rPr>
                <w:sz w:val="1"/>
                <w:szCs w:val="1"/>
                <w:color w:val="auto"/>
              </w:rPr>
            </w:pPr>
          </w:p>
        </w:tc>
      </w:tr>
      <w:tr>
        <w:trPr>
          <w:trHeight w:val="256"/>
        </w:trPr>
        <w:tc>
          <w:tcPr>
            <w:tcW w:w="5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Equity Compensation Plans Not Approved by Stockholders</w:t>
            </w:r>
            <w:r>
              <w:rPr>
                <w:rFonts w:ascii="Times New Roman" w:cs="Times New Roman" w:eastAsia="Times New Roman" w:hAnsi="Times New Roman"/>
                <w:sz w:val="29"/>
                <w:szCs w:val="2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579,704</w:t>
            </w:r>
          </w:p>
        </w:tc>
        <w:tc>
          <w:tcPr>
            <w:tcW w:w="1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848,063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13,945,834</w:t>
            </w:r>
          </w:p>
        </w:tc>
        <w:tc>
          <w:tcPr>
            <w:tcW w:w="1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3,147,624</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-650875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-650875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-650875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right="479" w:hanging="348"/>
        <w:spacing w:after="0" w:line="23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3,502,367 shares subject to outstanding restricted stock units and (B) 9,863,763 shares subject to stock options. The weighted average exercise price shown is for stock options; other outstanding awards had no exercise price. No new awards may be made under the 2008 Stock Incentive Plan.</w:t>
      </w:r>
    </w:p>
    <w:p>
      <w:pPr>
        <w:spacing w:after="0" w:line="15" w:lineRule="exact"/>
        <w:rPr>
          <w:rFonts w:ascii="Times New Roman" w:cs="Times New Roman" w:eastAsia="Times New Roman" w:hAnsi="Times New Roman"/>
          <w:sz w:val="14"/>
          <w:szCs w:val="14"/>
          <w:color w:val="auto"/>
        </w:rPr>
      </w:pPr>
    </w:p>
    <w:p>
      <w:pPr>
        <w:ind w:left="640" w:right="299" w:hanging="348"/>
        <w:spacing w:after="0" w:line="22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2014 Equity Incentive Plan and the 2014 Employee Stock Purchase Plan contain “evergreen” provisions, pursuant to which (i) the number of shares of common stock reserved for issuance pursuant to awards under the 2014 Equity Inventive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and (B) such smaller number of shares of stock as determined by our board of directors. On January 1, 2022, an additional 5,207,301 shares of our common stock were reserved for issuance pursuant to awards under the 2014 Equity Incentive Plan as a result of the “evergreen” provision. No additional shares were reserved for issuance under our 2014 Employee Stock Purchase Plan as a result of the “evergreen” provisions.</w:t>
      </w:r>
    </w:p>
    <w:p>
      <w:pPr>
        <w:spacing w:after="0" w:line="19"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898,982 shares that were available for future issuances as of December 31, 2021 under the 2014 Employee Stock Purchase Plan (of which 127,100 shares were issued with respect to the purchase period in effect as of December 31, 2021, which purchase period ended on February 28, 2022), which allows eligible employees to purchase shares of common stock with accumulated payroll deductions.</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Ardelyx, Inc. 2016 Employment Commencement Incentive Plan. Effective January 6, 2022, our board of directors determined to reserve an additional 2,000,000 shares of our common stock for issuance pursuant to awards under the 2016 Employment Commencement Incentive Plan.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Features of the 2016 Employment Commencement Incentive Plan</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2016 Plan is intended to be exempt from the Nasdaq Listing Rules regarding shareholder approval of stock option and stock purchase plans. A total of 1,000,000 shares of our common stock were initially reserved for issuance under the 2016 Plan. In March 2021, our board of directors increased the number of shares reserved for issuance under the 2016 Plan to 1,457,767 shares. As of December 31, 2021, we had granted awards with respect to 579,704 shares under the 2016 Plan, and 878,063 shares remained available for future grants. In January 2022, our board of directors increased the number of shares reserved for issuance under the 2016 Plan to 3,457,767. The 2016 Plan provides for the grant of non-qualified stock options, restricted stock units, restricted stock awards, stock appreciation rights, and other stock-based and cash-based awards. These awards may be granted to individuals who are then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new employees, or are commencing employment with us or one of our subsidiaries following a bona fide period of non-employment with us, and for whom such awards are granted as a material inducement to commencing employment with us or one of our subsidiaries.</w:t>
      </w:r>
    </w:p>
    <w:p>
      <w:pPr>
        <w:spacing w:after="0" w:line="68"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75"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We have filed registration statements on Form S-8 with the SEC covering the shares of common stock that may be issued under the 2016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of the Board of Directors</w:t>
      </w:r>
    </w:p>
    <w:p>
      <w:pPr>
        <w:spacing w:after="0" w:line="119" w:lineRule="exact"/>
        <w:rPr>
          <w:sz w:val="20"/>
          <w:szCs w:val="20"/>
          <w:color w:val="auto"/>
        </w:rPr>
      </w:pPr>
    </w:p>
    <w:p>
      <w:pPr>
        <w:ind w:left="300" w:right="79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67"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with management. Based on the review and discussions, the compensation committee recommended to the board of directors that the Compensation Discussion and Analysis be included in this proxy statement for the Annual Meeting and incorporated by reference in our Annual Report on Form 10-K for the fiscal year ended December 31, 2021.</w:t>
      </w:r>
    </w:p>
    <w:p>
      <w:pPr>
        <w:spacing w:after="0" w:line="1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David Mott, Chair</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Robert Bazemore</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Jan Lundberg, Ph.D.</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Richard Rodgers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April [25], 2022, by:</w:t>
      </w:r>
    </w:p>
    <w:p>
      <w:pPr>
        <w:spacing w:after="0" w:line="54" w:lineRule="exact"/>
        <w:rPr>
          <w:sz w:val="20"/>
          <w:szCs w:val="20"/>
          <w:color w:val="auto"/>
        </w:rPr>
      </w:pPr>
    </w:p>
    <w:p>
      <w:pPr>
        <w:ind w:left="1000" w:right="9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[25], 2022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 ] shares of our common stock outstanding as of April [25], 2022. Shares of our common stock that a person has the right to acquire within 60 days of April [25], 2022 pursuant to the exercise of outstanding stock options, and restricted stock units that are expected to vest on or before April [25], 2022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-989330</wp:posOffset>
            </wp:positionV>
            <wp:extent cx="2286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90"/>
        </w:trPr>
        <w:tc>
          <w:tcPr>
            <w:tcW w:w="4520" w:type="dxa"/>
            <w:vAlign w:val="bottom"/>
            <w:gridSpan w:val="2"/>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50"/>
        </w:trPr>
        <w:tc>
          <w:tcPr>
            <w:tcW w:w="42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-222250</wp:posOffset>
            </wp:positionV>
            <wp:extent cx="1885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-222250</wp:posOffset>
            </wp:positionV>
            <wp:extent cx="1885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-222250</wp:posOffset>
            </wp:positionV>
            <wp:extent cx="1885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-222250</wp:posOffset>
            </wp:positionV>
            <wp:extent cx="1885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284,705</w:t>
            </w:r>
            <w:r>
              <w:rPr>
                <w:rFonts w:ascii="Times New Roman" w:cs="Times New Roman" w:eastAsia="Times New Roman" w:hAnsi="Times New Roman"/>
                <w:sz w:val="29"/>
                <w:szCs w:val="29"/>
                <w:color w:val="auto"/>
                <w:vertAlign w:val="superscript"/>
              </w:rPr>
              <w:t>(1)</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2,639,944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2,924,649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314,456</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774,425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1,088,881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2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560" w:type="dxa"/>
            <w:vAlign w:val="bottom"/>
            <w:shd w:val="clear" w:color="auto" w:fill="CCEEFF"/>
          </w:tcPr>
          <w:p>
            <w:pPr>
              <w:jc w:val="right"/>
              <w:ind w:right="70"/>
              <w:spacing w:after="0" w:line="324" w:lineRule="exact"/>
              <w:rPr>
                <w:sz w:val="20"/>
                <w:szCs w:val="20"/>
                <w:color w:val="auto"/>
              </w:rPr>
            </w:pPr>
            <w:r>
              <w:rPr>
                <w:rFonts w:ascii="Times New Roman" w:cs="Times New Roman" w:eastAsia="Times New Roman" w:hAnsi="Times New Roman"/>
                <w:sz w:val="18"/>
                <w:szCs w:val="18"/>
                <w:color w:val="auto"/>
              </w:rPr>
              <w:t>8,468</w:t>
            </w:r>
            <w:r>
              <w:rPr>
                <w:rFonts w:ascii="Times New Roman" w:cs="Times New Roman" w:eastAsia="Times New Roman" w:hAnsi="Times New Roman"/>
                <w:sz w:val="29"/>
                <w:szCs w:val="29"/>
                <w:color w:val="auto"/>
                <w:vertAlign w:val="superscript"/>
              </w:rPr>
              <w:t>(2)</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917,098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925,566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10,717</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424,562</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435,279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24"/>
        </w:trPr>
        <w:tc>
          <w:tcPr>
            <w:tcW w:w="3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David Rosenbaum, Ph.D</w:t>
            </w:r>
            <w:r>
              <w:rPr>
                <w:rFonts w:ascii="Times New Roman" w:cs="Times New Roman" w:eastAsia="Times New Roman" w:hAnsi="Times New Roman"/>
                <w:sz w:val="29"/>
                <w:szCs w:val="29"/>
                <w:color w:val="auto"/>
                <w:vertAlign w:val="superscript"/>
              </w:rPr>
              <w:t>(3)</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243,547</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1,032,612</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1,276,159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9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 xml:space="preserve">David Mott </w:t>
            </w:r>
            <w:r>
              <w:rPr>
                <w:rFonts w:ascii="Times New Roman" w:cs="Times New Roman" w:eastAsia="Times New Roman" w:hAnsi="Times New Roman"/>
                <w:sz w:val="29"/>
                <w:szCs w:val="29"/>
                <w:color w:val="auto"/>
                <w:vertAlign w:val="superscript"/>
              </w:rPr>
              <w:t>(5)</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417,284</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216,295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633,579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161,295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161,295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William Bertrand, Jr.</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83,549</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176,295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259,844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Muna Bhanji</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25,526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25,536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Geoffrey A. Block, M.D.</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138,795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138,795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6,155</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82,182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88,337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42,799</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136,295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179,094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87,527</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196,295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196,295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 persons)</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1,521,061</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7,591,511</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911,572</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shares of common stock.</w:t>
      </w:r>
    </w:p>
    <w:p>
      <w:pPr>
        <w:sectPr>
          <w:pgSz w:w="11900" w:h="16838" w:orient="portrait"/>
          <w:cols w:equalWidth="0" w:num="1">
            <w:col w:w="9019"/>
          </w:cols>
          <w:pgMar w:left="1440" w:top="263"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8" w:name="page49"/>
    <w:bookmarkEnd w:id="48"/>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640" w:right="3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259,341 shares directly owned by Mr. Raab, (ii) 24,364 shares owned directly by Michael G. Raab, trustee of the Michael G. Raab Living Trust dated July 25, 2012, and (iii) an aggregate of 1,000 shares owned directly by trusts for the benefit of Mr. Raab’s children.</w:t>
      </w:r>
    </w:p>
    <w:p>
      <w:pPr>
        <w:ind w:left="640"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5,497 shares directly owned by Ms. Grammer and (ii) 2,971 shares owned directly by Ms. Grammer’s son.</w:t>
      </w:r>
    </w:p>
    <w:p>
      <w:pPr>
        <w:spacing w:after="0" w:line="41"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140,456 shares directly owned by Dr. Rosenbaum, (ii) 818,112 shares that may be acquired directly by Dr. Rosenbaum pursuant to the exercise of stock options or the vesting of restricted stock units within 60 days of April 25, 2022, (iii) 77,592 shares owned indirectly owned by David Paul Rosenbaum and Susan Edelstein Rosenbaum, Trustees of the David Paul Rosenbaum Family Trust, (iv) 25,499 shares owned directly by Dr. Rosenbaum’s spouse, and (v) 214,500 shares that may be acquired directly by Dr. Rosenbaum’s spouse pursuant to the exercise of stock options or the vesting of restricted stock units within 60 days of April 25, 2022.</w:t>
      </w:r>
    </w:p>
    <w:p>
      <w:pPr>
        <w:spacing w:after="0" w:line="15" w:lineRule="exact"/>
        <w:rPr>
          <w:rFonts w:ascii="Times New Roman" w:cs="Times New Roman" w:eastAsia="Times New Roman" w:hAnsi="Times New Roman"/>
          <w:sz w:val="14"/>
          <w:szCs w:val="14"/>
          <w:color w:val="auto"/>
        </w:rPr>
      </w:pPr>
    </w:p>
    <w:p>
      <w:pPr>
        <w:ind w:left="640" w:right="4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87,566 shares and (ii) 110,000 shares subject to options that Mr. Mott may acquire within 60 days of April 25, 2022, that Mr. Mott holds for the benefit of entities associated with New Enterprise Associates. Mr. Mott disclaims beneficial ownership of all such shares and options extent of his actual pecuniary interest therein.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7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year ended December 31, 2021, all Section 16(a) filing requirements applicable to our officers, directors and greater than 10% beneficial owners were met, except for the following: (i) late Form 4s filed on October 29, 2021, due to an administrative oversight, for each of Justin Renz, Robert Blanks, Susan Rodriguez, David Rosenbaum and Michael Raab, where the Board granted awards of restricted stock units to executive officers on October 8, 2021; and (ii) late Form 4s filed on December 27, 2021, for each of Forest Baskett and Scott Sandell, affiliates of New Enterprise Associates, regarding the sales of common stock between December 9, 2021 and December 15, 2021.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Registered Stockholders</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Street Name Holders</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Stockholders who hold their shares through a brokerage may elect to participate in householding, or revoke their consent to participate in householding, by contacting their respective brokers.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117"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color w:val="auto"/>
        </w:rPr>
        <w:t>This proxy statement is accompanied by our 2021 Annual Report to Stockholders, which includes our Annual Report on Form 10-K for the fiscal year ended December 31, 2021, or the 10-K. The 10-K includes our audited financial statements. We have filed the 10-K with the SEC, and it is available free of charge at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459"/>
        <w:spacing w:after="0" w:line="262" w:lineRule="auto"/>
        <w:rPr>
          <w:sz w:val="20"/>
          <w:szCs w:val="20"/>
          <w:color w:val="auto"/>
        </w:rPr>
      </w:pPr>
      <w:r>
        <w:rPr>
          <w:rFonts w:ascii="Times New Roman" w:cs="Times New Roman" w:eastAsia="Times New Roman" w:hAnsi="Times New Roman"/>
          <w:sz w:val="18"/>
          <w:szCs w:val="18"/>
          <w:b w:val="1"/>
          <w:bCs w:val="1"/>
          <w:color w:val="auto"/>
        </w:rPr>
        <w:t>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our board of directors knows of no other matters that will be presented for consideration at the 2022 Annual Meeting other than the matters described in this proxy statement. If other matters are properly brought before the 2022 Annual Meeting, then proxies will be voted in accordance with the recommendation of the board of directors or, in the absence of such a recommendation, in accordance with the best judgment of the proxy holder.</w:t>
      </w:r>
    </w:p>
    <w:p>
      <w:pPr>
        <w:spacing w:after="0" w:line="1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27"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8"/>
          <w:szCs w:val="18"/>
          <w:color w:val="auto"/>
        </w:rPr>
        <w:t>April</w:t>
        <w:tab/>
        <w:t>,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Ardelyx,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Corporation Law of the State of Delaware, hereby certifies as follows:</w:t>
      </w:r>
    </w:p>
    <w:p>
      <w:pPr>
        <w:spacing w:after="0" w:line="95" w:lineRule="exact"/>
        <w:rPr>
          <w:sz w:val="20"/>
          <w:szCs w:val="20"/>
          <w:color w:val="auto"/>
        </w:rPr>
      </w:pPr>
    </w:p>
    <w:p>
      <w:pPr>
        <w:ind w:left="300" w:right="39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ONE: </w:t>
      </w:r>
      <w:r>
        <w:rPr>
          <w:rFonts w:ascii="Times New Roman" w:cs="Times New Roman" w:eastAsia="Times New Roman" w:hAnsi="Times New Roman"/>
          <w:sz w:val="17"/>
          <w:szCs w:val="17"/>
          <w:color w:val="auto"/>
        </w:rPr>
        <w:t>The name of this corporation is Ardelyx, Inc., the Corporation was originally incorporated under the name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Nteryx, Inc., and the original Certificate of Incorporation of the Corporation was filed with the Secretary of State of the State of Delaware on October 18, 2007. The Corporation filed an Amended and Restated Certificate of Incorporation with the Secretary of State of the State of Delaware on June 22, 2011. The Corporation filed a Certificate of Amendment to its Amended and Restated Certificate of Incorporation with the Secretary of State of the State of Delaware on July 8, 2013. The Corporation filed an Amended and Restated Certificate of Incorporation with the Secretary of State of the State of Delaware on June 2, 2014. The Corporation filed an Amended and Restated Certificate of Incorporation with the Secretary of State of the State of Delaware on June 18, 2014.</w:t>
      </w:r>
    </w:p>
    <w:p>
      <w:pPr>
        <w:spacing w:after="0" w:line="64" w:lineRule="exact"/>
        <w:rPr>
          <w:sz w:val="20"/>
          <w:szCs w:val="20"/>
          <w:color w:val="auto"/>
        </w:rPr>
      </w:pPr>
    </w:p>
    <w:p>
      <w:pPr>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This Certificate of Amendment to the Amended and Restated Certificate of Incorporation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was duly adopted by this Corporation’s Board of Directors in accordance with the applicable provisions of Section 242 of the General Corporation Law of the State of Delaware, and the Corporation’s stockholders have given their written consent in accordance with Section 228 of the General Corporation Law of the State of Delaware. The proposed amendment set forth as follows:</w:t>
      </w:r>
    </w:p>
    <w:p>
      <w:pPr>
        <w:spacing w:after="0" w:line="71"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of Exhibit A to the Amended and Restated Certificate of Incorporation of the Corporation, as amended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be and hereby is further amended by inserting the following immediately after the second paragraph of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DGCL of this Certificate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Amended and Restated Certificate of Incorporation of the Corporation, as amended, each [__] shares of the Corporation’s common stock, par value $0.0001 per share, issued and outstanding immediately prior to the Effective Time (the “</w:t>
      </w:r>
      <w:r>
        <w:rPr>
          <w:rFonts w:ascii="Times New Roman" w:cs="Times New Roman" w:eastAsia="Times New Roman" w:hAnsi="Times New Roman"/>
          <w:sz w:val="18"/>
          <w:szCs w:val="18"/>
          <w:b w:val="1"/>
          <w:bCs w:val="1"/>
          <w:color w:val="auto"/>
        </w:rPr>
        <w:t>Old Shares</w:t>
      </w:r>
      <w:r>
        <w:rPr>
          <w:rFonts w:ascii="Times New Roman" w:cs="Times New Roman" w:eastAsia="Times New Roman" w:hAnsi="Times New Roman"/>
          <w:sz w:val="18"/>
          <w:szCs w:val="18"/>
          <w:color w:val="auto"/>
        </w:rPr>
        <w:t>”) shall automatically be combined into one validly issued, fully paid and non-assessable share of common stock without any further action by the Corporation or the holder thereof, subject to the treatment of fractional share interests as described below, with a corresponding reduction in the number of authorized shares of the Corporation’s common stock by a corresponding ratio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The Corporation shall not issue fractional shares in connection with the Reverse Stock Split. Holders of Old Shares who would otherwise be entitled to receive a fraction of a share on account of the Reverse Stock Split shall receive, in lieu of such fractional share, an amount in cash equal to the product of (1) the closing sale price per share of the common stock as reported by The Nasdaq Global Market on the last trading day preceding the Effective Date by (2) the number of Old Shares held by such holder that would otherwise have been exchanged for such fractional share interests.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This Certificate of Amendment shall become effective as of [__], 202[2] at [__] [a.m./p.m.].</w:t>
      </w:r>
    </w:p>
    <w:p>
      <w:pPr>
        <w:spacing w:after="0" w:line="117"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All other provisions of the Amended and Restated Certificate of Incorporation shall remain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Ardelyx, Inc. has caused this Certificate of Amendment to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be signed by its Chief Executive Officer on this [__]th day of [__], 2022.</w:t>
      </w:r>
    </w:p>
    <w:p>
      <w:pPr>
        <w:spacing w:after="0" w:line="12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474345</wp:posOffset>
            </wp:positionV>
            <wp:extent cx="2606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Michael Raab</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amp;"/>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2"/>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2022-04-15T16:20:30Z</dcterms:created>
  <dcterms:modified xsi:type="dcterms:W3CDTF">2022-04-15T16:20:30Z</dcterms:modified>
</cp:coreProperties>
</file>