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900" w:right="180" w:hanging="1052"/>
        <w:spacing w:after="0" w:line="271"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the Amendment to the Amended and Restated 2014 Equity Incentive Award Plan</w:t>
      </w:r>
    </w:p>
    <w:p>
      <w:pPr>
        <w:spacing w:after="0" w:line="24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April 28, 2025, the Board of Directors (the “Board”) of Ardelyx, Inc. (the “Company”) approved the first amendment (the “Equity Plan Amendment”) to the Company’s Amended and Restated 2014 Equity Incentive Award Plan (the “Restated Plan”).</w:t>
      </w:r>
    </w:p>
    <w:p>
      <w:pPr>
        <w:spacing w:after="0" w:line="17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At the 2025 Annual Meeting of Stockholders of the Company held on June 18, 2025 (the “2025 Annual Meeting”), the stockholders of the Company approved the Equity Plan Amendment. A description of the Equity Plan Amendment is set forth in the Company’s Definitive Proxy Statement on Schedule 14A filed with the U.S. Securities and Exchange Commission on April 30, 2025 (the “Proxy Statement”), which description is incorporated herein by reference. The description is qualified in its entirety by reference to the full text of the Equity Plan Amendment, a copy of which is filed as Exhibit 10.1 to this Form 8-K and is incorporated by reference herein.</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3"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8"/>
          <w:szCs w:val="18"/>
          <w:color w:val="auto"/>
        </w:rPr>
        <w:t>On June 18, 2025, the Company held its 2025 Annual Meeting virtually. Only stockholders of record at the close of business on April 21, 2025, the record date for the 2025 Annual Meeting, were entitled to vote. As of the record date, 239,255,212 shares of the Company’s common stock were outstanding and entitled to vote at the 2025 Annual Meeting. At the 2025 Annual Meeting, 187,162,927 shares of the Company’s common stock were voted in person or by proxy for the four proposals set forth below, each of which is described in the Proxy Statement.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1 - Election of Directors</w:t>
      </w:r>
    </w:p>
    <w:p>
      <w:pPr>
        <w:spacing w:after="0" w:line="243"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the Class II director nominees below to the Company’s Board to hold office until the 2028 Annual Meeting of Stockholders or until their successors are elected.</w:t>
      </w:r>
    </w:p>
    <w:p>
      <w:pPr>
        <w:spacing w:after="0" w:line="239"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II Director Nominees</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Mott</w:t>
            </w:r>
          </w:p>
        </w:tc>
        <w:tc>
          <w:tcPr>
            <w:tcW w:w="21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92,980,144</w:t>
            </w:r>
          </w:p>
        </w:tc>
        <w:tc>
          <w:tcPr>
            <w:tcW w:w="22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50,072,757</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44,110,026</w:t>
            </w:r>
          </w:p>
        </w:tc>
      </w:tr>
      <w:tr>
        <w:trPr>
          <w:trHeight w:val="23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Raab</w:t>
            </w:r>
          </w:p>
        </w:tc>
        <w:tc>
          <w:tcPr>
            <w:tcW w:w="2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101,193,605</w:t>
            </w:r>
          </w:p>
        </w:tc>
        <w:tc>
          <w:tcPr>
            <w:tcW w:w="2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41,859,296</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44,110,026</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2 - Approval, on a non-binding, advisory basis, of the Say-On-Pay proposal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 non-binding, advisory basis, the Say-On-Pay proposal.</w:t>
      </w:r>
    </w:p>
    <w:p>
      <w:pPr>
        <w:spacing w:after="0" w:line="289"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5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4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3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25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131,263,613</w:t>
            </w:r>
          </w:p>
        </w:tc>
        <w:tc>
          <w:tcPr>
            <w:tcW w:w="24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11,095,853</w:t>
            </w:r>
          </w:p>
        </w:tc>
        <w:tc>
          <w:tcPr>
            <w:tcW w:w="20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693,435</w:t>
            </w:r>
          </w:p>
        </w:tc>
        <w:tc>
          <w:tcPr>
            <w:tcW w:w="23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44,110,026</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3 - Ratification of Selection of Independent Registered Accounting Firm</w:t>
      </w:r>
    </w:p>
    <w:p>
      <w:pPr>
        <w:spacing w:after="0" w:line="24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Board, of Ernst &amp; Young LLP as the independent registered public accounting firm of the Company for the fiscal year ending December 31, 2025.</w:t>
      </w:r>
    </w:p>
    <w:p>
      <w:pPr>
        <w:spacing w:after="0" w:line="239"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5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4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3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9"/>
        </w:trPr>
        <w:tc>
          <w:tcPr>
            <w:tcW w:w="25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182,486,952</w:t>
            </w:r>
          </w:p>
        </w:tc>
        <w:tc>
          <w:tcPr>
            <w:tcW w:w="24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3,232,406</w:t>
            </w:r>
          </w:p>
        </w:tc>
        <w:tc>
          <w:tcPr>
            <w:tcW w:w="20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1,443,569</w:t>
            </w:r>
          </w:p>
        </w:tc>
        <w:tc>
          <w:tcPr>
            <w:tcW w:w="23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4 - Approval of the Equity Plan Amendment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Equity Plan Amendment.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25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4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2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940" w:type="dxa"/>
            <w:vAlign w:val="bottom"/>
          </w:tcPr>
          <w:p>
            <w:pPr>
              <w:spacing w:after="0"/>
              <w:rPr>
                <w:sz w:val="19"/>
                <w:szCs w:val="19"/>
                <w:color w:val="auto"/>
              </w:rPr>
            </w:pPr>
          </w:p>
        </w:tc>
        <w:tc>
          <w:tcPr>
            <w:tcW w:w="25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85,037,734</w:t>
            </w:r>
          </w:p>
        </w:tc>
        <w:tc>
          <w:tcPr>
            <w:tcW w:w="24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57,441,932</w:t>
            </w:r>
          </w:p>
        </w:tc>
        <w:tc>
          <w:tcPr>
            <w:tcW w:w="20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573,235</w:t>
            </w:r>
          </w:p>
        </w:tc>
        <w:tc>
          <w:tcPr>
            <w:tcW w:w="23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44,110,026</w:t>
            </w:r>
          </w:p>
        </w:tc>
        <w:tc>
          <w:tcPr>
            <w:tcW w:w="940" w:type="dxa"/>
            <w:vAlign w:val="bottom"/>
          </w:tcPr>
          <w:p>
            <w:pPr>
              <w:spacing w:after="0"/>
              <w:rPr>
                <w:sz w:val="19"/>
                <w:szCs w:val="19"/>
                <w:color w:val="auto"/>
              </w:rPr>
            </w:pPr>
          </w:p>
        </w:tc>
      </w:tr>
      <w:tr>
        <w:trPr>
          <w:trHeight w:val="1019"/>
        </w:trPr>
        <w:tc>
          <w:tcPr>
            <w:tcW w:w="9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Exhibit No.</w:t>
            </w:r>
          </w:p>
        </w:tc>
        <w:tc>
          <w:tcPr>
            <w:tcW w:w="20" w:type="dxa"/>
            <w:vAlign w:val="bottom"/>
          </w:tcPr>
          <w:p>
            <w:pPr>
              <w:spacing w:after="0"/>
              <w:rPr>
                <w:sz w:val="16"/>
                <w:szCs w:val="16"/>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3"/>
        </w:trPr>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First Amendment to the Ardelyx, Inc. Amended and Restated 2014 Equity Incentive Award Plan.</w:t>
            </w:r>
          </w:p>
        </w:tc>
        <w:tc>
          <w:tcPr>
            <w:tcW w:w="3000" w:type="dxa"/>
            <w:vAlign w:val="bottom"/>
            <w:gridSpan w:val="2"/>
          </w:tcPr>
          <w:p>
            <w:pPr>
              <w:spacing w:after="0"/>
              <w:rPr>
                <w:sz w:val="22"/>
                <w:szCs w:val="22"/>
                <w:color w:val="auto"/>
              </w:rPr>
            </w:pPr>
          </w:p>
        </w:tc>
      </w:tr>
      <w:tr>
        <w:trPr>
          <w:trHeight w:val="345"/>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June 18, 2025</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Elizabeth Grammer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Legal and Administrative Officer</w:t>
      </w:r>
    </w:p>
    <w:p>
      <w:pPr>
        <w:sectPr>
          <w:pgSz w:w="11900" w:h="16838" w:orient="portrait"/>
          <w:cols w:equalWidth="0" w:num="1">
            <w:col w:w="11220"/>
          </w:cols>
          <w:pgMar w:left="320" w:top="1143"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u w:val="single" w:color="auto"/>
          <w:color w:val="auto"/>
        </w:rPr>
        <w:t>FIRST AMENDMENT TO THE</w:t>
      </w:r>
    </w:p>
    <w:p>
      <w:pPr>
        <w:spacing w:after="0" w:line="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u w:val="single" w:color="auto"/>
          <w:color w:val="auto"/>
        </w:rPr>
        <w:t>ARDELYX,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AMENDED AND RESTATED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2014 EQUITY INCENTIVE AWARD PLAN</w:t>
      </w:r>
    </w:p>
    <w:p>
      <w:pPr>
        <w:spacing w:after="0" w:line="22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20"/>
          <w:szCs w:val="20"/>
          <w:color w:val="auto"/>
        </w:rPr>
        <w:t>This First Amendment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to the Amended and Restated 2014 Equity Incentive Award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 made and adopted by the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of Ardelyx,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on April 29, 2025 (the “</w:t>
      </w:r>
      <w:r>
        <w:rPr>
          <w:rFonts w:ascii="Times New Roman" w:cs="Times New Roman" w:eastAsia="Times New Roman" w:hAnsi="Times New Roman"/>
          <w:sz w:val="20"/>
          <w:szCs w:val="20"/>
          <w:u w:val="single" w:color="auto"/>
          <w:color w:val="auto"/>
        </w:rPr>
        <w:t>Adoption Date</w:t>
      </w:r>
      <w:r>
        <w:rPr>
          <w:rFonts w:ascii="Times New Roman" w:cs="Times New Roman" w:eastAsia="Times New Roman" w:hAnsi="Times New Roman"/>
          <w:sz w:val="20"/>
          <w:szCs w:val="20"/>
          <w:color w:val="auto"/>
        </w:rPr>
        <w:t xml:space="preserve">”), effective as of the date that it is approved by the Company’s stockholders;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such date is within twelve (12) months of the Adoption Date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All capitalized terms used but not otherwise defined herein shall have the respective meanings ascribed to such terms in the Plan.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5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maintains the Plan, which, prior to this Amendment taking effect, provides that the maximum number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that may be delivered pursuant to awards granted under the Plan is 58,457,566.</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believes it is in the best interest of the Company to increase the maximum number of shares of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that may be delivered pursuant to awards granted under the plan by 10,000,000 shares of Common Stock to 68,457,566 to provide flexibility to the Company in its ability to motivate, attract, and retain the services of Employees.</w:t>
      </w:r>
    </w:p>
    <w:p>
      <w:pPr>
        <w:spacing w:after="0" w:line="20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Section 13.1 of the Plan, the Board may amend the Plan from time to time; provided that any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to increase the number of shares of Common Stock subject to the Plan shall require approval by the Company’s stockholders within twelve (12) months before or after such action by the Board.</w:t>
      </w:r>
    </w:p>
    <w:p>
      <w:pPr>
        <w:spacing w:after="0" w:line="20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has recommended that this Amendment be submitted to the stockholders of the Company for approval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within twelve (12) months of the Adoption Date.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NOW, THEREFORE, BE IT RESOLVED, </w:t>
      </w:r>
      <w:r>
        <w:rPr>
          <w:rFonts w:ascii="Times New Roman" w:cs="Times New Roman" w:eastAsia="Times New Roman" w:hAnsi="Times New Roman"/>
          <w:sz w:val="20"/>
          <w:szCs w:val="20"/>
          <w:color w:val="auto"/>
        </w:rPr>
        <w:t>that the Plan is hereby amended, as of the Effective Date, as follows: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u w:val="single" w:color="auto"/>
          <w:color w:val="auto"/>
        </w:rPr>
        <w:t>Amendment to Section 3.1(a)</w:t>
      </w:r>
      <w:r>
        <w:rPr>
          <w:rFonts w:ascii="Times New Roman" w:cs="Times New Roman" w:eastAsia="Times New Roman" w:hAnsi="Times New Roman"/>
          <w:sz w:val="20"/>
          <w:szCs w:val="20"/>
          <w:color w:val="auto"/>
        </w:rPr>
        <w:t>. Section 3.1(a) of the Plan is hereby amended and restated in its entirety to read as follows:</w:t>
      </w:r>
    </w:p>
    <w:p>
      <w:pPr>
        <w:spacing w:after="0" w:line="256" w:lineRule="exact"/>
        <w:rPr>
          <w:sz w:val="20"/>
          <w:szCs w:val="20"/>
          <w:color w:val="auto"/>
        </w:rPr>
      </w:pPr>
    </w:p>
    <w:p>
      <w:pPr>
        <w:jc w:val="both"/>
        <w:ind w:left="660" w:right="640"/>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Number of Shares</w:t>
      </w:r>
      <w:r>
        <w:rPr>
          <w:rFonts w:ascii="Times New Roman" w:cs="Times New Roman" w:eastAsia="Times New Roman" w:hAnsi="Times New Roman"/>
          <w:sz w:val="19"/>
          <w:szCs w:val="19"/>
          <w:color w:val="auto"/>
        </w:rPr>
        <w:t>. Subject to Sections 13.1, 13.2 and 3.1(b) hereof, the aggregate number of Shares which may be issued or transferred pursuant to Awards under the Plan is (i) 68,457,566 and (ii) any of the 6,500,000 Shares which (A) were subject to awards under the Prior Plan as of the Effective Date of the Plan and (B) expire or lapse for any reason without the delivery of Shares to the holder thereof or for which the Shares are forfeited or repurchased for the original purchase prices thereof (the “Share Limit”). Notwithstanding anything in this Section 3.1 to the contrary, the number of shares of Stock that may be issued or transferred pursuant to Incentive Stock Options under the Plan shall not exceed an aggregate of 68,457,566 Shares, subject to adjustment pursuant to Section 13.2. Notwithstanding the foregoing, Shares added to the Share Limit pursuant</w:t>
      </w:r>
    </w:p>
    <w:p>
      <w:pPr>
        <w:sectPr>
          <w:pgSz w:w="11900" w:h="16838" w:orient="portrait"/>
          <w:cols w:equalWidth="0" w:num="1">
            <w:col w:w="11240"/>
          </w:cols>
          <w:pgMar w:left="320" w:top="100" w:right="339" w:bottom="1440" w:gutter="0" w:footer="0" w:header="0"/>
        </w:sectPr>
      </w:pPr>
    </w:p>
    <w:bookmarkStart w:id="5" w:name="page6"/>
    <w:bookmarkEnd w:id="5"/>
    <w:p>
      <w:pPr>
        <w:jc w:val="both"/>
        <w:ind w:left="660" w:right="640"/>
        <w:spacing w:after="0" w:line="253" w:lineRule="auto"/>
        <w:rPr>
          <w:sz w:val="20"/>
          <w:szCs w:val="20"/>
          <w:color w:val="auto"/>
        </w:rPr>
      </w:pPr>
      <w:r>
        <w:rPr>
          <w:rFonts w:ascii="Times New Roman" w:cs="Times New Roman" w:eastAsia="Times New Roman" w:hAnsi="Times New Roman"/>
          <w:sz w:val="20"/>
          <w:szCs w:val="20"/>
          <w:color w:val="auto"/>
        </w:rPr>
        <w:t>to Section 3.1(a)(ii) or Section 3.1(a)(iii) hereof shall be available for issuance as Incentive Stock Options only to the extent that making such Shares available for issuance as Incentive Stock Options would not cause any Incentive Stock Option to cease to qualify as such. Notwithstanding the foregoing, to the extent permitted under Applicable Law, Awards that provide for the delivery of Shares subsequent to the applicable grant date may be granted in excess of the Share Limit if such Awards provide for the forfeiture or cash settlement of such Awards to the extent that insufficient Shares remain under the Share Limit in this Section 3.1 at the time that Shares would otherwise be issued in respect of such Award.”</w:t>
      </w:r>
    </w:p>
    <w:p>
      <w:pPr>
        <w:spacing w:after="0" w:line="219" w:lineRule="exact"/>
        <w:rPr>
          <w:sz w:val="20"/>
          <w:szCs w:val="20"/>
          <w:color w:val="auto"/>
        </w:rPr>
      </w:pPr>
    </w:p>
    <w:p>
      <w:pPr>
        <w:jc w:val="both"/>
        <w:ind w:firstLine="8"/>
        <w:spacing w:after="0" w:line="251" w:lineRule="auto"/>
        <w:tabs>
          <w:tab w:leader="none" w:pos="225"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Approval by Stockholders</w:t>
      </w:r>
      <w:r>
        <w:rPr>
          <w:rFonts w:ascii="Times New Roman" w:cs="Times New Roman" w:eastAsia="Times New Roman" w:hAnsi="Times New Roman"/>
          <w:sz w:val="20"/>
          <w:szCs w:val="20"/>
          <w:color w:val="auto"/>
        </w:rPr>
        <w:t xml:space="preserve">. This Amendment will be submitted for the approval of the Company’s stockholders within twelve (12) months after the Adoption Date. Awards may be granted or awarded prior to such stockholder approval;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such Awards shall not be exercisable, (B) such Awards shall not vest and (C) the restrictions on such Awards shall not lapse and no shares shall be issued pursuant thereto prior to the Effective Date;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if such approval has not been obtained at the end of said twelve (12) month period, all Awards previously granted or awarded in reliance on this Amendment shall thereupon be canceled and become null and void; however, the Plan shall remain in full force and effect. If stockholder approval of this Amendment is obtained, as of the Effective Date, this Amendment shall be and is hereby incorporated as part of the Plan.</w:t>
      </w:r>
    </w:p>
    <w:p>
      <w:pPr>
        <w:spacing w:after="0" w:line="219" w:lineRule="exact"/>
        <w:rPr>
          <w:rFonts w:ascii="Times New Roman" w:cs="Times New Roman" w:eastAsia="Times New Roman" w:hAnsi="Times New Roman"/>
          <w:sz w:val="20"/>
          <w:szCs w:val="20"/>
          <w:color w:val="auto"/>
        </w:rPr>
      </w:pPr>
    </w:p>
    <w:p>
      <w:pPr>
        <w:ind w:right="880" w:firstLine="8"/>
        <w:spacing w:after="0" w:line="500" w:lineRule="auto"/>
        <w:tabs>
          <w:tab w:leader="none" w:pos="19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the Plan</w:t>
      </w:r>
      <w:r>
        <w:rPr>
          <w:rFonts w:ascii="Times New Roman" w:cs="Times New Roman" w:eastAsia="Times New Roman" w:hAnsi="Times New Roman"/>
          <w:sz w:val="20"/>
          <w:szCs w:val="20"/>
          <w:color w:val="auto"/>
        </w:rPr>
        <w:t>. Except as expressly provided herein, all terms and conditions of the Plan shall remain in full force and effect. ADOPTED BY THE BOARD OF DIRECTORS: April 29, 2025</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APPROVED BY THE STOCKHOLDERS: June 18, 2025</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2025-06-18T16:30:23Z</dcterms:created>
  <dcterms:modified xsi:type="dcterms:W3CDTF">2025-06-18T16:30:23Z</dcterms:modified>
</cp:coreProperties>
</file>