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039697107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38" w:lineRule="exact"/>
        <w:rPr>
          <w:sz w:val="24"/>
          <w:szCs w:val="24"/>
          <w:color w:val="auto"/>
        </w:rPr>
      </w:pPr>
    </w:p>
    <w:p>
      <w:pPr>
        <w:ind w:left="660"/>
        <w:spacing w:after="0"/>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Rule 13d-1(b)</w:t>
      </w:r>
    </w:p>
    <w:p>
      <w:pPr>
        <w:spacing w:after="0" w:line="26" w:lineRule="exact"/>
        <w:rPr>
          <w:sz w:val="24"/>
          <w:szCs w:val="24"/>
          <w:color w:val="auto"/>
        </w:rPr>
      </w:pPr>
    </w:p>
    <w:p>
      <w:pPr>
        <w:jc w:val="both"/>
        <w:ind w:left="660" w:right="9340" w:hanging="4"/>
        <w:spacing w:after="0" w:line="297"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13d-1(c)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13d-1(d)</w:t>
      </w:r>
    </w:p>
    <w:p>
      <w:pPr>
        <w:spacing w:after="0" w:line="3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039697107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Deep Track Capital,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 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039697107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Deep Track Biotechnology Master Fund, Ltd.</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2"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039697107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David Kroin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33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039697107</w:t>
            </w:r>
          </w:p>
        </w:tc>
        <w:tc>
          <w:tcPr>
            <w:tcW w:w="304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w w:val="98"/>
              </w:rPr>
              <w:t>SCHEDULE 13G/A</w:t>
            </w:r>
          </w:p>
        </w:tc>
      </w:tr>
      <w:tr>
        <w:trPr>
          <w:trHeight w:val="111"/>
        </w:trPr>
        <w:tc>
          <w:tcPr>
            <w:tcW w:w="4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3040" w:type="dxa"/>
            <w:vAlign w:val="bottom"/>
          </w:tcPr>
          <w:p>
            <w:pPr>
              <w:spacing w:after="0"/>
              <w:rPr>
                <w:sz w:val="9"/>
                <w:szCs w:val="9"/>
                <w:color w:val="auto"/>
              </w:rPr>
            </w:pPr>
          </w:p>
        </w:tc>
      </w:tr>
      <w:tr>
        <w:trPr>
          <w:trHeight w:val="43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(a) Name of Issuer</w:t>
            </w:r>
          </w:p>
        </w:tc>
        <w:tc>
          <w:tcPr>
            <w:tcW w:w="3040" w:type="dxa"/>
            <w:vAlign w:val="bottom"/>
          </w:tcPr>
          <w:p>
            <w:pPr>
              <w:spacing w:after="0"/>
              <w:rPr>
                <w:sz w:val="24"/>
                <w:szCs w:val="24"/>
                <w:color w:val="auto"/>
              </w:rPr>
            </w:pPr>
          </w:p>
        </w:tc>
      </w:tr>
    </w:tbl>
    <w:p>
      <w:pPr>
        <w:spacing w:after="0" w:line="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ARDELYX, INC.</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400 Fifth Avenue, Suite 210</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Waltham, Massachusetts 02451</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Names of Persons Filing:</w:t>
      </w:r>
    </w:p>
    <w:p>
      <w:pPr>
        <w:spacing w:after="0" w:line="121" w:lineRule="exact"/>
        <w:rPr>
          <w:sz w:val="20"/>
          <w:szCs w:val="20"/>
          <w:color w:val="auto"/>
        </w:rPr>
      </w:pPr>
    </w:p>
    <w:p>
      <w:pPr>
        <w:ind w:left="1020" w:hanging="22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Track Capital, LP</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Track Biotechnology Master Fund, Ltd.</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Kroin</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 b) Address of Principal Business Office:</w:t>
      </w:r>
    </w:p>
    <w:p>
      <w:pPr>
        <w:spacing w:after="0" w:line="121" w:lineRule="exact"/>
        <w:rPr>
          <w:sz w:val="20"/>
          <w:szCs w:val="20"/>
          <w:color w:val="auto"/>
        </w:rPr>
      </w:pPr>
    </w:p>
    <w:p>
      <w:pPr>
        <w:ind w:left="1020" w:hanging="22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Greenwich Ave, 3rd Floor, Greenwich, CT 06830</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 Walkers Corporate Limited, 190 Elgin Ave, George Town, KY1-9001, Cayman Islands</w:t>
      </w:r>
    </w:p>
    <w:p>
      <w:pPr>
        <w:spacing w:after="0" w:line="20" w:lineRule="exact"/>
        <w:rPr>
          <w:rFonts w:ascii="Times New Roman" w:cs="Times New Roman" w:eastAsia="Times New Roman" w:hAnsi="Times New Roman"/>
          <w:sz w:val="17"/>
          <w:szCs w:val="17"/>
          <w:color w:val="auto"/>
        </w:rPr>
      </w:pPr>
    </w:p>
    <w:p>
      <w:pPr>
        <w:ind w:left="1120" w:hanging="32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Deep Track Capital, LP, 200 Greenwich Ave, 3rd Floor, Greenwich, CT 06830</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(c) Citizenship:</w:t>
      </w:r>
    </w:p>
    <w:p>
      <w:pPr>
        <w:spacing w:after="0" w:line="121" w:lineRule="exact"/>
        <w:rPr>
          <w:sz w:val="20"/>
          <w:szCs w:val="20"/>
          <w:color w:val="auto"/>
        </w:rPr>
      </w:pPr>
    </w:p>
    <w:p>
      <w:pPr>
        <w:ind w:left="1020" w:hanging="22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par value $0.0001 per share (the “Common Stock”)</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039697107</w:t>
      </w:r>
    </w:p>
    <w:p>
      <w:pPr>
        <w:spacing w:after="0" w:line="335"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039697107</w:t>
            </w:r>
          </w:p>
        </w:tc>
        <w:tc>
          <w:tcPr>
            <w:tcW w:w="304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w w:val="98"/>
              </w:rPr>
              <w:t>SCHEDULE 13G/A</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30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5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-193040</wp:posOffset>
            </wp:positionV>
            <wp:extent cx="2130425" cy="304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0425" cy="30416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4572635</wp:posOffset>
            </wp:positionV>
            <wp:extent cx="2130425" cy="304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6 of 9 Pages</w:t>
      </w:r>
    </w:p>
    <w:p>
      <w:pPr>
        <w:spacing w:after="0" w:line="374" w:lineRule="exact"/>
        <w:rPr>
          <w:sz w:val="20"/>
          <w:szCs w:val="20"/>
          <w:color w:val="auto"/>
        </w:rPr>
      </w:pPr>
    </w:p>
    <w:p>
      <w:pPr>
        <w:sectPr>
          <w:pgSz w:w="11900" w:h="16838" w:orient="portrait"/>
          <w:cols w:equalWidth="0" w:num="2">
            <w:col w:w="9060" w:space="720"/>
            <w:col w:w="1460"/>
          </w:cols>
          <w:pgMar w:left="320" w:top="663" w:right="339" w:bottom="0" w:gutter="0" w:footer="0" w:header="0"/>
        </w:sect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22" w:lineRule="exact"/>
        <w:rPr>
          <w:sz w:val="20"/>
          <w:szCs w:val="20"/>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53"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5"/>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7"/>
          <w:szCs w:val="17"/>
          <w:color w:val="auto"/>
        </w:rPr>
        <w:t>An investment adviser in accordance with §240.13d-1(b)(1)(ii)(E);</w:t>
      </w:r>
    </w:p>
    <w:p>
      <w:pPr>
        <w:spacing w:after="0" w:line="107"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37"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37"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30" w:type="dxa"/>
        <w:tblCellMar>
          <w:top w:w="0" w:type="dxa"/>
          <w:left w:w="0" w:type="dxa"/>
          <w:bottom w:w="0" w:type="dxa"/>
          <w:right w:w="0" w:type="dxa"/>
        </w:tblCellMar>
      </w:tblPr>
      <w:tr>
        <w:trPr>
          <w:trHeight w:val="347"/>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039697107</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7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Information with respect to the Reporting Persons' ownership of the Common Stock as of December 31, 2022, is incorporated by reference to items (5) - (9) and (11) of the cover page of the respective Reporting Person.</w:t>
      </w:r>
    </w:p>
    <w:p>
      <w:pPr>
        <w:sectPr>
          <w:pgSz w:w="11900" w:h="16838" w:orient="portrait"/>
          <w:cols w:equalWidth="0" w:num="1">
            <w:col w:w="11240"/>
          </w:cols>
          <w:pgMar w:left="320" w:top="663" w:right="339" w:bottom="0" w:gutter="0" w:footer="0" w:header="0"/>
          <w:type w:val="continuous"/>
        </w:sectPr>
      </w:pPr>
    </w:p>
    <w:bookmarkStart w:id="5" w:name="page6"/>
    <w:bookmarkEnd w:id="5"/>
    <w:p>
      <w:pPr>
        <w:ind w:right="1520" w:firstLine="792"/>
        <w:spacing w:after="0" w:line="323" w:lineRule="auto"/>
        <w:rPr>
          <w:sz w:val="20"/>
          <w:szCs w:val="20"/>
          <w:color w:val="auto"/>
        </w:rPr>
      </w:pPr>
      <w:r>
        <w:rPr>
          <w:rFonts w:ascii="Times New Roman" w:cs="Times New Roman" w:eastAsia="Times New Roman" w:hAnsi="Times New Roman"/>
          <w:sz w:val="18"/>
          <w:szCs w:val="18"/>
          <w:color w:val="auto"/>
        </w:rPr>
        <w:t xml:space="preserve">The amount beneficially owned by each Reporting Person is determined based on 187,459,645 Common Stock outstanding. </w:t>
      </w:r>
      <w:r>
        <w:rPr>
          <w:rFonts w:ascii="Times New Roman" w:cs="Times New Roman" w:eastAsia="Times New Roman" w:hAnsi="Times New Roman"/>
          <w:sz w:val="18"/>
          <w:szCs w:val="18"/>
          <w:b w:val="1"/>
          <w:bCs w:val="1"/>
          <w:color w:val="auto"/>
        </w:rPr>
        <w:t>Item 5. Ownership of Five Percent or Less of a Class</w:t>
      </w:r>
    </w:p>
    <w:p>
      <w:pPr>
        <w:spacing w:after="0" w:line="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ind w:left="130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Deep Track Capital, LP is the relevant entity for which David Kroin may be considered a control person.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039697107</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Capital,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Biotechnology Master Fund,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Director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David Kroin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Kroin</w:t>
      </w:r>
    </w:p>
    <w:p>
      <w:pPr>
        <w:sectPr>
          <w:pgSz w:w="11900" w:h="16838" w:orient="portrait"/>
          <w:cols w:equalWidth="0" w:num="1">
            <w:col w:w="11240"/>
          </w:cols>
          <w:pgMar w:left="320" w:top="447"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039697107</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9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2023</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Capital,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Biotechnology Master Fund,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Director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David Kroin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Kroin</w:t>
      </w:r>
    </w:p>
    <w:sectPr>
      <w:pgSz w:w="11900" w:h="16838" w:orient="portrait"/>
      <w:cols w:equalWidth="0" w:num="1">
        <w:col w:w="11240"/>
      </w:cols>
      <w:pgMar w:left="320" w:top="4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2023-02-14T07:27:36Z</dcterms:created>
  <dcterms:modified xsi:type="dcterms:W3CDTF">2023-02-14T07:27:36Z</dcterms:modified>
</cp:coreProperties>
</file>