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953770</wp:posOffset>
            </wp:positionH>
            <wp:positionV relativeFrom="page">
              <wp:posOffset>1109345</wp:posOffset>
            </wp:positionV>
            <wp:extent cx="201422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14220" cy="1371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60"/>
        <w:spacing w:after="0"/>
        <w:rPr>
          <w:sz w:val="20"/>
          <w:szCs w:val="20"/>
          <w:color w:val="auto"/>
        </w:rPr>
      </w:pPr>
      <w:r>
        <w:rPr>
          <w:rFonts w:ascii="Arial" w:cs="Arial" w:eastAsia="Arial" w:hAnsi="Arial"/>
          <w:sz w:val="22"/>
          <w:szCs w:val="22"/>
          <w:color w:val="auto"/>
        </w:rPr>
        <w:t>July 23, 2020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60"/>
        <w:spacing w:after="0"/>
        <w:rPr>
          <w:sz w:val="20"/>
          <w:szCs w:val="20"/>
          <w:color w:val="auto"/>
        </w:rPr>
      </w:pPr>
      <w:r>
        <w:rPr>
          <w:rFonts w:ascii="Arial" w:cs="Arial" w:eastAsia="Arial" w:hAnsi="Arial"/>
          <w:sz w:val="22"/>
          <w:szCs w:val="22"/>
          <w:b w:val="1"/>
          <w:bCs w:val="1"/>
          <w:i w:val="1"/>
          <w:iCs w:val="1"/>
          <w:color w:val="auto"/>
        </w:rPr>
        <w:t>VIA EDGAR AND HAND DELIVERY</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19"/>
          <w:szCs w:val="19"/>
          <w:color w:val="auto"/>
        </w:rPr>
        <w:t>United States Securities and Exchange Commission</w:t>
      </w:r>
    </w:p>
    <w:p>
      <w:pPr>
        <w:spacing w:after="0" w:line="33" w:lineRule="exact"/>
        <w:rPr>
          <w:sz w:val="24"/>
          <w:szCs w:val="24"/>
          <w:color w:val="auto"/>
        </w:rPr>
      </w:pPr>
    </w:p>
    <w:p>
      <w:pPr>
        <w:ind w:left="60"/>
        <w:spacing w:after="0"/>
        <w:rPr>
          <w:sz w:val="20"/>
          <w:szCs w:val="20"/>
          <w:color w:val="auto"/>
        </w:rPr>
      </w:pPr>
      <w:r>
        <w:rPr>
          <w:rFonts w:ascii="Arial" w:cs="Arial" w:eastAsia="Arial" w:hAnsi="Arial"/>
          <w:sz w:val="22"/>
          <w:szCs w:val="22"/>
          <w:color w:val="auto"/>
        </w:rPr>
        <w:t>Division of Corporation Finance</w:t>
      </w:r>
    </w:p>
    <w:p>
      <w:pPr>
        <w:ind w:left="60"/>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Washington, D.C. 20549-6010</w:t>
      </w:r>
    </w:p>
    <w:p>
      <w:pPr>
        <w:spacing w:after="0" w:line="148" w:lineRule="exact"/>
        <w:rPr>
          <w:sz w:val="24"/>
          <w:szCs w:val="24"/>
          <w:color w:val="auto"/>
        </w:rPr>
      </w:pPr>
    </w:p>
    <w:p>
      <w:pPr>
        <w:ind w:left="60"/>
        <w:spacing w:after="0"/>
        <w:tabs>
          <w:tab w:leader="none" w:pos="13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Jeffrey Gabor, Mary Beth Breslin</w:t>
      </w:r>
    </w:p>
    <w:p>
      <w:pPr>
        <w:spacing w:after="0" w:line="92" w:lineRule="exact"/>
        <w:rPr>
          <w:sz w:val="24"/>
          <w:szCs w:val="24"/>
          <w:color w:val="auto"/>
        </w:rPr>
      </w:pPr>
    </w:p>
    <w:p>
      <w:pPr>
        <w:ind w:left="700"/>
        <w:spacing w:after="0"/>
        <w:tabs>
          <w:tab w:leader="none" w:pos="13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b w:val="1"/>
          <w:bCs w:val="1"/>
          <w:color w:val="auto"/>
        </w:rPr>
        <w:t>Ardelyx, Inc.</w:t>
      </w:r>
    </w:p>
    <w:p>
      <w:pPr>
        <w:spacing w:after="0" w:line="14" w:lineRule="exact"/>
        <w:rPr>
          <w:sz w:val="24"/>
          <w:szCs w:val="24"/>
          <w:color w:val="auto"/>
        </w:rPr>
      </w:pPr>
    </w:p>
    <w:p>
      <w:pPr>
        <w:ind w:left="1340" w:right="780"/>
        <w:spacing w:after="0" w:line="234" w:lineRule="auto"/>
        <w:rPr>
          <w:sz w:val="20"/>
          <w:szCs w:val="20"/>
          <w:color w:val="auto"/>
        </w:rPr>
      </w:pPr>
      <w:r>
        <w:rPr>
          <w:rFonts w:ascii="Arial" w:cs="Arial" w:eastAsia="Arial" w:hAnsi="Arial"/>
          <w:sz w:val="22"/>
          <w:szCs w:val="22"/>
          <w:b w:val="1"/>
          <w:bCs w:val="1"/>
          <w:color w:val="auto"/>
        </w:rPr>
        <w:t>Registration Statement on Form S-3 Filed on July 9, 2020 File No. 333-239764</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2"/>
          <w:szCs w:val="22"/>
          <w:color w:val="auto"/>
        </w:rPr>
        <w:t>Ladies and Gentlemen: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140 Scott Drive</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40" w:lineRule="exact"/>
        <w:rPr>
          <w:sz w:val="24"/>
          <w:szCs w:val="24"/>
          <w:color w:val="auto"/>
        </w:rPr>
      </w:pPr>
    </w:p>
    <w:p>
      <w:pPr>
        <w:ind w:right="579"/>
        <w:spacing w:after="0" w:line="320" w:lineRule="auto"/>
        <w:rPr>
          <w:sz w:val="20"/>
          <w:szCs w:val="20"/>
          <w:color w:val="auto"/>
        </w:rPr>
      </w:pPr>
      <w:r>
        <w:rPr>
          <w:rFonts w:ascii="Arial" w:cs="Arial" w:eastAsia="Arial" w:hAnsi="Arial"/>
          <w:sz w:val="13"/>
          <w:szCs w:val="13"/>
          <w:color w:val="auto"/>
        </w:rPr>
        <w:t>Tel: +1.650.328.4600 Fax: +1.650.463.2600 www.lw.com</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Century City Orange County</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Düsseldorf</w:t>
        <w:tab/>
        <w:t>San Diego</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67"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0"/>
          <w:szCs w:val="10"/>
          <w:color w:val="auto"/>
        </w:rPr>
        <w:t>Shanghai</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Los Angeles  Tokyo</w:t>
      </w:r>
    </w:p>
    <w:p>
      <w:pPr>
        <w:spacing w:after="0" w:line="40" w:lineRule="exact"/>
        <w:rPr>
          <w:sz w:val="24"/>
          <w:szCs w:val="24"/>
          <w:color w:val="auto"/>
        </w:rPr>
      </w:pPr>
    </w:p>
    <w:p>
      <w:pPr>
        <w:spacing w:after="0"/>
        <w:tabs>
          <w:tab w:leader="none" w:pos="70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Milan</w:t>
      </w:r>
    </w:p>
    <w:p>
      <w:pPr>
        <w:spacing w:after="0" w:line="3684" w:lineRule="exact"/>
        <w:rPr>
          <w:sz w:val="24"/>
          <w:szCs w:val="24"/>
          <w:color w:val="auto"/>
        </w:rPr>
      </w:pPr>
    </w:p>
    <w:p>
      <w:pPr>
        <w:sectPr>
          <w:pgSz w:w="11900" w:h="16838" w:orient="portrait"/>
          <w:cols w:equalWidth="0" w:num="2">
            <w:col w:w="5460" w:space="720"/>
            <w:col w:w="2839"/>
          </w:cols>
          <w:pgMar w:left="1440" w:top="692" w:right="1440" w:bottom="1440" w:gutter="0" w:footer="0" w:header="0"/>
        </w:sectPr>
      </w:pPr>
    </w:p>
    <w:p>
      <w:pPr>
        <w:jc w:val="both"/>
        <w:ind w:left="60" w:right="59" w:firstLine="648"/>
        <w:spacing w:after="0" w:line="247" w:lineRule="auto"/>
        <w:rPr>
          <w:sz w:val="20"/>
          <w:szCs w:val="20"/>
          <w:color w:val="auto"/>
        </w:rPr>
      </w:pPr>
      <w:r>
        <w:rPr>
          <w:rFonts w:ascii="Arial" w:cs="Arial" w:eastAsia="Arial" w:hAnsi="Arial"/>
          <w:sz w:val="21"/>
          <w:szCs w:val="21"/>
          <w:color w:val="auto"/>
        </w:rPr>
        <w:t>On behalf of Ardelyx,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or “</w:t>
      </w:r>
      <w:r>
        <w:rPr>
          <w:rFonts w:ascii="Arial" w:cs="Arial" w:eastAsia="Arial" w:hAnsi="Arial"/>
          <w:sz w:val="21"/>
          <w:szCs w:val="21"/>
          <w:b w:val="1"/>
          <w:bCs w:val="1"/>
          <w:u w:val="single" w:color="auto"/>
          <w:color w:val="auto"/>
        </w:rPr>
        <w:t>Ardelyx</w:t>
      </w:r>
      <w:r>
        <w:rPr>
          <w:rFonts w:ascii="Arial" w:cs="Arial" w:eastAsia="Arial" w:hAnsi="Arial"/>
          <w:sz w:val="21"/>
          <w:szCs w:val="21"/>
          <w:color w:val="auto"/>
        </w:rPr>
        <w:t>”), we are hereby filing Amendment No. 1 to the Company’s Registration Statement on Form S-3 (“</w:t>
      </w:r>
      <w:r>
        <w:rPr>
          <w:rFonts w:ascii="Arial" w:cs="Arial" w:eastAsia="Arial" w:hAnsi="Arial"/>
          <w:sz w:val="21"/>
          <w:szCs w:val="21"/>
          <w:b w:val="1"/>
          <w:bCs w:val="1"/>
          <w:u w:val="single" w:color="auto"/>
          <w:color w:val="auto"/>
        </w:rPr>
        <w:t>Amendment No. 1</w:t>
      </w:r>
      <w:r>
        <w:rPr>
          <w:rFonts w:ascii="Arial" w:cs="Arial" w:eastAsia="Arial" w:hAnsi="Arial"/>
          <w:sz w:val="21"/>
          <w:szCs w:val="21"/>
          <w:color w:val="auto"/>
        </w:rPr>
        <w:t>”) in response to the comment letter received from the staff of the Securities and Exchange Commission (the “</w:t>
      </w:r>
      <w:r>
        <w:rPr>
          <w:rFonts w:ascii="Arial" w:cs="Arial" w:eastAsia="Arial" w:hAnsi="Arial"/>
          <w:sz w:val="21"/>
          <w:szCs w:val="21"/>
          <w:b w:val="1"/>
          <w:bCs w:val="1"/>
          <w:u w:val="single" w:color="auto"/>
          <w:color w:val="auto"/>
        </w:rPr>
        <w:t>Staff</w:t>
      </w:r>
      <w:r>
        <w:rPr>
          <w:rFonts w:ascii="Arial" w:cs="Arial" w:eastAsia="Arial" w:hAnsi="Arial"/>
          <w:sz w:val="21"/>
          <w:szCs w:val="21"/>
          <w:color w:val="auto"/>
        </w:rPr>
        <w:t>”) on July 14, 2020 (the “</w:t>
      </w:r>
      <w:r>
        <w:rPr>
          <w:rFonts w:ascii="Arial" w:cs="Arial" w:eastAsia="Arial" w:hAnsi="Arial"/>
          <w:sz w:val="21"/>
          <w:szCs w:val="21"/>
          <w:b w:val="1"/>
          <w:bCs w:val="1"/>
          <w:u w:val="single" w:color="auto"/>
          <w:color w:val="auto"/>
        </w:rPr>
        <w:t>Letter</w:t>
      </w:r>
      <w:r>
        <w:rPr>
          <w:rFonts w:ascii="Arial" w:cs="Arial" w:eastAsia="Arial" w:hAnsi="Arial"/>
          <w:sz w:val="21"/>
          <w:szCs w:val="21"/>
          <w:color w:val="auto"/>
        </w:rPr>
        <w:t>”) relating to the Registration Statement on Form S-3 that the Company filed with the Securities and Exchange Commission on July 9, 2020 (the “</w:t>
      </w:r>
      <w:r>
        <w:rPr>
          <w:rFonts w:ascii="Arial" w:cs="Arial" w:eastAsia="Arial" w:hAnsi="Arial"/>
          <w:sz w:val="21"/>
          <w:szCs w:val="21"/>
          <w:b w:val="1"/>
          <w:bCs w:val="1"/>
          <w:u w:val="single" w:color="auto"/>
          <w:color w:val="auto"/>
        </w:rPr>
        <w:t>Registration Statement</w:t>
      </w:r>
      <w:r>
        <w:rPr>
          <w:rFonts w:ascii="Arial" w:cs="Arial" w:eastAsia="Arial" w:hAnsi="Arial"/>
          <w:sz w:val="21"/>
          <w:szCs w:val="21"/>
          <w:color w:val="auto"/>
        </w:rPr>
        <w:t>”). Amendment No. 1 has been revised to reflect the Company’s responses to the Staff’s comments contained in the Letter.</w:t>
      </w:r>
    </w:p>
    <w:p>
      <w:pPr>
        <w:spacing w:after="0" w:line="143" w:lineRule="exact"/>
        <w:rPr>
          <w:sz w:val="24"/>
          <w:szCs w:val="24"/>
          <w:color w:val="auto"/>
        </w:rPr>
      </w:pPr>
    </w:p>
    <w:p>
      <w:pPr>
        <w:jc w:val="both"/>
        <w:ind w:left="60" w:right="59" w:firstLine="648"/>
        <w:spacing w:after="0" w:line="250" w:lineRule="auto"/>
        <w:rPr>
          <w:sz w:val="20"/>
          <w:szCs w:val="20"/>
          <w:color w:val="auto"/>
        </w:rPr>
      </w:pPr>
      <w:r>
        <w:rPr>
          <w:rFonts w:ascii="Arial" w:cs="Arial" w:eastAsia="Arial" w:hAnsi="Arial"/>
          <w:sz w:val="22"/>
          <w:szCs w:val="22"/>
          <w:color w:val="auto"/>
        </w:rPr>
        <w:t>For ease of review, we have set forth below each of the numbered comments of your letter in bold type followed by the Company’s responses thereto.</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b w:val="1"/>
          <w:bCs w:val="1"/>
          <w:i w:val="1"/>
          <w:iCs w:val="1"/>
          <w:u w:val="single" w:color="auto"/>
          <w:color w:val="auto"/>
        </w:rPr>
        <w:t>General</w:t>
      </w:r>
    </w:p>
    <w:p>
      <w:pPr>
        <w:spacing w:after="0" w:line="206" w:lineRule="exact"/>
        <w:rPr>
          <w:sz w:val="24"/>
          <w:szCs w:val="24"/>
          <w:color w:val="auto"/>
        </w:rPr>
      </w:pPr>
    </w:p>
    <w:p>
      <w:pPr>
        <w:jc w:val="both"/>
        <w:ind w:left="460" w:right="79" w:hanging="410"/>
        <w:spacing w:after="0" w:line="287" w:lineRule="auto"/>
        <w:tabs>
          <w:tab w:leader="none" w:pos="460" w:val="left"/>
        </w:tabs>
        <w:numPr>
          <w:ilvl w:val="0"/>
          <w:numId w:val="1"/>
        </w:numPr>
        <w:rPr>
          <w:rFonts w:ascii="Arial" w:cs="Arial" w:eastAsia="Arial" w:hAnsi="Arial"/>
          <w:sz w:val="19"/>
          <w:szCs w:val="19"/>
          <w:color w:val="auto"/>
        </w:rPr>
      </w:pPr>
      <w:r>
        <w:rPr>
          <w:rFonts w:ascii="Arial" w:cs="Arial" w:eastAsia="Arial" w:hAnsi="Arial"/>
          <w:sz w:val="19"/>
          <w:szCs w:val="19"/>
          <w:i w:val="1"/>
          <w:iCs w:val="1"/>
          <w:color w:val="auto"/>
        </w:rPr>
        <w:t>We note that your forum selection provision identifies the Court of Chancery of the State of Delaware as the exclusive forum for certain litigation, including any "derivative action." Please disclose whether this provision applies to actions arising under the Securities Act or Exchange Act. In that regard, we note that Section 27 of the Exchange Act creates exclusive federal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309880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color w:val="auto"/>
        </w:rPr>
        <w:t>July 23, 2020</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1379855" cy="93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9855" cy="9398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both"/>
        <w:ind w:left="460" w:right="79"/>
        <w:spacing w:after="0" w:line="245" w:lineRule="auto"/>
        <w:rPr>
          <w:sz w:val="20"/>
          <w:szCs w:val="20"/>
          <w:color w:val="auto"/>
        </w:rPr>
      </w:pPr>
      <w:r>
        <w:rPr>
          <w:rFonts w:ascii="Arial" w:cs="Arial" w:eastAsia="Arial" w:hAnsi="Arial"/>
          <w:sz w:val="21"/>
          <w:szCs w:val="21"/>
          <w:i w:val="1"/>
          <w:iCs w:val="1"/>
          <w:color w:val="auto"/>
        </w:rPr>
        <w:t>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If the provision applies to Securities Act claims, please also revise your prospectus to state that there is uncertainty as to whether a court would enforce such provision and that investors cannot waive compliance with the federal securities laws and the rules and regulations thereunder. If this provision does not apply to actions arising under the Securities Act or Exchange Act, please also tell us how you will inform investors in future filings that the provision does not apply to any actions arising under the Securities Act or Exchange Act.</w:t>
      </w:r>
    </w:p>
    <w:p>
      <w:pPr>
        <w:spacing w:after="0" w:line="14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22"/>
          <w:szCs w:val="22"/>
          <w:color w:val="auto"/>
        </w:rPr>
        <w:t>Response: The Company respectfully acknowledges the Staff’s comment and has revised page 10 of Amendment No. 1 to make clear that the Court of Chancery of the State of Delaware exclusive forum provision does not apply to suits brought to enforce any liability or duty created by the Exchange Act or any other claim for which the federal courts have exclusive jurisdiction by including the following statement:</w:t>
      </w:r>
    </w:p>
    <w:p>
      <w:pPr>
        <w:spacing w:after="0" w:line="187" w:lineRule="exact"/>
        <w:rPr>
          <w:sz w:val="20"/>
          <w:szCs w:val="20"/>
          <w:color w:val="auto"/>
        </w:rPr>
      </w:pPr>
    </w:p>
    <w:p>
      <w:pPr>
        <w:jc w:val="both"/>
        <w:ind w:left="1340" w:right="59"/>
        <w:spacing w:after="0" w:line="271" w:lineRule="auto"/>
        <w:rPr>
          <w:sz w:val="20"/>
          <w:szCs w:val="20"/>
          <w:color w:val="auto"/>
        </w:rPr>
      </w:pPr>
      <w:r>
        <w:rPr>
          <w:rFonts w:ascii="Arial" w:cs="Arial" w:eastAsia="Arial" w:hAnsi="Arial"/>
          <w:sz w:val="19"/>
          <w:szCs w:val="19"/>
          <w:color w:val="auto"/>
        </w:rPr>
        <w:t>“provided, that, this provision would not apply to suits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Although our amended and restated certificate of incorporation contains the choice of forum provision described above, there is uncertainty as to whether a court would enforce such provision and it is possible that a court could find that such a provision is inapplicable for a particular claim or action or that such provision is unenforceable. We note that investors cannot waive compliance with the federal securities laws and the rules and regulations thereunder.”</w:t>
      </w:r>
    </w:p>
    <w:p>
      <w:pPr>
        <w:spacing w:after="0" w:line="384" w:lineRule="exact"/>
        <w:rPr>
          <w:sz w:val="20"/>
          <w:szCs w:val="20"/>
          <w:color w:val="auto"/>
        </w:rPr>
      </w:pPr>
    </w:p>
    <w:p>
      <w:pPr>
        <w:jc w:val="both"/>
        <w:ind w:left="60" w:right="59"/>
        <w:spacing w:after="0"/>
        <w:rPr>
          <w:sz w:val="20"/>
          <w:szCs w:val="20"/>
          <w:color w:val="auto"/>
        </w:rPr>
      </w:pPr>
      <w:r>
        <w:rPr>
          <w:rFonts w:ascii="Arial" w:cs="Arial" w:eastAsia="Arial" w:hAnsi="Arial"/>
          <w:sz w:val="22"/>
          <w:szCs w:val="22"/>
          <w:color w:val="auto"/>
        </w:rPr>
        <w:t>The Company undertakes to include substantially similar disclosure with regard to its choice of forum provisions, to the extent the provisions remain applicable, in its future Securities Act and Exchange Act filings in which these provisions are addressed.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July 23, 2020</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1379855"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9855" cy="9398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both"/>
        <w:ind w:left="60" w:right="59" w:firstLine="648"/>
        <w:spacing w:after="0"/>
        <w:rPr>
          <w:sz w:val="20"/>
          <w:szCs w:val="20"/>
          <w:color w:val="auto"/>
        </w:rPr>
      </w:pPr>
      <w:r>
        <w:rPr>
          <w:rFonts w:ascii="Arial" w:cs="Arial" w:eastAsia="Arial" w:hAnsi="Arial"/>
          <w:sz w:val="22"/>
          <w:szCs w:val="22"/>
          <w:color w:val="auto"/>
        </w:rPr>
        <w:t>We hope the foregoing answers are responsive to your comments. Please do not hesitate to contact me by telephone at (650) 463-3043 or by fax at (650) 463-2600 with any questions or comments regarding this correspondence.</w:t>
      </w:r>
    </w:p>
    <w:p>
      <w:pPr>
        <w:spacing w:after="0" w:line="20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 Mark V. 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6985</wp:posOffset>
            </wp:positionV>
            <wp:extent cx="2820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Mark V. Roeder, Esq.</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of LATHAM &amp; WATKINS LLP</w:t>
      </w:r>
    </w:p>
    <w:p>
      <w:pPr>
        <w:spacing w:after="0" w:line="200" w:lineRule="exact"/>
        <w:rPr>
          <w:sz w:val="20"/>
          <w:szCs w:val="20"/>
          <w:color w:val="auto"/>
        </w:rPr>
      </w:pPr>
    </w:p>
    <w:p>
      <w:pPr>
        <w:spacing w:after="0" w:line="204" w:lineRule="exact"/>
        <w:rPr>
          <w:sz w:val="20"/>
          <w:szCs w:val="20"/>
          <w:color w:val="auto"/>
        </w:rPr>
      </w:pPr>
    </w:p>
    <w:p>
      <w:pPr>
        <w:ind w:left="700" w:right="5379" w:hanging="650"/>
        <w:spacing w:after="0" w:line="276" w:lineRule="auto"/>
        <w:tabs>
          <w:tab w:leader="none" w:pos="682" w:val="left"/>
        </w:tabs>
        <w:numPr>
          <w:ilvl w:val="0"/>
          <w:numId w:val="2"/>
        </w:numPr>
        <w:rPr>
          <w:rFonts w:ascii="Arial" w:cs="Arial" w:eastAsia="Arial" w:hAnsi="Arial"/>
          <w:sz w:val="19"/>
          <w:szCs w:val="19"/>
          <w:color w:val="auto"/>
        </w:rPr>
      </w:pPr>
      <w:r>
        <w:rPr>
          <w:rFonts w:ascii="Arial" w:cs="Arial" w:eastAsia="Arial" w:hAnsi="Arial"/>
          <w:sz w:val="19"/>
          <w:szCs w:val="19"/>
          <w:color w:val="auto"/>
        </w:rPr>
        <w:t>Michael Raab, Ardelyx, Inc. Elizabeth Grammer, Ardelyx, Inc.</w:t>
      </w:r>
    </w:p>
    <w:p>
      <w:pPr>
        <w:spacing w:after="0" w:line="1" w:lineRule="exact"/>
        <w:rPr>
          <w:rFonts w:ascii="Arial" w:cs="Arial" w:eastAsia="Arial" w:hAnsi="Arial"/>
          <w:sz w:val="19"/>
          <w:szCs w:val="19"/>
          <w:color w:val="auto"/>
        </w:rPr>
      </w:pPr>
    </w:p>
    <w:p>
      <w:pPr>
        <w:ind w:left="700" w:right="3939"/>
        <w:spacing w:after="0" w:line="308" w:lineRule="auto"/>
        <w:rPr>
          <w:rFonts w:ascii="Arial" w:cs="Arial" w:eastAsia="Arial" w:hAnsi="Arial"/>
          <w:sz w:val="19"/>
          <w:szCs w:val="19"/>
          <w:color w:val="auto"/>
        </w:rPr>
      </w:pPr>
      <w:r>
        <w:rPr>
          <w:rFonts w:ascii="Arial" w:cs="Arial" w:eastAsia="Arial" w:hAnsi="Arial"/>
          <w:sz w:val="19"/>
          <w:szCs w:val="19"/>
          <w:color w:val="auto"/>
        </w:rPr>
        <w:t>Mark V. Roeder, Esq., Latham &amp; Watkins LLP Alexander T. White, Esq.,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297815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6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2021-08-15T19:53:20Z</dcterms:created>
  <dcterms:modified xsi:type="dcterms:W3CDTF">2021-08-15T19:53:20Z</dcterms:modified>
</cp:coreProperties>
</file>