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September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001-36485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ARDELYX,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5" w:type="dxa"/>
        <w:jc w:val="left"/>
        <w:tblInd w:w="0" w:type="dxa"/>
        <w:tblLayout w:type="fixed"/>
        <w:tblCellMar>
          <w:top w:w="28" w:type="dxa"/>
          <w:left w:w="28" w:type="dxa"/>
          <w:bottom w:w="28" w:type="dxa"/>
          <w:right w:w="28" w:type="dxa"/>
        </w:tblCellMar>
      </w:tblPr>
      <w:tblGrid>
        <w:gridCol w:w="1822"/>
        <w:gridCol w:w="1601"/>
        <w:gridCol w:w="1617"/>
        <w:gridCol w:w="871"/>
        <w:gridCol w:w="871"/>
        <w:gridCol w:w="1243"/>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400 Fifth Avenue, Suite 210, Waltham, Massachusetts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02451</w:t>
            </w:r>
          </w:p>
          <w:p>
            <w:pPr>
              <w:pStyle w:val="TableContents"/>
              <w:bidi w:val="0"/>
              <w:spacing w:before="0" w:after="0"/>
              <w:jc w:val="center"/>
              <w:rPr/>
            </w:pPr>
            <w:r>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color w:val="000000"/>
          <w:sz w:val="20"/>
        </w:rPr>
        <w:t>(510)</w:t>
      </w:r>
      <w:r>
        <w:rPr>
          <w:color w:val="000000"/>
        </w:rPr>
        <w:t xml:space="preserve"> </w:t>
      </w:r>
      <w:r>
        <w:rPr>
          <w:rFonts w:ascii="Times New Roman;sans-serif" w:hAnsi="Times New Roman;sans-serif"/>
          <w:b/>
          <w:color w:val="000000"/>
          <w:sz w:val="20"/>
        </w:rPr>
        <w:t>745-1700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86" w:type="dxa"/>
        <w:jc w:val="left"/>
        <w:tblInd w:w="0" w:type="dxa"/>
        <w:tblLayout w:type="fixed"/>
        <w:tblCellMar>
          <w:top w:w="28" w:type="dxa"/>
          <w:left w:w="28" w:type="dxa"/>
          <w:bottom w:w="28" w:type="dxa"/>
          <w:right w:w="28" w:type="dxa"/>
        </w:tblCellMar>
      </w:tblPr>
      <w:tblGrid>
        <w:gridCol w:w="927"/>
        <w:gridCol w:w="813"/>
        <w:gridCol w:w="824"/>
        <w:gridCol w:w="109"/>
        <w:gridCol w:w="109"/>
        <w:gridCol w:w="109"/>
        <w:gridCol w:w="484"/>
        <w:gridCol w:w="484"/>
        <w:gridCol w:w="486"/>
        <w:gridCol w:w="109"/>
        <w:gridCol w:w="109"/>
        <w:gridCol w:w="109"/>
        <w:gridCol w:w="970"/>
        <w:gridCol w:w="970"/>
        <w:gridCol w:w="137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w:t>
      </w:r>
      <w:r>
        <w:rPr>
          <w:color w:val="000000"/>
        </w:rPr>
        <w:t> ☒</w:t>
      </w:r>
    </w:p>
    <w:p>
      <w:pPr>
        <w:pStyle w:val="TextBody"/>
        <w:bidi w:val="0"/>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issued and outstanding shares of the registrant’s Common Stock, $0.0001 par value per share, as of October 25, 2024, was 236,854,270.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Quarterly Report on Form 10-Q the terms “Ardelyx”, “we,” “us,” “our” and “the Company” refer to Ardelyx, Inc.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whether any legislative, regulatory or judicial action is taken to further delay or prevent the inclusion of XPHOZAH, along with other oral ESRD-related drugs without an injectable or intravenous equivalent, into the ESRD prospective payment system (ESRD PPS) which would otherwise occur on January 1, 2025;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adequacy of reimbursement and coverage of XPHOZAH beginning January 1, 2025 for all patients, regardless of insurance coverage, in the event that legislative, regulatory or judicial action to further delay or prevent the inclusion of oral only drugs in the ESRD PPS is not taken;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 risks and uncertainties, including those under the caption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SUMMARY OF PRINCIPAL RISKS ASSOCIATED WITH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incurred losses in each year since our inception, and we expect to continue to incur operating losses in the future as we commercialize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incur manufacturing and development costs for tenapanor, and incur additional expenses related to our ongoing operations and our pursuit of future business opportunities and incur research and development costs.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will require additional financing for the foreseeable future as we invest in the commercialization of IBSRELA and XPHOZAH in the U.S. and incur additional expenses related to our ongoing operations. The inability to access necessary capital when needed on acceptable terms, or at all, could force us to reduce our efforts to commercialize IBSRELA or XPHOZAH, or to delay or limit our pursuit of other future business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have generated limited revenue from product sales and may never be profitable for a full fiscal year.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There is no guarantee that we will achieve sufficient market acceptance for XPHOZAH, secure and maintain adequate coverage and reimbursement for XPHOZAH, or generate sufficient revenue from product sales of XPHOZAH.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 the event that legislative, regulatory or judicial action to further delay or prevent the inclusion of oral only drugs in the ESRD prospective payment system (ESRD PPS) is not taken, XPHOZAH will become part of the ESRD PPS on January 1, 2025, after which time, coverage for XPHOZAH for Medicare beneficiaries will no longer be available under Medicare Part D, and as a result the revenue that we may generate on sales of XPHOZAH will be negatively and materially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IBSRELA and/or XPHOZAH may cause undesirable side effects or have other properties that could limit the commercial success of the product.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future results depend on contract manufacturing organizations (CMOs), many of whom are our single source manufacturers.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operating activities may be restricted as a result of covenants related to the indebtedness under our loan and security agreement with SLR Investment Corp. (SLR), as amended, and we may be required to repay the outstanding indebtedness in an event of default, which could have a materially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REGARDING TRADEMARKS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ARDELYX</w:t>
      </w:r>
      <w:r>
        <w:rPr>
          <w:rFonts w:ascii="Times New Roman;sans-serif" w:hAnsi="Times New Roman;sans-serif"/>
          <w:b w:val="false"/>
          <w:color w:val="000000"/>
          <w:sz w:val="13"/>
        </w:rPr>
        <w:t>®</w:t>
      </w:r>
      <w:r>
        <w:rPr>
          <w:rFonts w:ascii="Times New Roman;sans-serif" w:hAnsi="Times New Roman;sans-serif"/>
          <w:b w:val="false"/>
          <w:color w:val="000000"/>
          <w:sz w:val="20"/>
        </w:rPr>
        <w:t>, IBSRELA</w:t>
      </w:r>
      <w:r>
        <w:rPr>
          <w:rFonts w:ascii="Times New Roman;sans-serif" w:hAnsi="Times New Roman;sans-serif"/>
          <w:b w:val="false"/>
          <w:color w:val="000000"/>
          <w:sz w:val="13"/>
        </w:rPr>
        <w:t>®</w:t>
      </w:r>
      <w:r>
        <w:rPr>
          <w:rFonts w:ascii="Times New Roman;sans-serif" w:hAnsi="Times New Roman;sans-serif"/>
          <w:b w:val="false"/>
          <w:color w:val="000000"/>
          <w:sz w:val="20"/>
        </w:rPr>
        <w:t>, and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ARDELYX, INC.</w:t>
      </w:r>
    </w:p>
    <w:tbl>
      <w:tblPr>
        <w:tblW w:w="8670" w:type="dxa"/>
        <w:jc w:val="left"/>
        <w:tblInd w:w="0" w:type="dxa"/>
        <w:tblLayout w:type="fixed"/>
        <w:tblCellMar>
          <w:top w:w="28" w:type="dxa"/>
          <w:left w:w="28" w:type="dxa"/>
          <w:bottom w:w="28" w:type="dxa"/>
          <w:right w:w="28" w:type="dxa"/>
        </w:tblCellMar>
      </w:tblPr>
      <w:tblGrid>
        <w:gridCol w:w="2890"/>
        <w:gridCol w:w="2538"/>
        <w:gridCol w:w="2551"/>
        <w:gridCol w:w="202"/>
        <w:gridCol w:w="202"/>
        <w:gridCol w:w="287"/>
      </w:tblGrid>
      <w:tr>
        <w:trPr/>
        <w:tc>
          <w:tcPr>
            <w:tcW w:w="2890"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693cb8444048269f3cd522ea6030e0_13">
              <w:r>
                <w:rPr>
                  <w:rStyle w:val="InternetLink"/>
                  <w:rFonts w:ascii="Times New Roman;sans-serif" w:hAnsi="Times New Roman;sans-serif"/>
                  <w:b/>
                  <w:color w:val="0000FF"/>
                  <w:sz w:val="20"/>
                  <w:u w:val="single"/>
                </w:rPr>
                <w:t>PART I. FINANCIAL INFORMATION</w:t>
              </w:r>
            </w:hyperlink>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6">
              <w:r>
                <w:rPr>
                  <w:rStyle w:val="InternetLink"/>
                  <w:rFonts w:ascii="Times New Roman;sans-serif" w:hAnsi="Times New Roman;sans-serif"/>
                  <w:b w:val="false"/>
                  <w:color w:val="0000FF"/>
                  <w:sz w:val="20"/>
                  <w:u w:val="single"/>
                </w:rPr>
                <w:t>Item 1. Financial Statements: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9">
              <w:r>
                <w:rPr>
                  <w:rStyle w:val="InternetLink"/>
                  <w:rFonts w:ascii="Times New Roman;sans-serif" w:hAnsi="Times New Roman;sans-serif"/>
                  <w:b w:val="false"/>
                  <w:color w:val="0000FF"/>
                  <w:sz w:val="20"/>
                  <w:u w:val="single"/>
                </w:rPr>
                <w:t>Condensed Balance Sheets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22">
              <w:r>
                <w:rPr>
                  <w:rStyle w:val="InternetLink"/>
                  <w:rFonts w:ascii="Times New Roman;sans-serif" w:hAnsi="Times New Roman;sans-serif"/>
                  <w:b w:val="false"/>
                  <w:color w:val="000080"/>
                  <w:sz w:val="20"/>
                  <w:u w:val="single"/>
                </w:rPr>
                <w:t xml:space="preserve">Condensed Statements of Operations and Comprehensive </w:t>
              </w:r>
            </w:hyperlink>
            <w:hyperlink w:anchor="ic4693cb8444048269f3cd522ea6030e0_22">
              <w:r>
                <w:rPr>
                  <w:rStyle w:val="InternetLink"/>
                  <w:rFonts w:ascii="Times New Roman;sans-serif" w:hAnsi="Times New Roman;sans-serif"/>
                  <w:b w:val="false"/>
                  <w:color w:val="000080"/>
                  <w:sz w:val="20"/>
                  <w:u w:val="single"/>
                </w:rPr>
                <w:t>Income (</w:t>
              </w:r>
            </w:hyperlink>
            <w:hyperlink w:anchor="ic4693cb8444048269f3cd522ea6030e0_22">
              <w:r>
                <w:rPr>
                  <w:rStyle w:val="InternetLink"/>
                  <w:rFonts w:ascii="Times New Roman;sans-serif" w:hAnsi="Times New Roman;sans-serif"/>
                  <w:b w:val="false"/>
                  <w:color w:val="000080"/>
                  <w:sz w:val="20"/>
                  <w:u w:val="single"/>
                </w:rPr>
                <w:t>Loss</w:t>
              </w:r>
            </w:hyperlink>
            <w:hyperlink w:anchor="ic4693cb8444048269f3cd522ea6030e0_22">
              <w:r>
                <w:rPr>
                  <w:rStyle w:val="InternetLink"/>
                  <w:rFonts w:ascii="Times New Roman;sans-serif" w:hAnsi="Times New Roman;sans-serif"/>
                  <w:b w:val="false"/>
                  <w:color w:val="000080"/>
                  <w:sz w:val="20"/>
                  <w:u w:val="single"/>
                </w:rPr>
                <w:t>)</w:t>
              </w:r>
            </w:hyperlink>
            <w:hyperlink w:anchor="ic4693cb8444048269f3cd522ea6030e0_22">
              <w:r>
                <w:rPr>
                  <w:rStyle w:val="InternetLink"/>
                  <w:rFonts w:ascii="Times New Roman;sans-serif" w:hAnsi="Times New Roman;sans-serif"/>
                  <w:b w:val="false"/>
                  <w:color w:val="000080"/>
                  <w:sz w:val="20"/>
                  <w:u w:val="single"/>
                </w:rPr>
                <w:t xml:space="preserve">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25">
              <w:r>
                <w:rPr>
                  <w:rStyle w:val="InternetLink"/>
                  <w:rFonts w:ascii="Times New Roman;sans-serif" w:hAnsi="Times New Roman;sans-serif"/>
                  <w:b w:val="false"/>
                  <w:color w:val="0000FF"/>
                  <w:sz w:val="20"/>
                  <w:u w:val="single"/>
                </w:rPr>
                <w:t>Condensed Statements of Changes in Stockholders' Equity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28">
              <w:r>
                <w:rPr>
                  <w:rStyle w:val="InternetLink"/>
                  <w:rFonts w:ascii="Times New Roman;sans-serif" w:hAnsi="Times New Roman;sans-serif"/>
                  <w:b w:val="false"/>
                  <w:color w:val="0000FF"/>
                  <w:sz w:val="20"/>
                  <w:u w:val="single"/>
                </w:rPr>
                <w:t>Condensed Statements of Cash Flows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31">
              <w:r>
                <w:rPr>
                  <w:rStyle w:val="InternetLink"/>
                  <w:rFonts w:ascii="Times New Roman;sans-serif" w:hAnsi="Times New Roman;sans-serif"/>
                  <w:b w:val="false"/>
                  <w:color w:val="0000FF"/>
                  <w:sz w:val="20"/>
                  <w:u w:val="single"/>
                </w:rPr>
                <w:t>Notes to Condensed Financial Statements (unaudited)</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21">
              <w:r>
                <w:rPr>
                  <w:rStyle w:val="InternetLink"/>
                  <w:rFonts w:ascii="Times New Roman;sans-serif" w:hAnsi="Times New Roman;sans-serif"/>
                  <w:b w:val="false"/>
                  <w:color w:val="0000FF"/>
                  <w:sz w:val="20"/>
                  <w:u w:val="single"/>
                </w:rPr>
                <w:t>Item 3. Quantitative and Qualitative Disclosures About Market Risk</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24">
              <w:r>
                <w:rPr>
                  <w:rStyle w:val="InternetLink"/>
                  <w:rFonts w:ascii="Times New Roman;sans-serif" w:hAnsi="Times New Roman;sans-serif"/>
                  <w:b w:val="false"/>
                  <w:color w:val="0000FF"/>
                  <w:sz w:val="20"/>
                  <w:u w:val="single"/>
                </w:rPr>
                <w:t>Item 4. Controls and Procedures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4693cb8444048269f3cd522ea6030e0_127">
              <w:r>
                <w:rPr>
                  <w:rStyle w:val="InternetLink"/>
                  <w:rFonts w:ascii="Times New Roman;sans-serif" w:hAnsi="Times New Roman;sans-serif"/>
                  <w:b/>
                  <w:color w:val="0000FF"/>
                  <w:sz w:val="20"/>
                  <w:u w:val="single"/>
                </w:rPr>
                <w:t>PART II. OTHER INFORMATION</w:t>
              </w:r>
            </w:hyperlink>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30">
              <w:r>
                <w:rPr>
                  <w:rStyle w:val="InternetLink"/>
                  <w:rFonts w:ascii="Times New Roman;sans-serif" w:hAnsi="Times New Roman;sans-serif"/>
                  <w:b w:val="false"/>
                  <w:color w:val="0000FF"/>
                  <w:sz w:val="20"/>
                  <w:u w:val="single"/>
                </w:rPr>
                <w:t>Item 1. Legal Proceedings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33">
              <w:r>
                <w:rPr>
                  <w:rStyle w:val="InternetLink"/>
                  <w:rFonts w:ascii="Times New Roman;sans-serif" w:hAnsi="Times New Roman;sans-serif"/>
                  <w:b w:val="false"/>
                  <w:color w:val="0000FF"/>
                  <w:sz w:val="20"/>
                  <w:u w:val="single"/>
                </w:rPr>
                <w:t>Item 1A. Risk Factors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36">
              <w:r>
                <w:rPr>
                  <w:rStyle w:val="InternetLink"/>
                  <w:rFonts w:ascii="Times New Roman;sans-serif" w:hAnsi="Times New Roman;sans-serif"/>
                  <w:b w:val="false"/>
                  <w:color w:val="0000FF"/>
                  <w:sz w:val="20"/>
                  <w:u w:val="single"/>
                </w:rPr>
                <w:t>Item 2. Unregistered Sales of Equity Securities and Use of Proceeds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39">
              <w:r>
                <w:rPr>
                  <w:rStyle w:val="InternetLink"/>
                  <w:rFonts w:ascii="Times New Roman;sans-serif" w:hAnsi="Times New Roman;sans-serif"/>
                  <w:b w:val="false"/>
                  <w:color w:val="0000FF"/>
                  <w:sz w:val="20"/>
                  <w:u w:val="single"/>
                </w:rPr>
                <w:t>Item 3. Defaults Upon Senior Securities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42">
              <w:r>
                <w:rPr>
                  <w:rStyle w:val="InternetLink"/>
                  <w:rFonts w:ascii="Times New Roman;sans-serif" w:hAnsi="Times New Roman;sans-serif"/>
                  <w:b w:val="false"/>
                  <w:color w:val="0000FF"/>
                  <w:sz w:val="20"/>
                  <w:u w:val="single"/>
                </w:rPr>
                <w:t>Item 4. Mine Safety Disclosures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45">
              <w:r>
                <w:rPr>
                  <w:rStyle w:val="InternetLink"/>
                  <w:rFonts w:ascii="Times New Roman;sans-serif" w:hAnsi="Times New Roman;sans-serif"/>
                  <w:b w:val="false"/>
                  <w:color w:val="0000FF"/>
                  <w:sz w:val="20"/>
                  <w:u w:val="single"/>
                </w:rPr>
                <w:t>Item 5. Other Information</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51">
              <w:r>
                <w:rPr>
                  <w:rStyle w:val="InternetLink"/>
                  <w:rFonts w:ascii="Times New Roman;sans-serif" w:hAnsi="Times New Roman;sans-serif"/>
                  <w:b w:val="false"/>
                  <w:color w:val="0000FF"/>
                  <w:sz w:val="20"/>
                  <w:u w:val="single"/>
                </w:rPr>
                <w:t>Item 6. Exhibits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693cb8444048269f3cd522ea6030e0_154">
              <w:r>
                <w:rPr>
                  <w:rStyle w:val="InternetLink"/>
                  <w:rFonts w:ascii="Times New Roman;sans-serif" w:hAnsi="Times New Roman;sans-serif"/>
                  <w:b w:val="false"/>
                  <w:color w:val="0000FF"/>
                  <w:sz w:val="20"/>
                  <w:u w:val="single"/>
                </w:rPr>
                <w:t>Signatures</w:t>
              </w:r>
            </w:hyperlink>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58"/>
        <w:gridCol w:w="2358"/>
        <w:gridCol w:w="2324"/>
        <w:gridCol w:w="211"/>
        <w:gridCol w:w="826"/>
        <w:gridCol w:w="109"/>
        <w:gridCol w:w="109"/>
        <w:gridCol w:w="109"/>
        <w:gridCol w:w="109"/>
        <w:gridCol w:w="211"/>
        <w:gridCol w:w="826"/>
        <w:gridCol w:w="155"/>
      </w:tblGrid>
      <w:tr>
        <w:trPr/>
        <w:tc>
          <w:tcPr>
            <w:tcW w:w="28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500,000,000 shares authorized; 236,890,431 and 232,453,190 shares issued and outstanding as of September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1573"/>
        <w:gridCol w:w="1189"/>
        <w:gridCol w:w="1196"/>
        <w:gridCol w:w="268"/>
        <w:gridCol w:w="918"/>
        <w:gridCol w:w="116"/>
        <w:gridCol w:w="116"/>
        <w:gridCol w:w="116"/>
        <w:gridCol w:w="116"/>
        <w:gridCol w:w="268"/>
        <w:gridCol w:w="918"/>
        <w:gridCol w:w="116"/>
        <w:gridCol w:w="109"/>
        <w:gridCol w:w="109"/>
        <w:gridCol w:w="109"/>
        <w:gridCol w:w="241"/>
        <w:gridCol w:w="945"/>
        <w:gridCol w:w="109"/>
        <w:gridCol w:w="109"/>
        <w:gridCol w:w="109"/>
        <w:gridCol w:w="109"/>
        <w:gridCol w:w="264"/>
        <w:gridCol w:w="922"/>
        <w:gridCol w:w="160"/>
      </w:tblGrid>
      <w:tr>
        <w:trPr/>
        <w:tc>
          <w:tcPr>
            <w:tcW w:w="157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(35,290)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common stock - basic and diluted</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 - basic</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235,911,399 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222,782,229 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234,516,305 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214,976,555 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income (loss) per share - diluted</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235,911,399 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227,894,335 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234,516,305 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214,976,555 </w:t>
            </w:r>
          </w:p>
        </w:tc>
        <w:tc>
          <w:tcPr>
            <w:tcW w:w="1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6,638 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(37,412)</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ARDELYX,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38"/>
        <w:gridCol w:w="296"/>
        <w:gridCol w:w="297"/>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0"/>
        <w:gridCol w:w="730"/>
        <w:gridCol w:w="166"/>
        <w:gridCol w:w="109"/>
        <w:gridCol w:w="109"/>
        <w:gridCol w:w="109"/>
        <w:gridCol w:w="211"/>
        <w:gridCol w:w="826"/>
        <w:gridCol w:w="155"/>
      </w:tblGrid>
      <w:tr>
        <w:trPr/>
        <w:tc>
          <w:tcPr>
            <w:tcW w:w="10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2024</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235,401,398 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663,358 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599,378 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236,890,431 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34"/>
        <w:gridCol w:w="347"/>
        <w:gridCol w:w="348"/>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6"/>
        <w:gridCol w:w="720"/>
        <w:gridCol w:w="170"/>
        <w:gridCol w:w="109"/>
        <w:gridCol w:w="109"/>
        <w:gridCol w:w="109"/>
        <w:gridCol w:w="211"/>
        <w:gridCol w:w="826"/>
        <w:gridCol w:w="157"/>
      </w:tblGrid>
      <w:tr>
        <w:trPr/>
        <w:tc>
          <w:tcPr>
            <w:tcW w:w="9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2024</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232,453,190 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2,227,627 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1,689,456 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236,890,431 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(889,985)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8"/>
        <w:gridCol w:w="296"/>
        <w:gridCol w:w="297"/>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0"/>
        <w:gridCol w:w="730"/>
        <w:gridCol w:w="166"/>
        <w:gridCol w:w="109"/>
        <w:gridCol w:w="109"/>
        <w:gridCol w:w="109"/>
        <w:gridCol w:w="211"/>
        <w:gridCol w:w="826"/>
        <w:gridCol w:w="155"/>
      </w:tblGrid>
      <w:tr>
        <w:trPr/>
        <w:tc>
          <w:tcPr>
            <w:tcW w:w="103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June 30,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217,862,921 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269,739 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at-the-market offerings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13,760,968 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232,133,132 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34"/>
        <w:gridCol w:w="347"/>
        <w:gridCol w:w="348"/>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0"/>
        <w:gridCol w:w="730"/>
        <w:gridCol w:w="166"/>
        <w:gridCol w:w="109"/>
        <w:gridCol w:w="109"/>
        <w:gridCol w:w="109"/>
        <w:gridCol w:w="211"/>
        <w:gridCol w:w="826"/>
        <w:gridCol w:w="157"/>
      </w:tblGrid>
      <w:tr>
        <w:trPr/>
        <w:tc>
          <w:tcPr>
            <w:tcW w:w="9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634,351 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at-the-market offerings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32,274,741 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232,133,132 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031" w:type="dxa"/>
        <w:jc w:val="center"/>
        <w:tblInd w:w="0" w:type="dxa"/>
        <w:tblLayout w:type="fixed"/>
        <w:tblCellMar>
          <w:top w:w="28" w:type="dxa"/>
          <w:left w:w="28" w:type="dxa"/>
          <w:bottom w:w="28" w:type="dxa"/>
          <w:right w:w="28" w:type="dxa"/>
        </w:tblCellMar>
      </w:tblPr>
      <w:tblGrid>
        <w:gridCol w:w="2679"/>
        <w:gridCol w:w="2350"/>
        <w:gridCol w:w="2366"/>
        <w:gridCol w:w="213"/>
        <w:gridCol w:w="807"/>
        <w:gridCol w:w="110"/>
        <w:gridCol w:w="110"/>
        <w:gridCol w:w="110"/>
        <w:gridCol w:w="110"/>
        <w:gridCol w:w="213"/>
        <w:gridCol w:w="807"/>
        <w:gridCol w:w="156"/>
      </w:tblGrid>
      <w:tr>
        <w:trPr/>
        <w:tc>
          <w:tcPr>
            <w:tcW w:w="267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redemptions of investments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2022 Loan Agreement, net of issuance costs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at the market offering, net of issuance costs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equity incentive and stock purchase plans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cash flow information:</w:t>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non-cash activities:</w:t>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for services</w:t>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ARDELYX, INC</w:t>
      </w: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ORGANIZATION AND BASIS OF PRESENTATION</w:t>
      </w:r>
    </w:p>
    <w:p>
      <w:pPr>
        <w:pStyle w:val="TextBody"/>
        <w:bidi w:val="0"/>
        <w:spacing w:lineRule="auto" w:line="288" w:before="240" w:after="283"/>
        <w:jc w:val="both"/>
        <w:rPr/>
      </w:pPr>
      <w:r>
        <w:rPr>
          <w:rFonts w:ascii="Times New Roman;sans-serif" w:hAnsi="Times New Roman;sans-serif"/>
          <w:b w:val="false"/>
          <w:color w:val="000000"/>
          <w:sz w:val="20"/>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irritable bowel syndrome with constipation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is approved in the U.S. to reduce serum phosphorus in adults with chronic kidney disease (CKD) on dialysis as add-on therapy in patients who have an inadequate response to phosphate binders or who are intolerant of any dose of phosphate binder therapy.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business segment, which is the development and commercialization of biopharmaceutical products.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and related financial information should be read in conjunction with the audited financial statements and the related notes thereto included in our Annual Report on Form 10-K for the year ended December 31, 2023. The results for the three and nine months ended September 30, 2024 are not necessarily indicative of results to be expected for the entire year ending December 31, 2024, or for any other interim period or future year.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cash, cash equivalents and short-term investments of approximately $190.4 million. We have incurred operating losses since inception in 2007 and our accumulated deficit as of September 30, 2024 is $890.0 million. We have addressed our operating cash flow requirements through cash generated from product sales of IBSRELA and XPHOZAH, proceeds from the sale of shares of our common stock under our at-the-market offering, the receipt of milestone payments from our collaboration partners and payments from our Japanese collaboration partner under the second amendment to our License Agreement, and funds from our loan agreements with SLR Investment Corp. (SLR), as amended. We believe our available cash, cash equivalents and short-term investments as of September 30, 2024 will be sufficient to fund our planned operations for at least a period of one year from the issuance of these condensed financial statements.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Note 2 to our audited financial statements for the fiscal year ended December 31, 2023, included in our Annual Report on Form 10-K. There have been no material changes in our significant accounting policies as previously disclosed in our Annual Report on Form 10-K for the fiscal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 Recently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no new accounting pronouncements subsequent to filing our most recent Annual Report on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Financial Accounting Standards Board (FASB) issued ASU No. 2023-06, Disclosure Improvements - Codification Amendments in Response to the SEC’s Disclosure Update and Simplification Initiative. The amendments in this Update modify the disclosure or presentation requirements of a variety of Topics in the Codification. The amendments are in response to the U.S. Securities and Exchange Commission's (SEC) Release No. 33-10532, Disclosure Update and Simplification, in which the SEC referred certain of its disclosure requirements that overlap with, but require incremental information to, generally accepted accounting principles to the FASB for potential incorporation into the Codification.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For all entities, if by June 30, 2027, the SEC has not removed the applicable requirement from Regulation S-X or Regulation S-K, the pending content of the related amendment will be removed from the Codification and will not become effective for any entity.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 Improvements to Reportable Segment Disclosures. This Update requires publicly traded entities to provide enhanced disclosures about significant segment expenses regularly reviewed by the chief operating decision maker, including public traded entities with a single reportable segment. The amendments in this update are effective for fiscal years beginning after December 15, 2023, and interim periods within fiscal years beginning after December 15, 2024. Early adoption is permitted.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 Improvements to Income Tax Disclosures, an amendment which modifies the measurement and recognition of credit losses for most financial assets and certain other instruments. The amendments in this Update provide more transparency about income tax information through improvements to income tax disclosures primarily related to the rate reconciliation and income taxes paid information. For public business entities, the amendments in this Update are effective for annual periods beginning after December 15, 2024. Early adoption is permitted on a prospective basis for annual financial statements that have not yet been issued or made available for issuance. Management is currently assessing the impact of this standard on the Company’s financial statements.</w:t>
      </w:r>
    </w:p>
    <w:p>
      <w:pPr>
        <w:pStyle w:val="TextBody"/>
        <w:bidi w:val="0"/>
        <w:spacing w:before="240" w:after="283"/>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CASH, CASH EQUIVALENTS AND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classified as cash, cash equivalents and short-term investments as of September 30, 2024 and December 31, 2023 are summarized below (in thousands):</w:t>
      </w:r>
    </w:p>
    <w:tbl>
      <w:tblPr>
        <w:tblW w:w="8873" w:type="dxa"/>
        <w:jc w:val="left"/>
        <w:tblInd w:w="0" w:type="dxa"/>
        <w:tblLayout w:type="fixed"/>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66"/>
        <w:gridCol w:w="109"/>
        <w:gridCol w:w="109"/>
        <w:gridCol w:w="109"/>
        <w:gridCol w:w="109"/>
        <w:gridCol w:w="211"/>
        <w:gridCol w:w="40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142,788 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190,217 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903" w:type="dxa"/>
        <w:jc w:val="left"/>
        <w:tblInd w:w="0" w:type="dxa"/>
        <w:tblLayout w:type="fixed"/>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66"/>
        <w:gridCol w:w="109"/>
        <w:gridCol w:w="109"/>
        <w:gridCol w:w="109"/>
        <w:gridCol w:w="109"/>
        <w:gridCol w:w="211"/>
        <w:gridCol w:w="43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162,605 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income (loss) within stockholders’ equity on our balance sheets. We use the specific identification method to determine the amount of realized gains or losses on sales of marketable securities. Realized gains or losses have not been significant and are included in other income, net, in the statement of operations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our available-for sale securities held as of September 30, 2024 and December 31, 2023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income (loss) to its fair value and establish that value as a new cost basis for the investment. Our unrealized losses as of September 30, 2024 and December 31, 2023 were not material. We determined that none of our available-for-sale securities were other-than-temporarily impaired as of September 30, 2024 and December 31, 2023, and no investment was in a continuous unrealized loss position for more than one year. As such, we believe that it is more likely than not that the investments will be held until maturity or a forecasted recovery of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three-level hierarchy for the inputs to valuation techniques is briefly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unobservable inputs for which there is little or no market data, which require us to develop our own assumptions.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our financial assets and liabilities that are measured or disclosed on a recurring basis by level within the fair value hierarchy (in thousands):</w:t>
      </w:r>
    </w:p>
    <w:tbl>
      <w:tblPr>
        <w:tblW w:w="8617" w:type="dxa"/>
        <w:jc w:val="left"/>
        <w:tblInd w:w="0" w:type="dxa"/>
        <w:tblLayout w:type="fixed"/>
        <w:tblCellMar>
          <w:top w:w="28" w:type="dxa"/>
          <w:left w:w="28" w:type="dxa"/>
          <w:bottom w:w="28" w:type="dxa"/>
          <w:right w:w="28" w:type="dxa"/>
        </w:tblCellMar>
      </w:tblPr>
      <w:tblGrid>
        <w:gridCol w:w="1272"/>
        <w:gridCol w:w="1117"/>
        <w:gridCol w:w="11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3"/>
        <w:gridCol w:w="411"/>
        <w:gridCol w:w="155"/>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tbl>
      <w:tblPr>
        <w:tblW w:w="8669" w:type="dxa"/>
        <w:jc w:val="left"/>
        <w:tblInd w:w="0" w:type="dxa"/>
        <w:tblLayout w:type="fixed"/>
        <w:tblCellMar>
          <w:top w:w="28" w:type="dxa"/>
          <w:left w:w="28" w:type="dxa"/>
          <w:bottom w:w="28" w:type="dxa"/>
          <w:right w:w="28" w:type="dxa"/>
        </w:tblCellMar>
      </w:tblPr>
      <w:tblGrid>
        <w:gridCol w:w="1272"/>
        <w:gridCol w:w="1117"/>
        <w:gridCol w:w="11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6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securities, commercial paper, corporate bonds, asset-backed securities, and Yankee bonds as Level 2. In certain cases, where there is limited activity or less transparency around inputs to valuation, securities or derivative liabilities, such as the 2022 Exit Fee valuation as of December 31, 2023, as defined and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are classified as Level 3. The conditions for payment of the 2022 Exit Fee were met at the measurement date of June 30, 2024 and it was therefore valued at its full contractual amount of $1.0 million as of that date. The 2022 Exit Fee was included in accounts payable and accrued liabilities on the accompanying condensed balance sheets at $1.0 million and $0.7 million as of September 30, 2024 and December 31,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condensed balance sheets for accounts receivable, prepaid expenses and other current assets, accounts payable and accrued expenses approximate their fair values at both September 30, 2024 and December 31, 2023 due to their short-term nature.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September 30,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principal amount outstanding under our term loan facilities is subject to a variable interest rate. Therefore, we believe the carrying amount of the term loan facility approximates fair value as of September 30, 2024 and December 31, 2023. See </w:t>
      </w:r>
      <w:r>
        <w:rPr>
          <w:rFonts w:ascii="Times New Roman;sans-serif" w:hAnsi="Times New Roman;sans-serif"/>
          <w:b w:val="false"/>
          <w:i/>
          <w:color w:val="000000"/>
          <w:sz w:val="20"/>
        </w:rPr>
        <w:t>Note 8. Borrowing</w:t>
      </w:r>
      <w:r>
        <w:rPr>
          <w:color w:val="000000"/>
        </w:rPr>
        <w:t xml:space="preserve"> </w:t>
      </w:r>
      <w:r>
        <w:rPr>
          <w:rFonts w:ascii="Times New Roman;sans-serif" w:hAnsi="Times New Roman;sans-serif"/>
          <w:b w:val="false"/>
          <w:color w:val="000000"/>
          <w:sz w:val="20"/>
        </w:rPr>
        <w:t>for a description of the Level 2 inputs used to estimate the fair value of the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carrying value of the deferred royalty obligation related to the sale of future royalties approximates its fair value as of September 30, 2024 and December 31, 2023 and is based on our current estimates of future royalties and commercialization milestones expected to be paid to us by Kyowa Kirin Co., Ltd. (Kyowa Kirin) over the life of the agreement. See </w:t>
      </w:r>
      <w:r>
        <w:rPr>
          <w:rFonts w:ascii="Times New Roman;sans-serif" w:hAnsi="Times New Roman;sans-serif"/>
          <w:b w:val="false"/>
          <w:i/>
          <w:color w:val="000000"/>
          <w:sz w:val="20"/>
        </w:rPr>
        <w:t>Note 7. Deferred Royalty Obligation Related to the Sale of Future Royalties</w:t>
      </w:r>
      <w:r>
        <w:rPr>
          <w:color w:val="000000"/>
        </w:rPr>
        <w:t xml:space="preserve"> </w:t>
      </w:r>
      <w:r>
        <w:rPr>
          <w:rFonts w:ascii="Times New Roman;sans-serif" w:hAnsi="Times New Roman;sans-serif"/>
          <w:b w:val="false"/>
          <w:color w:val="000000"/>
          <w:sz w:val="20"/>
        </w:rPr>
        <w:t>for a description of the Level 3 inputs used to estimate the fair value of the liability.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INVENTORY</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as of September 30, 2024 and December 31, 2023 consisted of the following (in thousands): </w:t>
      </w:r>
    </w:p>
    <w:tbl>
      <w:tblPr>
        <w:tblW w:w="6143"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358"/>
        <w:gridCol w:w="1226"/>
        <w:gridCol w:w="185"/>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73,780 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85,158 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inventory, we had prepaid commercial manufacturing of $16.7 million and $23.2 million as of September 30, 2024 and December 31, 2023, respectively, which consisted of prepayments to third party contract manufacturing organizations, including prepayments of zero and $4.2 million as of September 30, 2024 and December 31, 2023 that are expected to be converted into inventory after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during the three and nine months ended September 30, 2024 and 2023 were as follows (in thousands):</w:t>
      </w:r>
    </w:p>
    <w:tbl>
      <w:tblPr>
        <w:tblW w:w="10205" w:type="dxa"/>
        <w:jc w:val="left"/>
        <w:tblInd w:w="0" w:type="dxa"/>
        <w:tblLayout w:type="fixed"/>
        <w:tblCellMar>
          <w:top w:w="28" w:type="dxa"/>
          <w:left w:w="28" w:type="dxa"/>
          <w:bottom w:w="28" w:type="dxa"/>
          <w:right w:w="28" w:type="dxa"/>
        </w:tblCellMar>
      </w:tblPr>
      <w:tblGrid>
        <w:gridCol w:w="1510"/>
        <w:gridCol w:w="1261"/>
        <w:gridCol w:w="1267"/>
        <w:gridCol w:w="256"/>
        <w:gridCol w:w="876"/>
        <w:gridCol w:w="132"/>
        <w:gridCol w:w="132"/>
        <w:gridCol w:w="132"/>
        <w:gridCol w:w="132"/>
        <w:gridCol w:w="256"/>
        <w:gridCol w:w="876"/>
        <w:gridCol w:w="132"/>
        <w:gridCol w:w="109"/>
        <w:gridCol w:w="109"/>
        <w:gridCol w:w="109"/>
        <w:gridCol w:w="240"/>
        <w:gridCol w:w="940"/>
        <w:gridCol w:w="123"/>
        <w:gridCol w:w="123"/>
        <w:gridCol w:w="123"/>
        <w:gridCol w:w="123"/>
        <w:gridCol w:w="240"/>
        <w:gridCol w:w="820"/>
        <w:gridCol w:w="184"/>
      </w:tblGrid>
      <w:tr>
        <w:trPr/>
        <w:tc>
          <w:tcPr>
            <w:tcW w:w="151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56,391 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217,486 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90,093 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customers who contributed greater than 10% of our total gross product revenue during the three and nine months ended September 30, 2024 and 2023 was as follows (as a percentage of total gross product revenue):</w:t>
      </w:r>
    </w:p>
    <w:tbl>
      <w:tblPr>
        <w:tblW w:w="9784" w:type="dxa"/>
        <w:jc w:val="left"/>
        <w:tblInd w:w="0" w:type="dxa"/>
        <w:tblLayout w:type="fixed"/>
        <w:tblCellMar>
          <w:top w:w="28" w:type="dxa"/>
          <w:left w:w="28" w:type="dxa"/>
          <w:bottom w:w="28" w:type="dxa"/>
          <w:right w:w="28" w:type="dxa"/>
        </w:tblCellMar>
      </w:tblPr>
      <w:tblGrid>
        <w:gridCol w:w="1163"/>
        <w:gridCol w:w="1019"/>
        <w:gridCol w:w="1027"/>
        <w:gridCol w:w="260"/>
        <w:gridCol w:w="260"/>
        <w:gridCol w:w="648"/>
        <w:gridCol w:w="260"/>
        <w:gridCol w:w="260"/>
        <w:gridCol w:w="260"/>
        <w:gridCol w:w="260"/>
        <w:gridCol w:w="260"/>
        <w:gridCol w:w="648"/>
        <w:gridCol w:w="109"/>
        <w:gridCol w:w="109"/>
        <w:gridCol w:w="109"/>
        <w:gridCol w:w="292"/>
        <w:gridCol w:w="245"/>
        <w:gridCol w:w="611"/>
        <w:gridCol w:w="245"/>
        <w:gridCol w:w="245"/>
        <w:gridCol w:w="245"/>
        <w:gridCol w:w="292"/>
        <w:gridCol w:w="245"/>
        <w:gridCol w:w="712"/>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BioRidge Pharma, LLC</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Drug Corporation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and ending reserve balances for each significant category of discounts and allowances, which constitute variable consideration, were as follows (in thousands):</w:t>
      </w:r>
    </w:p>
    <w:tbl>
      <w:tblPr>
        <w:tblW w:w="10205" w:type="dxa"/>
        <w:jc w:val="left"/>
        <w:tblInd w:w="0" w:type="dxa"/>
        <w:tblLayout w:type="fixed"/>
        <w:tblCellMar>
          <w:top w:w="28" w:type="dxa"/>
          <w:left w:w="28" w:type="dxa"/>
          <w:bottom w:w="28" w:type="dxa"/>
          <w:right w:w="28" w:type="dxa"/>
        </w:tblCellMar>
      </w:tblPr>
      <w:tblGrid>
        <w:gridCol w:w="821"/>
        <w:gridCol w:w="707"/>
        <w:gridCol w:w="712"/>
        <w:gridCol w:w="456"/>
        <w:gridCol w:w="1335"/>
        <w:gridCol w:w="236"/>
        <w:gridCol w:w="109"/>
        <w:gridCol w:w="109"/>
        <w:gridCol w:w="109"/>
        <w:gridCol w:w="487"/>
        <w:gridCol w:w="1665"/>
        <w:gridCol w:w="251"/>
        <w:gridCol w:w="109"/>
        <w:gridCol w:w="109"/>
        <w:gridCol w:w="109"/>
        <w:gridCol w:w="330"/>
        <w:gridCol w:w="963"/>
        <w:gridCol w:w="169"/>
        <w:gridCol w:w="109"/>
        <w:gridCol w:w="109"/>
        <w:gridCol w:w="109"/>
        <w:gridCol w:w="211"/>
        <w:gridCol w:w="721"/>
        <w:gridCol w:w="160"/>
      </w:tblGrid>
      <w:tr>
        <w:trPr/>
        <w:tc>
          <w:tcPr>
            <w:tcW w:w="82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Copay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w:t>
            </w:r>
          </w:p>
        </w:tc>
        <w:tc>
          <w:tcPr>
            <w:tcW w:w="1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(33,925)</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2024</w:t>
            </w:r>
          </w:p>
        </w:tc>
        <w:tc>
          <w:tcPr>
            <w:tcW w:w="4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8,035 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to prior period provisions recorded in the current period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6. COLLABORATION AND LICENSING AGREEMENTS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Kyowa Kirin Co., Ltd. (Kyowa Kirin)</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w:t>
      </w:r>
      <w:r>
        <w:rPr>
          <w:rFonts w:ascii="Times New Roman;sans-serif" w:hAnsi="Times New Roman;sans-serif"/>
          <w:b w:val="false"/>
          <w:i/>
          <w:color w:val="000000"/>
          <w:sz w:val="20"/>
        </w:rPr>
        <w:t>Deferred Revenue</w:t>
      </w:r>
      <w:r>
        <w:rPr>
          <w:color w:val="000000"/>
        </w:rPr>
        <w:t xml:space="preserve"> </w:t>
      </w:r>
      <w:r>
        <w:rPr>
          <w:rFonts w:ascii="Times New Roman;sans-serif" w:hAnsi="Times New Roman;sans-serif"/>
          <w:b w:val="false"/>
          <w:color w:val="000000"/>
          <w:sz w:val="20"/>
        </w:rPr>
        <w:t xml:space="preserve">we have received advanced payments from Kyowa Kirin for the manufacturing of tenapanor drug substance that will be used to satisfy Kyowa Kirin needs. </w:t>
      </w:r>
    </w:p>
    <w:p>
      <w:pPr>
        <w:pStyle w:val="TextBody"/>
        <w:bidi w:val="0"/>
        <w:spacing w:lineRule="auto" w:line="288" w:before="240" w:after="283"/>
        <w:jc w:val="both"/>
        <w:rPr/>
      </w:pPr>
      <w:r>
        <w:rPr>
          <w:rFonts w:ascii="Times New Roman;sans-serif" w:hAnsi="Times New Roman;sans-serif"/>
          <w:b w:val="false"/>
          <w:color w:val="000000"/>
          <w:sz w:val="20"/>
        </w:rPr>
        <w:t>We assessed these arrangements in accordance with Accounting Standards Update (ASU) No. 2014-09, Revenue from Contracts with Customers (Topic 606) and related amendments (ASC 606) and concluded that the contract counterparty, Kyowa Kirin, is a customer. Under the terms of the 2017 Kyowa Kirin Agreement, we received</w:t>
      </w:r>
      <w:r>
        <w:rPr>
          <w:color w:val="000000"/>
        </w:rPr>
        <w:t xml:space="preserve"> </w:t>
      </w:r>
      <w:r>
        <w:rPr>
          <w:rFonts w:ascii="Times New Roman;sans-serif" w:hAnsi="Times New Roman;sans-serif"/>
          <w:b w:val="false"/>
          <w:color w:val="000000"/>
          <w:sz w:val="20"/>
        </w:rPr>
        <w:t xml:space="preserve">$30.0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 </w:t>
      </w:r>
    </w:p>
    <w:p>
      <w:pPr>
        <w:pStyle w:val="TextBody"/>
        <w:bidi w:val="0"/>
        <w:spacing w:lineRule="auto" w:line="288" w:before="240" w:after="283"/>
        <w:jc w:val="both"/>
        <w:rPr/>
      </w:pPr>
      <w:r>
        <w:rPr>
          <w:rFonts w:ascii="Times New Roman;sans-serif" w:hAnsi="Times New Roman;sans-serif"/>
          <w:b w:val="false"/>
          <w:color w:val="000000"/>
          <w:sz w:val="20"/>
        </w:rPr>
        <w:t>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$35.0 million has been received and recognized as revenue as of September 30, 2024. We may also be eligible to receive approximately ¥8.5 billion for commercialization milestones, or approximately $59.8 million at the currency exchange rate on September 30, 2024,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and commercial milestone payments we may receive under the 2017 Kyowa Kirin Agreement are remitted to HealthCare Royalty Partners IV, L.P. (HCR) upon receipt pursuant to a Royalty and Sales Milestone Interest Acquisition Agreement (HCR Agreement). The variable consideration related to the remaining milestone payments was fully constrained at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In April 2022, we entered into a second amendment to the 2017 Kyowa Kirin Agreement (2022 Amendment). Under the terms of the 2022 Amendment, we and Kyowa Kirin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commercial milestones and royalties we may receive under the 2017 Kyowa Kirin Agreement will be remitted to HCR pursuant to the HCR Agreement. As consideration for the reduction in the royalty rate, Kyowa Kirin agreed to pay us up to an additional $40.0 million payable in two tranches, with the first payment due following Kyowa Kirin's filing with the Japanese Ministry of Health, Labour and Welfare (MHLW) of its application for marketing approval for tenapanor and the second payment due following Kyowa Kirin’s receipt of regulatory approval to market tenapanor for hyperphosphatemia in Japan, both of which occurred as of September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that Kyowa Kirin submitted a New Drug Application (NDA) to the Japanese MHLW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condensed statement of operations and comprehensive income (loss).</w:t>
      </w:r>
    </w:p>
    <w:p>
      <w:pPr>
        <w:pStyle w:val="TextBody"/>
        <w:bidi w:val="0"/>
        <w:spacing w:lineRule="auto" w:line="288" w:before="240" w:after="283"/>
        <w:jc w:val="both"/>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CKD on dialysis, which resulted in payment to us from Kyowa Kirin for an aggregate of $30.0 million for milestone payments and payments under the 2022 Amendment. We received these payments in October 2023 and recorded them as licensing revenue on our condensed statement of operations and comprehensive income (loss) when earned during the three months ended September 30, 2023.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 patients in Japan. During the three and nine months ended September 30, 2024, we recognized $0.8 million and $1.8 million, respectively, of non-cash royalty revenue related to the sale of future royalties which we remit to HCR upon receipt in accordance with the HCR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nine months ended September 30, 2024, we recognized $5.3 million and $7.5 million, respectively, of product supply revenue pursuant to the 2017 Kyowa Kirin Agreement. During the three and nine months ended September 30, 2023, we recognized $2.1 million and $5.4 million, respectively, of product supply revenue pursuant to the 2017 Kyowa Kirin Agreement.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Shanghai Fosun Pharmaceutical Industrial Development Co. Ltd. (Fosun Pharma)</w:t>
      </w:r>
    </w:p>
    <w:p>
      <w:pPr>
        <w:pStyle w:val="TextBody"/>
        <w:bidi w:val="0"/>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w:t>
      </w:r>
      <w:r>
        <w:rPr>
          <w:color w:val="000000"/>
        </w:rPr>
        <w:t xml:space="preserve"> </w:t>
      </w:r>
      <w:r>
        <w:rPr>
          <w:rFonts w:ascii="Times New Roman;sans-serif" w:hAnsi="Times New Roman;sans-serif"/>
          <w:b w:val="false"/>
          <w:color w:val="000000"/>
          <w:sz w:val="20"/>
        </w:rPr>
        <w:t xml:space="preserve">$12.0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 </w:t>
      </w:r>
    </w:p>
    <w:p>
      <w:pPr>
        <w:pStyle w:val="TextBody"/>
        <w:bidi w:val="0"/>
        <w:spacing w:lineRule="auto" w:line="288" w:before="240" w:after="283"/>
        <w:jc w:val="both"/>
        <w:rPr/>
      </w:pPr>
      <w:r>
        <w:rPr>
          <w:rFonts w:ascii="Times New Roman;sans-serif" w:hAnsi="Times New Roman;sans-serif"/>
          <w:b w:val="false"/>
          <w:color w:val="000000"/>
          <w:sz w:val="20"/>
        </w:rPr>
        <w:t>We may be entitled to receive development and commercialization milestones of up to</w:t>
      </w:r>
      <w:r>
        <w:rPr>
          <w:color w:val="000000"/>
        </w:rPr>
        <w:t xml:space="preserve"> </w:t>
      </w:r>
      <w:r>
        <w:rPr>
          <w:rFonts w:ascii="Times New Roman;sans-serif" w:hAnsi="Times New Roman;sans-serif"/>
          <w:b w:val="false"/>
          <w:color w:val="000000"/>
          <w:sz w:val="20"/>
        </w:rPr>
        <w:t>$113.0 million, of which $8.0 million has been received and recognized as revenue as of September 30, 2024, as well as reimbursement of cost plus a reasonable overhead for the supply of product and tiered royalties on net sales ranging from the mid-teens to</w:t>
      </w:r>
      <w:r>
        <w:rPr>
          <w:color w:val="000000"/>
        </w:rPr>
        <w:t xml:space="preserve"> </w:t>
      </w:r>
      <w:r>
        <w:rPr>
          <w:rFonts w:ascii="Times New Roman;sans-serif" w:hAnsi="Times New Roman;sans-serif"/>
          <w:b w:val="false"/>
          <w:color w:val="000000"/>
          <w:sz w:val="20"/>
        </w:rPr>
        <w:t>20%. The variable consideration related to the remaining development milestone payments was fully constrained at September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we announced that an NDA for tenapanor had been accepted for review by China’s Center for Drug Evaluation of the National Medical Products Administration (NMPA) for the control of serum phosphorus in adult patients with CKD on hemodialysis. This acceptance triggered a $2.0 million milestone payment to us under the terms of the Fosun Agreement. We received this payment during the third quarter of 2023 and recorded it as licensing revenue on our condensed statement of operations and comprehensive income (loss) when earned during the three months ended September 30, 2023. In October 2023, we announced that the U.S. FDA had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was received during the first quarter of 2024. Also, in October 2023, we announced that Fosun Pharma received approval from the Hong Kong Department of Health for the marketing application for tenapanor for the treatment of irritable bowel syndrome with constipation (IBS-C).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we did not recognize a material amount of revenue pursuant to the Fosun Agreement. During the three and nine months ended September 30, 2023, we recognized $2.0 million of licensing revenue pursuant to the Fosun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Knight Therapeutics, Inc. (Knight)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pStyle w:val="TextBody"/>
        <w:bidi w:val="0"/>
        <w:spacing w:lineRule="auto" w:line="288" w:before="240" w:after="283"/>
        <w:jc w:val="both"/>
        <w:rPr/>
      </w:pPr>
      <w:r>
        <w:rPr>
          <w:rFonts w:ascii="Times New Roman;sans-serif" w:hAnsi="Times New Roman;sans-serif"/>
          <w:b w:val="false"/>
          <w:color w:val="000000"/>
          <w:sz w:val="20"/>
        </w:rPr>
        <w:t>Under the terms of the Knight Agreement, we received a</w:t>
      </w:r>
      <w:r>
        <w:rPr>
          <w:color w:val="000000"/>
        </w:rPr>
        <w:t xml:space="preserve"> </w:t>
      </w:r>
      <w:r>
        <w:rPr>
          <w:rFonts w:ascii="Times New Roman;sans-serif" w:hAnsi="Times New Roman;sans-serif"/>
          <w:b w:val="false"/>
          <w:color w:val="000000"/>
          <w:sz w:val="20"/>
        </w:rPr>
        <w:t>$2.3 million non-refundable, one-time upfront payment in March 2018 and may be eligible to receive additional development and commercialization milestone payments worth up to CAD 22.2 million, or approximately $16.4 million at the currency exchange rate on September 30, 2024, of which $0.7 million has been received and recognized as revenue as of September 30, 2024. We are also eligible to receive royalties ranging from the mid-single digits to the low twenties throughout the term of the agreement, and a transfer price for manufacturing services.</w:t>
      </w:r>
      <w:r>
        <w:rPr>
          <w:color w:val="000000"/>
        </w:rPr>
        <w:t xml:space="preserve"> </w:t>
      </w:r>
      <w:r>
        <w:rPr>
          <w:rFonts w:ascii="Times New Roman;sans-serif" w:hAnsi="Times New Roman;sans-serif"/>
          <w:b w:val="false"/>
          <w:color w:val="000000"/>
          <w:sz w:val="20"/>
        </w:rPr>
        <w:t>The variable consideration related to the remaining development milestone payments was fully constrained at September 30,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2024 and 2023, we did not recognize a material amount of revenue pursuant to the Knight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AstraZeneca AB (AstraZeneca)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September 30, 2024, to date in aggregate, we have recognized $50.3 million of the $75.0 million, which has been recorded as other cost of revenue on our condensed statements of operations and comprehensive income (loss). During the three and nine months ended September 30, 2024, we recognized $10.0 million and $22.7 million, respectively, as other cost of revenue related to the AstraZeneca Termination Agreement. During the three and nine months ended September 30, 2023 we recognized $5.7 million and $8.7 million, respectively, as other cost of revenue related to the AstraZeneca Termination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changes in our current and non-current deferred revenue balances during the reporting period, which are all attributable to the 2017 Kyowa Kirin Agreement (in thousands):</w:t>
      </w:r>
    </w:p>
    <w:tbl>
      <w:tblPr>
        <w:tblW w:w="10205" w:type="dxa"/>
        <w:jc w:val="left"/>
        <w:tblInd w:w="0" w:type="dxa"/>
        <w:tblLayout w:type="fixed"/>
        <w:tblCellMar>
          <w:top w:w="28" w:type="dxa"/>
          <w:left w:w="28" w:type="dxa"/>
          <w:bottom w:w="28" w:type="dxa"/>
          <w:right w:w="28" w:type="dxa"/>
        </w:tblCellMar>
      </w:tblPr>
      <w:tblGrid>
        <w:gridCol w:w="1760"/>
        <w:gridCol w:w="1508"/>
        <w:gridCol w:w="1517"/>
        <w:gridCol w:w="384"/>
        <w:gridCol w:w="284"/>
        <w:gridCol w:w="287"/>
        <w:gridCol w:w="109"/>
        <w:gridCol w:w="109"/>
        <w:gridCol w:w="109"/>
        <w:gridCol w:w="583"/>
        <w:gridCol w:w="337"/>
        <w:gridCol w:w="339"/>
        <w:gridCol w:w="109"/>
        <w:gridCol w:w="109"/>
        <w:gridCol w:w="109"/>
        <w:gridCol w:w="384"/>
        <w:gridCol w:w="284"/>
        <w:gridCol w:w="287"/>
        <w:gridCol w:w="109"/>
        <w:gridCol w:w="109"/>
        <w:gridCol w:w="109"/>
        <w:gridCol w:w="547"/>
        <w:gridCol w:w="298"/>
        <w:gridCol w:w="425"/>
      </w:tblGrid>
      <w:tr>
        <w:trPr/>
        <w:tc>
          <w:tcPr>
            <w:tcW w:w="176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as prepayments for product supply</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for revenue recognized for product supply</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Reclassify amounts to be recognized in the next twelve months</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10,290</w:t>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DEFERRED ROYALTY OBLIGATION RELATED TO THE SALE OF FUTURE ROYALTIES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consideration for the sale of the Royalty Interest Payments, HCR paid to us a $10.0 million upfront payment in June 2022 and a $5.0 million payment, which we received in October 2023, as a result of Kyowa Kirin's receipt of regulatory approval to market tenapanor for hyperphosphatemia in Japan. We are eligible to receive another $5.0 million payment in the event net sales by Kyowa Kirin in Japan exceed a certain annual target level by the end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 Agreement under certain circumstances or we or our assets become subject to certain legal proceedings, such as bankruptcy proceedings, or we are unable to pay our debts as they become due.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$10.0 million upfront payment from HCR received in June 2022 and the $5.0 million payment received in October 2023 have been recorded as a deferred royalty obligation related to the sale of future royalties (deferred royalty obligation) on our balance sheets. Due to our ongoing manufacturing obligations under the 2017 Kyowa Kirin Agreement, we account for the proceeds as imputed debt and therefore will recognize royalties earned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September 30, 2024, our effective interest rate used to amortize the liability is 33.3%. During the three and nine months ended September 30, 2024, we recognized $1.9 million and $5.2 million, respectively, of non-cash interest expense related to the deferred royalty obligation. During the three and nine months ended September 30, 2023, we recognized $0.9 million and $2.9 million, respectively, of non-cash interest expense related to the deferred royalty obligation. As of September 30, 2024, we have received $1.0 million royalty payments from Kyowa Kirin and the deferred royalty obligation has been reduced accordingly.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8. BORROWING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Solar Capital and Western Alliance Bank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2018, we entered into a loan and security agreement (as amended on October 9, 2020, March 1, 2021, May 5, 2021, and July 29, 2021) (2018 Loan Agreement) with Solar Capital Ltd. and Western Alliance Bank (collectively, the 2018 Lenders). The 2018 Loan Agreement provided for a loan facility for up to $50.0 million with a maturity date of November 1, 2022 (2018 Loan). As of the Closing Date for the 2022 Loan, as discussed below, we owed $25.0 million in principal payments from the 2018 Loan, which we repaid in full at that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entering into the 2018 Loan Agreement, we entered into an agreement pursuant to which we agreed to pay $1.5 million in cash upon the occurrence of certain conditions (2018 Exit Fee). Our obligations for the 2018 Exit Fee remained outstanding following the full repayment of the 2018 Loan in February 2022 until October 2023 when we received approval from the U.S. FDA for XPHOZAH to reduce serum phosphorus in adults with CKD on dialysis as add-on therapy in patients who have an inadequate response to phosphate binders or who are intolerant of any dose of phosphate binder therapy. This triggered our obligation to pay the 2018 Exit Fee to the 2018 Lenders and we subsequently paid the 2018 Exit Fee in October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SLR Investment Corp.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(Closing Date), we entered into a loan and security agreement (2022 Loan Agreement) with SLR Investment Corp. as collateral agent (Agent or SLR), and the lenders listed in the 2022 Loan Agreement (collectively, the 2022 Lenders). The 2022 Loan Agreement was subsequently amended in August 2022 (the First Amendment), February 2023 (the Second Amendment) and October 2023 (the Third Amendment). We concluded that the First Amendment, the Second Amendment and the Third Amendment were each modifications to the 2022 Loan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2022 Loan Agreement, as amended by the First Amendment and the Second Amendment, provided for a senior secured loan facility, with $27.5 million (Term A Loan) funded on the Closing Date and an additional $22.5 million which was funded upon our election in October 2023 (Term B Loan, and together with the Term A Loan, the 2022 Original Loans). The 2022 Term A Loan funds were used to repay the 2018 Loan with the 2018 Lenders.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Third Amendment, among other things, (1) provided us with the option to draw an additional $50.0 million of committed capital by March 15, 2024 (the Term C Loan) provided we have drawn the Term B Loan; and (2) provided us with the option to draw up to an additional $50.0 million of uncommitted capital by December 31, 2026, subject to approval by the Agent’s investment committee (the Term D Loan). In February 2024, we provided the Agent with notice of our decision to draw the Term C Loan to support the commercial launch of XPHOZAH and received the proceeds of the Term C Loan in March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15. Subsequent Events</w:t>
      </w:r>
      <w:r>
        <w:rPr>
          <w:rFonts w:ascii="Times New Roman;sans-serif" w:hAnsi="Times New Roman;sans-serif"/>
          <w:b w:val="false"/>
          <w:color w:val="000000"/>
          <w:sz w:val="20"/>
        </w:rPr>
        <w:t>, on October 29, 2024, we entered into a Fourth Amendment (the Fourth Amendment) to the 2022 Loan Agreement by and between us and the 2022 Lenders. The Fourth Amendment, among other things, (1) provided for the immediate draw of the Term D Loan in a principal amount of $50.0 million on the closing date of the Fourth Amendment and (2) provides us with the option to draw an additional $50.0 million of committed capital by June 30, 2025 (the Term E Loan and together with the Term A, B, C and D Loans, the Five 2022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Fourth Amendment, the maturity date for the Five 2022 Loans is extended from March 1, 2027 to July 1, 2028 (the Maturity Date). The interest rate for each of the Term A Loan and the Term B Loan is 7.95% plus a SOFR value equal to 0.022% plus the 1-month CME Term SOFR reference rate as published by the CME Term SOFR Administrator on the CME Term SOFR Administrator’s Website, subject to a SOFR floor of one percent. The interest rate for the Term C Loan is 4.25% plus a SOFR value equal to 0.022% plus the 1-month CME Term SOFR reference rate as published by the CME Term SOFR Administrator on the CME Term SOFR Administrator’s Website, subject to a SOFR floor of 4.7%. The interest rate for each of the Term D Loan and the Term E Loan is 4.00% plus a SOFR value equal to 0.022% plus the 1-month CME Term SOFR reference rate as published by the CME Term SOFR Administrator on the CME Term SOFR Administrator's Website, subject to a SOFR floor of 4.7%.</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Fourth Amendment, the period under which we are permitted to make interest-only payments on the Five 2022 Loans was extended to the Maturity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paid fees of $0.2 million, upon the closing of the Term A Loan, $0.1 million on the funding date of the Term B Loan, $0.3 million on the funding date of the Term C Loan and $0.3 million on the funding date of the Term D Loan in October 2024. In addition, we will be obligated to pay 0.5% of the aggregate original principal amount of the Term E Loan commitment, which shall be due on the earliest of (1) the funding of the Term E Loan, (2) June 30, 2025, and (3) the prepayment, refinancing, substitution or replacement of any of the Five 2022 Loans on or prior to the date immediately preceding June 30,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obligated to pay a final fee equal to 4.95% of the aggregate original principal amount of the Five 2022 Loans, to the extent such loans are funded, upon the earliest to occur of the maturity date, the acceleration of the Five 2022 Loans, and the prepayment, refinancing, substitution, or replacement of the Five 2022 Loans.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may voluntarily prepay all amounts outstanding under the Five 2022 Loans, subject to a prepayment premium of (i) 3% of the outstanding principal amount of the Five 2022 Loans if prepaid prior to or on October 17, 2024, (ii) 2% of the outstanding principal amount of the Five 2022 Loans if prepaid after October 17, 2024 through and including October 17, 2025, or (iii) 1% of the outstanding principal amount of the Five 2022 Loans if prepaid after October 17, 2025 and prior to the maturity date. The Five 2022 Loans are secured by substantially all of our assets, except for our intellectual property and certain other customary exclusions. Additionally, 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xml:space="preserve">, in connection with the 2022 Original Loans, we entered into an agreement whereby we agreed to pay an exit fee in the amount of 2% of the 2022 Original Loans funded (2022 Exit Fee). We paid the 2022 Exit Fee to the Lender in October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2022 Loan Agreement, as amended,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cash equivalents and available-for-sale investments to be less than the eighty percent (80%) of the outstanding balance of the Five 2022 Term Loans for any period in which our net revenue from the sale of any products, calculated on a trailing six (6) month basis and tested monthly, is less than sixty percent (60%) of the outstanding balance of the Five 2022 Loans.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2022 Loan Agreement, as amended, contains customary events of default that entitle the Agent to cause our indebtedness under the 2022 Loan Agreement to become immediately due and payable, and to exercise remedies against us and the collateral securing the Five 2022 Term Loans,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Original Loan balance as a non-current liability as of September 30, 2024 due to principal repayment on July 1, 2028. We have concluded that the provisions that could cause acceleration of the principal repayments are remote.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future payment obligations related to the 2022 Loan, excluding interest payments and the 2022 final fee, were as follows (in thousands):</w:t>
      </w:r>
    </w:p>
    <w:p>
      <w:pPr>
        <w:pStyle w:val="TextBody"/>
        <w:bidi w:val="0"/>
        <w:spacing w:before="0" w:after="0"/>
        <w:jc w:val="both"/>
        <w:rPr/>
      </w:pPr>
      <w:r>
        <w:rPr/>
      </w:r>
    </w:p>
    <w:tbl>
      <w:tblPr>
        <w:tblW w:w="5510" w:type="dxa"/>
        <w:jc w:val="left"/>
        <w:tblInd w:w="0" w:type="dxa"/>
        <w:tblLayout w:type="fixed"/>
        <w:tblCellMar>
          <w:top w:w="28" w:type="dxa"/>
          <w:left w:w="28" w:type="dxa"/>
          <w:bottom w:w="28" w:type="dxa"/>
          <w:right w:w="28" w:type="dxa"/>
        </w:tblCellMar>
      </w:tblPr>
      <w:tblGrid>
        <w:gridCol w:w="1566"/>
        <w:gridCol w:w="1372"/>
        <w:gridCol w:w="1381"/>
        <w:gridCol w:w="211"/>
        <w:gridCol w:w="826"/>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repayment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Unaccreted value of final fee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DERIVATIVE LIABILITIES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2018 Exit Fee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in connection with entering into the 2018 Loan Agreement, we entered into an agreement pursuant to which we agreed to pay $1.5 million in cash (2018 Exit Fee) upon any change of control transaction in respect of the Company or if we obtain both (i) U.S. FDA approval of XPHOZAH and (ii) U.S. FDA approval of IBSRELA, which was obtained on September 12, 2019 (2018 Exit Fee Agreement). Notwithstanding the February 2022 prepayment of the 2018 Loan, our obligation to pay the 2018 Exit Fee would have expired on May 16, 2028. We concluded that the 2018 Exit Fee was a freestanding derivative which was recorded at fair value as a derivative liability included in accrued expense and other current liabilities on the condensed balance sheets.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received approval from the U.S. FDA for XPHOZAH to reduce serum phosphorus in adults with CKD on dialysis as add-on therapy in patients who have an inadequate response to phosphate binders or who are intolerant of any dose of phosphate binder therapy. This triggered our obligation to pay the 2018 Exit Fee to the 2018 Lenders, which we paid in October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2022 Exit Fee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in connection with entering into the 2022 Original Loans, we entered into an agreement, whereby we agreed to pay an exit fee in the amount of 2% of the 2022 Original Loan funded (2022 Exit Fee) upon (i) any change of control transaction or (ii) our achievement of net revenue from the sale of any products equal to or greater than $100.0 million, measured on a six (6) months basis (Revenue Milestone), tested monthly at the end of each month. The Term C and Term D Loans do not result in payment of an additional exit fee.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was recorded as a derivative liability and included in accounts payable and accrued expenses and other current liabilities on the accompanying condensed balance sheets as of September 30, 2024 and December 31, 2023, respectively. As of September 30, 2024 and December 31, 2023, the estimated fair value of the 2022 Exit Fee was $1.0 million and $0.7 million, respectively. During the three months ended June 30, 2024, we achieved the Revenue Milestone and we paid the $1.0 million 2022 Exit Fee to the Agent in October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derivative liability was determined using a discounted cash flow analysis and was classified as a Level 3 measurement within the fair value hierarchy since our valuation utilized significant unobservable inputs prior to June 30, 2024. Specifically, the key assumptions included in the calculation of the estimated fair value of the 2022 Exit Fee derivative liability included: (i) our estimates of both the probability and timing of achieving the Revenue Milestone and (ii) the probability and timing of funding the Term B Loan, which was dependent upon (a) approval by the U.S. FDA for our NDA for the control of serum phosphorus in adult patients with CKD on dialysis by November 30, 2023, and (b) achievement of certain product revenue milestone targets. As of September 30, 2024, uncertainty around all of the noted valuation estimates had been removed, as the Term B Loan had been funded, the U.S. FDA had approved our NDA for the control of serum phosphorus in adult patients with CKD on dialysis prior to November 30, 2023, and we had achieved the Revenue Milestone.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recurring measurements are presented as other income, net in our condensed statements of operations and comprehensive income (loss) and were as follows for the nine months ended September 30, 2024 and 2023 (in thousands):</w:t>
      </w:r>
    </w:p>
    <w:tbl>
      <w:tblPr>
        <w:tblW w:w="7119" w:type="dxa"/>
        <w:jc w:val="left"/>
        <w:tblInd w:w="0" w:type="dxa"/>
        <w:tblLayout w:type="fixed"/>
        <w:tblCellMar>
          <w:top w:w="28" w:type="dxa"/>
          <w:left w:w="28" w:type="dxa"/>
          <w:bottom w:w="28" w:type="dxa"/>
          <w:right w:w="28" w:type="dxa"/>
        </w:tblCellMar>
      </w:tblPr>
      <w:tblGrid>
        <w:gridCol w:w="1762"/>
        <w:gridCol w:w="1551"/>
        <w:gridCol w:w="1562"/>
        <w:gridCol w:w="211"/>
        <w:gridCol w:w="616"/>
        <w:gridCol w:w="109"/>
        <w:gridCol w:w="109"/>
        <w:gridCol w:w="109"/>
        <w:gridCol w:w="109"/>
        <w:gridCol w:w="211"/>
        <w:gridCol w:w="616"/>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liabilities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fair value: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Exit Fee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Exit Fee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liabilities at September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details of our facility leases presented in our condensed balance sheets (dollars in thousands):</w:t>
      </w:r>
    </w:p>
    <w:tbl>
      <w:tblPr>
        <w:tblW w:w="7764" w:type="dxa"/>
        <w:jc w:val="left"/>
        <w:tblInd w:w="0" w:type="dxa"/>
        <w:tblLayout w:type="fixed"/>
        <w:tblCellMar>
          <w:top w:w="28" w:type="dxa"/>
          <w:left w:w="28" w:type="dxa"/>
          <w:bottom w:w="28" w:type="dxa"/>
          <w:right w:w="28" w:type="dxa"/>
        </w:tblCellMar>
      </w:tblPr>
      <w:tblGrid>
        <w:gridCol w:w="1409"/>
        <w:gridCol w:w="1240"/>
        <w:gridCol w:w="1250"/>
        <w:gridCol w:w="631"/>
        <w:gridCol w:w="325"/>
        <w:gridCol w:w="813"/>
        <w:gridCol w:w="109"/>
        <w:gridCol w:w="109"/>
        <w:gridCol w:w="109"/>
        <w:gridCol w:w="586"/>
        <w:gridCol w:w="302"/>
        <w:gridCol w:w="881"/>
      </w:tblGrid>
      <w:tr>
        <w:trPr/>
        <w:tc>
          <w:tcPr>
            <w:tcW w:w="14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Facilities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life (years)</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 costs, which are included in operating expenses in our condensed statements of operations and comprehensive income (loss), were as follows (in thousands):</w:t>
      </w:r>
    </w:p>
    <w:tbl>
      <w:tblPr>
        <w:tblW w:w="8959" w:type="dxa"/>
        <w:jc w:val="left"/>
        <w:tblInd w:w="0" w:type="dxa"/>
        <w:tblLayout w:type="fixed"/>
        <w:tblCellMar>
          <w:top w:w="28" w:type="dxa"/>
          <w:left w:w="28" w:type="dxa"/>
          <w:bottom w:w="28" w:type="dxa"/>
          <w:right w:w="28" w:type="dxa"/>
        </w:tblCellMar>
      </w:tblPr>
      <w:tblGrid>
        <w:gridCol w:w="896"/>
        <w:gridCol w:w="787"/>
        <w:gridCol w:w="792"/>
        <w:gridCol w:w="299"/>
        <w:gridCol w:w="874"/>
        <w:gridCol w:w="154"/>
        <w:gridCol w:w="154"/>
        <w:gridCol w:w="154"/>
        <w:gridCol w:w="154"/>
        <w:gridCol w:w="299"/>
        <w:gridCol w:w="874"/>
        <w:gridCol w:w="154"/>
        <w:gridCol w:w="109"/>
        <w:gridCol w:w="109"/>
        <w:gridCol w:w="109"/>
        <w:gridCol w:w="286"/>
        <w:gridCol w:w="836"/>
        <w:gridCol w:w="147"/>
        <w:gridCol w:w="147"/>
        <w:gridCol w:w="147"/>
        <w:gridCol w:w="147"/>
        <w:gridCol w:w="286"/>
        <w:gridCol w:w="836"/>
        <w:gridCol w:w="209"/>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undiscounted cash payment obligations for our operating lease liabilities as of September 30, 2024 (in thousands):</w:t>
      </w:r>
    </w:p>
    <w:tbl>
      <w:tblPr>
        <w:tblW w:w="5015" w:type="dxa"/>
        <w:jc w:val="left"/>
        <w:tblInd w:w="0" w:type="dxa"/>
        <w:tblLayout w:type="fixed"/>
        <w:tblCellMar>
          <w:top w:w="28" w:type="dxa"/>
          <w:left w:w="28" w:type="dxa"/>
          <w:bottom w:w="28" w:type="dxa"/>
          <w:right w:w="28" w:type="dxa"/>
        </w:tblCellMar>
      </w:tblPr>
      <w:tblGrid>
        <w:gridCol w:w="1460"/>
        <w:gridCol w:w="1282"/>
        <w:gridCol w:w="1292"/>
        <w:gridCol w:w="211"/>
        <w:gridCol w:w="61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Agreements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we filed a registration statement on Form S-3, which became effective in August 2020 (2020 Registration Statement). In August 2021, we filed a prospectus supplement under the 2020 Registration Statement for the offering, issuance and sale by us of up to a maximum aggregate offering price of $150.0 million of our common stock that may be issued and sold, from time to time, under a sales agreement (2021 Open Market Sales Agreement) we entered into with Jefferies LLC (Jefferies), pursuant to which we may, from time to time, sell up to $150.0 million in shares of our common stock through Jefferies. Pursuant to the 2021 Open Market Sales Agreement, Jefferies, as our sales agent, receives a commission of up to 3.0% of the gross sales price for shares of common stock sold under the 2021 Open Market Sales Agreement. As of March 2023, we had received the maximum gross proceeds of $150.0 million under the 2021 Open Market Sales Agreement at a weighted average share price of approximately $1.57 per share, which included 15.5 million shares of our common stock for which we received gross proceeds of $51.9 million at a weighted average share price of approximately $3.35 during the quarter ended March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filed a registration statement on Form S-3,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nine months ended September 30, 2024, we completed no sales pursuant to the 2023 Open Market Sales Agreement. As of September 30, 2024, we have sold 16.8 million shares of our common stock and received gross proceeds of $70.0 million at a weighted average sales price of approximately $4.17 per share under the 2023 Open Market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EQUITY INCENTIVE PLANS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stock options, restricted stock units (RSUs), and our employee stock purchase program (ESPP) are recorded as operating expenses in our condensed statements of operations and comprehensive income (loss), as follows (in thousands):</w:t>
      </w:r>
    </w:p>
    <w:tbl>
      <w:tblPr>
        <w:tblW w:w="9439" w:type="dxa"/>
        <w:jc w:val="left"/>
        <w:tblInd w:w="0" w:type="dxa"/>
        <w:tblLayout w:type="fixed"/>
        <w:tblCellMar>
          <w:top w:w="28" w:type="dxa"/>
          <w:left w:w="28" w:type="dxa"/>
          <w:bottom w:w="28" w:type="dxa"/>
          <w:right w:w="28" w:type="dxa"/>
        </w:tblCellMar>
      </w:tblPr>
      <w:tblGrid>
        <w:gridCol w:w="1071"/>
        <w:gridCol w:w="941"/>
        <w:gridCol w:w="943"/>
        <w:gridCol w:w="299"/>
        <w:gridCol w:w="874"/>
        <w:gridCol w:w="154"/>
        <w:gridCol w:w="154"/>
        <w:gridCol w:w="154"/>
        <w:gridCol w:w="154"/>
        <w:gridCol w:w="299"/>
        <w:gridCol w:w="874"/>
        <w:gridCol w:w="154"/>
        <w:gridCol w:w="109"/>
        <w:gridCol w:w="109"/>
        <w:gridCol w:w="109"/>
        <w:gridCol w:w="273"/>
        <w:gridCol w:w="934"/>
        <w:gridCol w:w="141"/>
        <w:gridCol w:w="141"/>
        <w:gridCol w:w="141"/>
        <w:gridCol w:w="141"/>
        <w:gridCol w:w="273"/>
        <w:gridCol w:w="798"/>
        <w:gridCol w:w="199"/>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0"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our total unrecognized stock-based compensation expense, net of estimated forfeitures, and average remaining vesting period, included the following (dollars in thousands):</w:t>
      </w:r>
    </w:p>
    <w:tbl>
      <w:tblPr>
        <w:tblW w:w="9115" w:type="dxa"/>
        <w:jc w:val="left"/>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1109"/>
        <w:gridCol w:w="1109"/>
        <w:gridCol w:w="1576"/>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Remaining Vesting Period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59,155 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grants</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51,963 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and related information for the nine months ended September 30, 2024 is as follows (in thousands, except dollar amounts):</w:t>
      </w:r>
    </w:p>
    <w:tbl>
      <w:tblPr>
        <w:tblW w:w="6613" w:type="dxa"/>
        <w:jc w:val="left"/>
        <w:tblInd w:w="0" w:type="dxa"/>
        <w:tblLayout w:type="fixed"/>
        <w:tblCellMar>
          <w:top w:w="28" w:type="dxa"/>
          <w:left w:w="28" w:type="dxa"/>
          <w:bottom w:w="28" w:type="dxa"/>
          <w:right w:w="28" w:type="dxa"/>
        </w:tblCellMar>
      </w:tblPr>
      <w:tblGrid>
        <w:gridCol w:w="1059"/>
        <w:gridCol w:w="929"/>
        <w:gridCol w:w="936"/>
        <w:gridCol w:w="540"/>
        <w:gridCol w:w="540"/>
        <w:gridCol w:w="541"/>
        <w:gridCol w:w="109"/>
        <w:gridCol w:w="109"/>
        <w:gridCol w:w="109"/>
        <w:gridCol w:w="419"/>
        <w:gridCol w:w="1015"/>
        <w:gridCol w:w="307"/>
      </w:tblGrid>
      <w:tr>
        <w:trPr/>
        <w:tc>
          <w:tcPr>
            <w:tcW w:w="105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per</w:t>
              <w:br/>
              <w:t>Share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22,168 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28,168 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September 30, 2024</w:t>
            </w:r>
          </w:p>
        </w:tc>
        <w:tc>
          <w:tcPr>
            <w:tcW w:w="1080"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14,030 </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30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RSUs activity and related information for the nine months ended September 30, 2024 is as follows (in thousands, except dollar amounts):</w:t>
      </w:r>
    </w:p>
    <w:tbl>
      <w:tblPr>
        <w:tblW w:w="7729" w:type="dxa"/>
        <w:jc w:val="left"/>
        <w:tblInd w:w="0" w:type="dxa"/>
        <w:tblLayout w:type="fixed"/>
        <w:tblCellMar>
          <w:top w:w="28" w:type="dxa"/>
          <w:left w:w="28" w:type="dxa"/>
          <w:bottom w:w="28" w:type="dxa"/>
          <w:right w:w="28" w:type="dxa"/>
        </w:tblCellMar>
      </w:tblPr>
      <w:tblGrid>
        <w:gridCol w:w="1681"/>
        <w:gridCol w:w="1472"/>
        <w:gridCol w:w="1482"/>
        <w:gridCol w:w="345"/>
        <w:gridCol w:w="345"/>
        <w:gridCol w:w="336"/>
        <w:gridCol w:w="109"/>
        <w:gridCol w:w="109"/>
        <w:gridCol w:w="109"/>
        <w:gridCol w:w="419"/>
        <w:gridCol w:w="1015"/>
        <w:gridCol w:w="307"/>
      </w:tblGrid>
      <w:tr>
        <w:trPr/>
        <w:tc>
          <w:tcPr>
            <w:tcW w:w="168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w:t>
              <w:br/>
              <w:t>Value Per Share</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December 31, 2023</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6,646 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September 30, 2024</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we sold approximately 0.5 million shares of our common stock under the ESPP. The shares were purchased by employees at an average purchase price of $4.64 per share resulting in proceeds to us of approximately $2.2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Common Stock for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Amended and Restated Non-Employee Director Compensation Program, members of our board of directors may elect to receive shares of our stock in lieu of their cash fees. During the nine months ended September 30, 2024, we issued 41 thousand shares of our common stock to members of the board of directors in accordance with the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NET INCOME (LOSS)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per share is calculated by dividing net income (loss) by the weighted-average number of common shares outstanding during the period and excludes any dilutive effects of stock-based awards and warrants. Diluted net income (loss) per common share is computed giving effect to all potential dilutive common shares, including common stock issuable upon exercise of stock options, and unvested restricted common stock and stock units. As we had net losses for the nine months ended September 30, 2024 and 2023, all potential common shares were determined to be anti-dilutive during those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net income (loss) per common share (in thousands, except per share amounts):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26"/>
        <w:gridCol w:w="1305"/>
        <w:gridCol w:w="1306"/>
        <w:gridCol w:w="302"/>
        <w:gridCol w:w="753"/>
        <w:gridCol w:w="142"/>
        <w:gridCol w:w="142"/>
        <w:gridCol w:w="142"/>
        <w:gridCol w:w="142"/>
        <w:gridCol w:w="276"/>
        <w:gridCol w:w="809"/>
        <w:gridCol w:w="142"/>
        <w:gridCol w:w="109"/>
        <w:gridCol w:w="109"/>
        <w:gridCol w:w="109"/>
        <w:gridCol w:w="236"/>
        <w:gridCol w:w="875"/>
        <w:gridCol w:w="121"/>
        <w:gridCol w:w="121"/>
        <w:gridCol w:w="121"/>
        <w:gridCol w:w="121"/>
        <w:gridCol w:w="236"/>
        <w:gridCol w:w="875"/>
        <w:gridCol w:w="185"/>
      </w:tblGrid>
      <w:tr>
        <w:trPr/>
        <w:tc>
          <w:tcPr>
            <w:tcW w:w="152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4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(43,781)</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(37,265)</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214,977 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of common stock - basic and diluted</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the total numbers of securities that could potentially dilute net income per share in the future that were not considered in the diluted net loss per share calculations because the effect would have been anti-dilutive were as follows (in thousands):</w:t>
      </w:r>
    </w:p>
    <w:tbl>
      <w:tblPr>
        <w:tblW w:w="9454" w:type="dxa"/>
        <w:jc w:val="left"/>
        <w:tblInd w:w="0" w:type="dxa"/>
        <w:tblLayout w:type="fixed"/>
        <w:tblCellMar>
          <w:top w:w="28" w:type="dxa"/>
          <w:left w:w="28" w:type="dxa"/>
          <w:bottom w:w="28" w:type="dxa"/>
          <w:right w:w="28" w:type="dxa"/>
        </w:tblCellMar>
      </w:tblPr>
      <w:tblGrid>
        <w:gridCol w:w="1073"/>
        <w:gridCol w:w="946"/>
        <w:gridCol w:w="950"/>
        <w:gridCol w:w="344"/>
        <w:gridCol w:w="344"/>
        <w:gridCol w:w="344"/>
        <w:gridCol w:w="344"/>
        <w:gridCol w:w="344"/>
        <w:gridCol w:w="344"/>
        <w:gridCol w:w="344"/>
        <w:gridCol w:w="344"/>
        <w:gridCol w:w="366"/>
        <w:gridCol w:w="109"/>
        <w:gridCol w:w="109"/>
        <w:gridCol w:w="109"/>
        <w:gridCol w:w="321"/>
        <w:gridCol w:w="321"/>
        <w:gridCol w:w="321"/>
        <w:gridCol w:w="321"/>
        <w:gridCol w:w="321"/>
        <w:gridCol w:w="321"/>
        <w:gridCol w:w="321"/>
        <w:gridCol w:w="321"/>
        <w:gridCol w:w="472"/>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0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28,296</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27,584</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20,561</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8,257</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7,753</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w:t>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shares issuable</w:t>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3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36,777</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35,568</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CONTINGENCIES</w:t>
      </w:r>
    </w:p>
    <w:p>
      <w:pPr>
        <w:pStyle w:val="TextBody"/>
        <w:bidi w:val="0"/>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xml:space="preserve">, Case No. 4:21-cv-05868-HSG, and </w:t>
      </w:r>
      <w:r>
        <w:rPr>
          <w:rFonts w:ascii="Times New Roman;sans-serif" w:hAnsi="Times New Roman;sans-serif"/>
          <w:b w:val="false"/>
          <w:i/>
          <w:color w:val="000000"/>
          <w:sz w:val="20"/>
        </w:rPr>
        <w:t>Siegel 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(the "Exchange Act"),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 The court provided plaintiffs a third opportunity to amend and plaintiffs filed a third amended complaint on April 19, 2024. Defendants filed a motion to dismiss the third amended complaint on June 3, 2024. The case was dismissed with prejudice on September 12, 2024. On October 9, 2024, plaintiff appealed the District Court's dismissal of the case to the Ninth Circuit. We believe the plaintiffs' claims are without merit and we have not recorded any accrual for a contingent liability associated with these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w:t>
      </w:r>
      <w:r>
        <w:rPr>
          <w:rFonts w:ascii="Times New Roman;sans-serif" w:hAnsi="Times New Roman;sans-serif"/>
          <w:b w:val="false"/>
          <w:i/>
          <w:color w:val="000000"/>
          <w:sz w:val="20"/>
        </w:rPr>
        <w:t>Go v. Raab</w:t>
      </w:r>
      <w:r>
        <w:rPr>
          <w:rFonts w:ascii="Times New Roman;sans-serif" w:hAnsi="Times New Roman;sans-serif"/>
          <w:b w:val="false"/>
          <w:color w:val="000000"/>
          <w:sz w:val="20"/>
        </w:rPr>
        <w:t xml:space="preserve">, et al., Case No. 4:21-cv-09455-HSG, and </w:t>
      </w:r>
      <w:r>
        <w:rPr>
          <w:rFonts w:ascii="Times New Roman;sans-serif" w:hAnsi="Times New Roman;sans-serif"/>
          <w:b w:val="false"/>
          <w:i/>
          <w:color w:val="000000"/>
          <w:sz w:val="20"/>
        </w:rPr>
        <w:t>Morris v. Raab</w:t>
      </w:r>
      <w:r>
        <w:rPr>
          <w:rFonts w:ascii="Times New Roman;sans-serif" w:hAnsi="Times New Roman;sans-serif"/>
          <w:b w:val="false"/>
          <w:color w:val="000000"/>
          <w:sz w:val="20"/>
        </w:rPr>
        <w:t>,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The consolidated case remains stayed pending resolution of the appeal in the Securities Class Action.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2024, the Company, in partnership with the American Association of Kidney Patients (AAKP) and the National Minority Quality Forum (NMQF), filed a lawsuit in the U.S. District Court for the District of Columbia against the Centers for Medicare &amp; Medicaid Services (CMS), claiming that CMS has violated its statutory and regulatory authority under the Medicare Improvements for Patients and Providers Act (MIPPA), which established the ESRD PPS bundled payment system for dialysis services in 2008. Specifically, the lawsuit claims that CMS’s plan to move XPHOZAH, along with all oral-only drugs, into the ESRD PPS is inconsistent with MIPPA’s statutory provision, and contradicts CMS’s own regulations. XPHOZAH and other oral-only drugs, which are currently available to patients under Medicare Part D, are not administered by dialysis providers and cannot be taken during the delivery of maintenance dialysis. The Company, AAKP and NMQF are seeking relief under the Administrative Procedure Act to enjoin CMS from proceeding with its plan to include XPHOZAH in the ESRD PPS and eliminate coverage under Medicare Part D beginning on January 1, 2025. On September 17, 2024, defendants filed a Motion to Dismiss, the case, and on September 19, 2024, plaintiffs filed a Motion for Preliminary Injunction or, in the Alternative, for Expedited Summary Judgment.</w:t>
      </w:r>
    </w:p>
    <w:p>
      <w:pPr>
        <w:pStyle w:val="TextBody"/>
        <w:bidi w:val="0"/>
        <w:spacing w:lineRule="auto" w:line="288" w:before="240" w:after="283"/>
        <w:jc w:val="both"/>
        <w:rPr/>
      </w:pPr>
      <w:r>
        <w:rPr>
          <w:rFonts w:ascii="Times New Roman;sans-serif" w:hAnsi="Times New Roman;sans-serif"/>
          <w:b w:val="false"/>
          <w:color w:val="000000"/>
          <w:sz w:val="20"/>
        </w:rPr>
        <w:t xml:space="preserve">On August 16, 2024, a complaint was filed against the Company in the U.S. District Court of Massachusetts, captioned </w:t>
      </w:r>
      <w:r>
        <w:rPr>
          <w:rFonts w:ascii="Times New Roman;sans-serif" w:hAnsi="Times New Roman;sans-serif"/>
          <w:b w:val="false"/>
          <w:i/>
          <w:color w:val="000000"/>
          <w:sz w:val="20"/>
        </w:rPr>
        <w:t>Yarborough v. Ardelyx, Inc</w:t>
      </w:r>
      <w:r>
        <w:rPr>
          <w:rFonts w:ascii="Times New Roman;sans-serif" w:hAnsi="Times New Roman;sans-serif"/>
          <w:b w:val="false"/>
          <w:color w:val="000000"/>
          <w:sz w:val="20"/>
        </w:rPr>
        <w:t>.</w:t>
      </w:r>
      <w:r>
        <w:rPr>
          <w:rFonts w:ascii="Times New Roman;sans-serif" w:hAnsi="Times New Roman;sans-serif"/>
          <w:b w:val="false"/>
          <w:i/>
          <w:color w:val="000000"/>
          <w:sz w:val="20"/>
        </w:rPr>
        <w:t>, et al.,</w:t>
      </w:r>
      <w:r>
        <w:rPr>
          <w:color w:val="000000"/>
        </w:rPr>
        <w:t xml:space="preserve"> </w:t>
      </w:r>
      <w:r>
        <w:rPr>
          <w:rFonts w:ascii="Times New Roman;sans-serif" w:hAnsi="Times New Roman;sans-serif"/>
          <w:b w:val="false"/>
          <w:color w:val="000000"/>
          <w:sz w:val="20"/>
        </w:rPr>
        <w:t>No. 24-cv-12119 (D. Mass.). The complaint names the Company, Mike Raab, and Justin Renz as defendants and alleges violations of Sections 10(b) and 20(a) the Exchange Act and Rule 10b-5 promulgated thereunder, related to the Company’s announcement on July 2, 2024 that it had chosen not to file an application for Transitional Drug Add-on Payment Adjustment (TDAPA) for XPHOZAH (the "Yarborough Action"). The plaintiffs seek damages and interest, and an award of costs, including attorneys' fees. Two shareholders filed motions to be appointed lead plaintiff in the Yarborough Action on October 15, 2024. The court has not yet appointed a lead plaintiff. We believe the plaintiff's claims are without merit and we have not recorded any accrual for a contingent liability associated with these legal proceedings.</w:t>
      </w:r>
    </w:p>
    <w:p>
      <w:pPr>
        <w:pStyle w:val="TextBody"/>
        <w:bidi w:val="0"/>
        <w:spacing w:lineRule="auto" w:line="288" w:before="240" w:after="283"/>
        <w:jc w:val="both"/>
        <w:rPr/>
      </w:pPr>
      <w:r>
        <w:rPr>
          <w:rFonts w:ascii="Times New Roman;sans-serif" w:hAnsi="Times New Roman;sans-serif"/>
          <w:b w:val="false"/>
          <w:color w:val="000000"/>
          <w:sz w:val="20"/>
        </w:rPr>
        <w:t xml:space="preserve">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w:t>
      </w:r>
      <w:r>
        <w:rPr>
          <w:rFonts w:ascii="Times New Roman;sans-serif" w:hAnsi="Times New Roman;sans-serif"/>
          <w:b w:val="false"/>
          <w:i/>
          <w:color w:val="000000"/>
          <w:sz w:val="20"/>
        </w:rPr>
        <w:t>In re Ardelyx, Inc. Stockholder Derivative Litigation</w:t>
      </w:r>
      <w:r>
        <w:rPr>
          <w:rFonts w:ascii="Times New Roman;sans-serif" w:hAnsi="Times New Roman;sans-serif"/>
          <w:b w:val="false"/>
          <w:color w:val="000000"/>
          <w:sz w:val="20"/>
        </w:rPr>
        <w:t>, Case No. 1:24-cv-12302-LTS (D. Mass.).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September 30, 2024, there is no litigation pending that would reasonably be expected to have a material adverse effect on our results of operations and financial condition, and no contingent liabilities were accrued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15.  SUBSEQUENT EVENTS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 2024, we and BMR-Pacific Research Center LP (Landlord) entered into a Lease Agreement (New Fremont Lease) whereby we agreed to lease approximately 15,000 square feet on the first floor of the building located at 7999 Gateway Boulevard, Newark, California (New Fremont Premises). The initial term of the New Fremont Lease will be thirty-nine (39) months and we will have one (1) option to extend the term by sixty (60) months. The Landlord has agreed to conduct certain tenant improvements at Landlord’s expense. The initial term of the New Fremont Lease commences once the tenant improvements are completed, which is estimated to be February 10, 2025. The initial monthly base rent will equal three and 15/100 dollars ($3.15) per square foot of rentable area of the New Fremont Premises and will be subject to an annual upward adjustment of three and a half percent (3.5%) of the then-current base rent. In connection with entering into the New Fremont Lease, we and the Landlord entered into a sixth amendment (the Sixth Amendment) to our existing lease (the Existing Fremont Lease) whereby we lease certain premises at 34175 Ardenwood Boulevard in Fremont, California, which amends the expiration date of the Existing Fremont Lease to be the date that is the later of (a) March 10, 2025, and (b) the date that is the actual “Term Commencement Date” under the New Fremont Lease.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25, 2024, we entered into a Commercial Supply Agreement (the CSA) with Hovione Farmaciência, S.A. (Hovione Portugal) and Hovione, LLC (Hovione NJ and, together with Hovione Portugal, Hovione). The CSA contemplates that Hovione will perform spray-drying services for the Company at commercial scale, in the manner developed and validated under the existing Master Services Agreement between the parties. The CSA provides that Hovione will manufacture, and the Company will purchase, certain minimum quantities of tenapanor API beginning in 2024 from its Portugal facility and continuing through the end of the term of the CSA. The parties have agreed that Hovione will purchase, install, validate and qualify equipment at its New Jersey site so that, beginning in 2027, additional product can be supplied by Hovione NJ. The initial term of the CSA is until December 31, 2030, unless terminated earlier by one of the parties by its terms. Thereafter, the CSA will automatically renew for successive terms of two years until terminated by one of the parties.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2024, we entered into a Fourth Amendment to Loan and Security Agreement (the Fourth Amendment), by and among Ardelyx, as borrower, SLR, as collateral agent and the lenders party thereto, which amends the SLR Loan Agreement. The Fourth Amendment, among other things, (1) provided for the immediate draw of the Term D loan in a principal amount of $50.0 million on the closing date of the Fourth Amendment and (2) provides us with the option to draw an additional $50.0 million of committed senior secured term loans by June 30, 2025 (the Term E Loan); (3) extends the Maturity Date for all term loans under the SLR Loan Agreement from March 1, 2027 to July 1, 2028; and (4) extends the interest-only period for all term loans under the SLR Agreement until the Maturity Date.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for the Term D Loan and the Term E Loan is 4.00% plus a rate equal to 0.022% plus the 1-month SOFR reference rate, subject to a SOFR floor of 4.70%. </w:t>
      </w:r>
    </w:p>
    <w:p>
      <w:pPr>
        <w:pStyle w:val="TextBody"/>
        <w:bidi w:val="0"/>
        <w:spacing w:lineRule="auto" w:line="288" w:before="240" w:after="283"/>
        <w:jc w:val="both"/>
        <w:rPr/>
      </w:pPr>
      <w:r>
        <w:rPr>
          <w:rFonts w:ascii="Times New Roman;sans-serif" w:hAnsi="Times New Roman;sans-serif"/>
          <w:b w:val="false"/>
          <w:color w:val="000000"/>
          <w:sz w:val="20"/>
        </w:rPr>
        <w:t xml:space="preserve">We paid a fee of $0.3 million in connection with the funding of the Term D Loan. We are also obligated to pay an additional $0.3 million on the earliest of (1) the funding date of the Term E Loan, (2) June 30, 2025, and (3) the prepayment, refinancing, substitution, or replacement of any term loan under the SLR Loan Agreement on or prior to the date immediately preceding June 30, 2025. (See </w:t>
      </w:r>
      <w:r>
        <w:rPr>
          <w:rFonts w:ascii="Times New Roman;sans-serif" w:hAnsi="Times New Roman;sans-serif"/>
          <w:b w:val="false"/>
          <w:i/>
          <w:color w:val="000000"/>
          <w:sz w:val="20"/>
        </w:rPr>
        <w:t>Note 8. Borrowing</w:t>
      </w:r>
      <w:r>
        <w:rPr>
          <w:color w:val="000000"/>
        </w:rPr>
        <w:t xml:space="preserve"> </w:t>
      </w:r>
      <w:r>
        <w:rPr>
          <w:rFonts w:ascii="Times New Roman;sans-serif" w:hAnsi="Times New Roman;sans-serif"/>
          <w:b w:val="false"/>
          <w:color w:val="000000"/>
          <w:sz w:val="20"/>
        </w:rPr>
        <w:t>for additional information related to borrowing).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2023.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both"/>
        <w:rPr/>
      </w:pPr>
      <w:r>
        <w:rPr>
          <w:rFonts w:ascii="Times New Roman;sans-serif" w:hAnsi="Times New Roman;sans-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irritable bowel syndrome with constipation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is approved in the U.S. to reduce serum phosphorus in adults with chronic kidney disease (CKD) on dialysis as add-on therapy in patients who have an inadequate response to phosphate binders or who are intolerant of any dose of phosphate binder therapy.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commencing operations in October 2007, substantially all our efforts have been dedicated to our research and development (R&amp;D) activities, including developing tenapanor and developing our proprietary drug discovery and design platform, as well as commercialization activities, including the marketing and sales of IBSRELA and XPHOZAH. We recognized our first product sales of IBSRELA in March 2022 and recognized our first product sales of XPHOZAH in November 2023. As of September 30, 2024, we had an accumulated deficit of $890.0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operating losses for the foreseeable future as we invest in the commercialization of IBSRELA and XPHOZAH, incur manufacturing and development costs for tenapanor, and incur additional expenses related to our ongoing operations and our pursuit of future business opportunities. To date, we have funded our operations from the sale of common stock and convertible preferred stock, funds from our collaboration partnerships (including license fees, milestones and product supply revenue), funds from our loan agreement with SLR Investment Corp. (SLR), as amended on August 1, 2022, February 9, 2023, October 17, 2023, and October 29, 2024 (collectively, the 2022 Loan Agreement), as well as from sales of IBSRELA and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Commercial Products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IBSRELA for IBS-C</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IBSRELA is a first-in-class sodium hydrogen exchange 3 (NHE3) inhibitor U.S. FDA approved for the treatment of IBS-C in adults. IBSRELA acts locally in the gut and is minimally absorbed. IBS-C is a gastrointestinal (GI) disorder characterized by both abdominal pain and altered bowel habits. IBS-C is associated with significantly impaired quality of life, reduced productivity and substantial economic burden.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IBSRELA in the U.S. in March 2022. We deploy a market-responsive commercial strategy for IBSRELA and have a commercial organization highly experienced in launching and commercializing novel therapies into specialty areas. The dynamics of the IBS-C market reflect an established patient base, limited number of competitors all confined to a single mechanism of action (secretagogues), concentrated number of prescribers, and recognized unmet need. In addition, market research indicated a favorable response to the IBSRELA product profile as a novel mechanism therapy. These dynamics enabled a targeted promotional focus on IBS-C patients currently being managed by high-writing healthcare providers. Central to our go to market strategy for IBSRELA has been our highly experienced specialty sales force, composed of many with existing relationships across their GI target base, and omnichannel digital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competition for IBSRELA comes largely from the three prescription products indicated for IBS-C: Linzess (linaclotide), Amitiza (lubiprostone) and Trulance (plecanatide). Generic lubiprostone is also available in the U.S. Additionally, over-the-counter products and prescription therapies, not indicated for IBS-C, are commonly used to treat the constipation component of IBS-C, alone and in combination with the IBS-C-indicated prescription therapies.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Shanghai Fosun Pharmaceutical Industrial Development Co. Ltd. (Fosun Pharma) in China and Knight Therapeutics, Inc. (Knight) in Canada for IBSRELA. Knight is currently marketing IBSRELA in Canada. In October 2023, we announced that Fosun Pharma received approval from the Hong Kong Department of Health for the marketing application for tenapanor for the treatment of IBS-C.</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XPHOZAH to Reduce Serum Phosphorus in Adults with CKD on dialysis as Add-on Therapy in Patients who have an Inadequate Response to Phosphate Binders or who are Intolerant of any Dose of Phosphate Binder Therapy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17, 2023, we received approval from the U.S. FDA to market XPHOZAH, a first-in-class phosphate absorption inhibitor, in the U.S. to reduce serum phosphorus in adults with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80% of those patients are being treated with phosphate lowering therapies. In addition, approximately 70% of patients treated with phosphate binders to treat hyperphosphatemia were unable to consistently maintain phosphorous levels &lt;=5.5 mg/dL over a six-month period. XPHOZAH is the first therapy for phosphate management that blocks phosphate absorption at the primary site of uptake.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XPHOZAH in the U.S. in November 2023. For our commercial launch of XPHOZAH, we designed a market-responsive commercial strategy and built a commercial organization highly experienced and knowledgeable of the nephrology market. The dynamics of the hyperphosphatemia market reflect an established patient base, limited number of competitors all confined to a single mechanism of action (phosphate binders), concentrated number of prescribers, and recognized unmet need. In addition, market research indicated a high level of awareness, interest and intent to adopt XPHOZAH upon approval and favorable response to the XPHOZAH product profile as a novel mechanism therapy. These dynamics enabled a targeted promotional focus on patients currently being managed for hyperphosphatemia by the approximately 8,000 nephrology healthcare providers who write approximately 80% of phosphate lowering therapy prescriptions in the U.S. Central to our go to market strategy for XPHOZAH has been our highly experienced specialty sales force, many with existing relationships across their nephrology target base, and innovative omnichannel digital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 an inhibitor of phosphate transporters NaPi-2b, PiT-1, and PiT-2, thus far studied in a phase 1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XPHOZAH was granted orphan drug designation by the U.S. FDA for the treatment of pediatric hyperphosphatemia.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announced that it had chosen not to apply to include XPHOZAH in the Centers for Medicare &amp; Medicaid Services (CMS) End-Stage Renal Disease (ESRD) Prospective Payment System (PPS) Transitional Drug Add-on Payment Adjustment (TDAPA) following an analysis of the CMS policy to include oral-only medicines in the PPS and the Calendar Year 2025 ESRD PPS Proposed Rule released on June 27, 2024, which revealed that the policy and the manner in which CMS intends to implement it are likely to cause significant restrictions on the use of XPHOZAH for all patients, irrespective of insurance coverage, because it interferes with the essential and appropriate shared decision-making between healthcare professionals and their patients.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2024, the Company, in partnership with the American Association of Kidney Patients (AAKP) and the National Minority Quality Forum (NMQF), filed a lawsuit in the U.S. District Court for the District of Columbia against CMS, claiming that CMS has violated its statutory and regulatory authority under the Medicare Improvements for Patients and Providers Act (MIPPA), which established the ESRD PPS bundled payment system for dialysis services in 2008. Specifically, the lawsuit claims that CMS’s plan to move XPHOZAH, along with all oral-only drugs, into the ESRD PPS is inconsistent with MIPPA’s statutory provision, and contradicts CMS’s own regulations. XPHOZAH and other oral-only drugs, which are currently available to patients under Medicare Part D, are not administered by dialysis providers and cannot be taken during the delivery of maintenance dialysis. The Company, AAKP and NMQF are seeking relief under the Administrative Procedure Act to enjoin CMS from proceeding with its plan to include XPHOZAH in the ESRD PPS and eliminate coverage under Medicare Part D beginning on January 1,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We have established commercial agreements with Kyowa Kirin, Co. Ltd. (Kyowa Kirin) in Japan, Fosun Pharma in China and Knight in Canada for tenapanor for hyperphosphatemia. In July 2023, we announced that a New Drug Application (NDA) for tenapanor had been accepted for review by China’s Center for Drug Evaluation of the NMPA for the control of serum phosphorus in adult patients with CKD on hemodialysis. In September 2023, we announced that Kyowa Kirin received approval from the Japanese Ministry of Health, Labour and Welfare (MHLW) for the NDA for tenapanor for the improvement of hyperphosphatemia in adult patients with CKD on dialysis.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in Japan.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Collaboration Partners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exclusive rights to tenapanor in the U.S. and we have established agreements with Kyowa Kirin in Japan, Fosun Pharma in China and Knight in Canada for the development and commercialization of tenapanor for certain indications in their respective territories.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w:t>
      </w:r>
      <w:r>
        <w:rPr>
          <w:color w:val="000000"/>
        </w:rPr>
        <w:t xml:space="preserve"> </w:t>
      </w:r>
      <w:r>
        <w:rPr>
          <w:rFonts w:ascii="Times New Roman;sans-serif" w:hAnsi="Times New Roman;sans-serif"/>
          <w:b w:val="false"/>
          <w:color w:val="000000"/>
          <w:sz w:val="20"/>
        </w:rPr>
        <w:t>$2.3 million non-refundable, one-time payment in March 2018. We may also be eligible to receive approximately CAD 22.2 million for development and commercialization milestones, or approximately $16.4 million at the currency exchange rate on September 30, 2024, of which $0.7 million has been received and recognized as revenue as of September 30, 2024. We are also eligible to receive royalties throughout the term of the agreement, and a transfer price for manufacturing services.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$35.0 million has been received and recognized as revenue as of September 30, 2024. We may also be eligible to receive approximately ¥8.5 billion for commercialization milestones, or approximately $59.8 million at the currency exchange rate on September 30, 2024,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the future royalties and commercial milestone payments we may receive under the 2017 Kyowa Kirin Agreement are remitted to HealthCare Royalty Partners IV, L.P. (HCR) upon receipt pursuant to a Royalty and Sales Milestone Interest Acquisition Agreement (HCR Agreement).</w:t>
      </w:r>
    </w:p>
    <w:p>
      <w:pPr>
        <w:pStyle w:val="TextBody"/>
        <w:bidi w:val="0"/>
        <w:spacing w:lineRule="auto" w:line="288" w:before="240" w:after="283"/>
        <w:jc w:val="both"/>
        <w:rPr/>
      </w:pPr>
      <w:r>
        <w:rPr>
          <w:rFonts w:ascii="Times New Roman;sans-serif" w:hAnsi="Times New Roman;sans-serif"/>
          <w:b w:val="false"/>
          <w:color w:val="000000"/>
          <w:sz w:val="20"/>
        </w:rPr>
        <w:t xml:space="preserve">On April 11, 2022, we entered into an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we may receive under the 2017 Kyowa Kirin Agreement will be remitted to HCR pursuant to the HCR Agreement. As consideration for the reduction in the royalty rate, Kyowa Kirin agreed to pay us up to an additional $40.0 million, which was received and recognized as revenue as of September 2023 as described below.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announced that Kyowa Kirin submitted an NDA to the Japanese MHLW for tenapanor for the improvement of hyperphosphatemia in adult patients with CKD on dialysis, which resulted in payment to us from Kyowa Kirin for an aggregate of $35.0 million for milestone payments and payments under the 2022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in Japan and during the first quarter of 2024, we began to recognize non-cash royalty revenue related to the sale of future royalties, which is remitted to HCR in accordance with the HCR Agreement.</w:t>
      </w:r>
    </w:p>
    <w:p>
      <w:pPr>
        <w:pStyle w:val="TextBody"/>
        <w:bidi w:val="0"/>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and commercialization of tenapanor in China for both hyperphosphatemia and IBS-C. Under the terms of the Fosun Agreement, Fosun paid us a</w:t>
      </w:r>
      <w:r>
        <w:rPr>
          <w:color w:val="000000"/>
        </w:rPr>
        <w:t xml:space="preserve"> </w:t>
      </w:r>
      <w:r>
        <w:rPr>
          <w:rFonts w:ascii="Times New Roman;sans-serif" w:hAnsi="Times New Roman;sans-serif"/>
          <w:b w:val="false"/>
          <w:color w:val="000000"/>
          <w:sz w:val="20"/>
        </w:rPr>
        <w:t>$12.0 million upfront</w:t>
      </w:r>
      <w:r>
        <w:rPr>
          <w:color w:val="000000"/>
        </w:rPr>
        <w:t xml:space="preserve"> </w:t>
      </w:r>
      <w:r>
        <w:rPr>
          <w:rFonts w:ascii="Times New Roman;sans-serif" w:hAnsi="Times New Roman;sans-serif"/>
          <w:b w:val="false"/>
          <w:color w:val="000000"/>
          <w:sz w:val="20"/>
        </w:rPr>
        <w:t xml:space="preserve">license fee. In July 2023, we announced that an NDA for tenapanor had been accepted for review by China’s Center for Drug Evaluation of the NMPA for the control of serum phosphorus in adult patients with chronic kidney disease on hemodialysis. This acceptance triggered a $2.0 million milestone payment to us under the terms of the Fosun Agreement, which we received in the third quarter of 2023. </w:t>
      </w:r>
    </w:p>
    <w:p>
      <w:pPr>
        <w:pStyle w:val="TextBody"/>
        <w:bidi w:val="0"/>
        <w:spacing w:lineRule="auto" w:line="288" w:before="240" w:after="283"/>
        <w:jc w:val="both"/>
        <w:rPr/>
      </w:pPr>
      <w:r>
        <w:rPr>
          <w:rFonts w:ascii="Times New Roman;sans-serif" w:hAnsi="Times New Roman;sans-serif"/>
          <w:b w:val="false"/>
          <w:color w:val="000000"/>
          <w:sz w:val="20"/>
        </w:rPr>
        <w:t>In October 2023, the U.S. FDA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we received during the first quarter of 2024. Also, in October 2023, we announced that Fosun Pharma received approval from the Hong Kong Department of Health for the marketing application for tenapanor for the treatment of irritable bowel syndrome with constipation (IBS-C). We may be entitled to receive development and commercialization milestones of up to</w:t>
      </w:r>
      <w:r>
        <w:rPr>
          <w:color w:val="000000"/>
        </w:rPr>
        <w:t xml:space="preserve"> </w:t>
      </w:r>
      <w:r>
        <w:rPr>
          <w:rFonts w:ascii="Times New Roman;sans-serif" w:hAnsi="Times New Roman;sans-serif"/>
          <w:b w:val="false"/>
          <w:color w:val="000000"/>
          <w:sz w:val="20"/>
        </w:rPr>
        <w:t>$113.0 million, of which $8.0 million has been received and recognized as revenue as of September 30, 2024, as well as reimbursement of cost plus a reasonable overhead for the supply of product and tiered royalties on net sales ranging from the mid-teens to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financial condition and results of operations is based on our condensed financial statements, which have been prepared in accordance with accounting principles generally accepted in the United States.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pStyle w:val="TextBody"/>
        <w:bidi w:val="0"/>
        <w:spacing w:lineRule="auto" w:line="288" w:before="240" w:after="283"/>
        <w:jc w:val="both"/>
        <w:rPr/>
      </w:pPr>
      <w:r>
        <w:rPr>
          <w:rFonts w:ascii="Times New Roman;sans-serif" w:hAnsi="Times New Roman;sans-serif"/>
          <w:b w:val="false"/>
          <w:color w:val="000000"/>
          <w:sz w:val="20"/>
        </w:rPr>
        <w:t xml:space="preserve">The critical accounting policies that we believe impact significant judgments and estimates used in the preparation of our condensed financial statements presented in this report are described in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in our Annual Report on Form 10-K filed with the SEC on February 22,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September 30, 2024, we did not adopt any new critical accounting policies and significant judgements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A summary of recent accounting pronouncements that we have adopted or may expect to adopt is included in </w:t>
      </w:r>
      <w:r>
        <w:rPr>
          <w:rFonts w:ascii="Times New Roman;sans-serif" w:hAnsi="Times New Roman;sans-serif"/>
          <w:b w:val="false"/>
          <w:i/>
          <w:color w:val="000000"/>
          <w:sz w:val="20"/>
        </w:rPr>
        <w:t>Note 1 – Organization and Basis of Presentation</w:t>
      </w:r>
      <w:r>
        <w:rPr>
          <w:color w:val="000000"/>
        </w:rPr>
        <w:t xml:space="preserve"> </w:t>
      </w:r>
      <w:r>
        <w:rPr>
          <w:rFonts w:ascii="Times New Roman;sans-serif" w:hAnsi="Times New Roman;sans-serif"/>
          <w:b w:val="false"/>
          <w:color w:val="000000"/>
          <w:sz w:val="20"/>
        </w:rPr>
        <w:t xml:space="preserve">to our condensed financial statements (see Part I, Item 1, </w:t>
      </w:r>
      <w:r>
        <w:rPr>
          <w:rFonts w:ascii="Times New Roman;sans-serif" w:hAnsi="Times New Roman;sans-serif"/>
          <w:b w:val="false"/>
          <w:i/>
          <w:color w:val="000000"/>
          <w:sz w:val="20"/>
        </w:rPr>
        <w:t>Notes to</w:t>
      </w:r>
      <w:r>
        <w:rPr>
          <w:color w:val="000000"/>
        </w:rPr>
        <w:t xml:space="preserve"> </w:t>
      </w:r>
      <w:r>
        <w:rPr>
          <w:rFonts w:ascii="Times New Roman;sans-serif" w:hAnsi="Times New Roman;sans-serif"/>
          <w:b w:val="false"/>
          <w:i/>
          <w:color w:val="000000"/>
          <w:sz w:val="20"/>
        </w:rPr>
        <w:t>Condensed Financial Statements</w:t>
      </w:r>
      <w:r>
        <w:rPr>
          <w:rFonts w:ascii="Times New Roman;sans-serif" w:hAnsi="Times New Roman;sans-serif"/>
          <w:b w:val="false"/>
          <w:color w:val="000000"/>
          <w:sz w:val="20"/>
        </w:rPr>
        <w: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to date has been generated primarily through a combination of product sales and payments in connection with license, research and development collaborative agreements with our various collaboration partners. We realized our first commercial product sales of IBSRELA in March 2022 and our first commercial product sales of XPHOZAH in November 2023.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and XPHOZAH; our ability to obtain and sustain an adequate level of coverage and reimbursement for IBSRELA and XPHOZAH by third-party payors; whether and the extent to which we are successful in our commercialization of XPHOZAH; any legislative, regulatory or judicial action is taken to further delay or prevent the inclusion of XPHOZAH, along with other oral ESRD-related drugs without an injectable or intravenous equivalent, in the ESRD PPS; the adequacy of reimbursement and coverage of XPHOZAH beginning January 1, 2025 for all patients, regardless of insurance coverage, in the event that legislative, regulatory or judicial action to further delay or prevent the inclusion of oral only drugs in the ESRD PPS is not taken; the timing and progress of goods and services provided pursuant to our current or future collaborative partnerships;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sales consists of the cost of commercial goods sold to our Customers. Other cost of revenue consists of the cost of materials sold to our international partners under product supply agreements, certain costs related to capacity expansion at current and future contract manufacturing service providers, as well as payments due to AstraZeneca AB (AstraZeneca) based on sales of tenapanor. We capitalize as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and XPHOZAH units recognized as revenue during the three and nine months ended September 30, 2024 were expensed in periods prior to the commencement of capitalization of inventory costs for each respective product. We believe our cost of goods sold for the three and nine months ended September 30, 2024 would have been $2.2 million and $4.6 million higher, respectively, if we had not previously expensed certain material and production costs with respect to the units sold. We believe our cost of goods sold for the three and nine months ended September 30, 2023 would have been $1.0 million and $3.4 million higher, respectively, if we had not previously expensed certain material and production costs with respect to the units sold. As of September 30, 2024 and December 31, 2023, we had approximately $18.0 million and $21.8 million, respectively, of inventory on hand that was previously expensed as research and development expense and will not be reported as cost of goods sold in future periods when sales of IBSRELA and XPHOZAH are recognized as revenue.</w:t>
      </w:r>
    </w:p>
    <w:p>
      <w:pPr>
        <w:pStyle w:val="TextBody"/>
        <w:bidi w:val="0"/>
        <w:spacing w:lineRule="auto" w:line="288" w:before="240" w:after="283"/>
        <w:jc w:val="both"/>
        <w:rPr/>
      </w:pPr>
      <w:r>
        <w:rPr>
          <w:rFonts w:ascii="Times New Roman;sans-serif" w:hAnsi="Times New Roman;sans-serif"/>
          <w:b w:val="false"/>
          <w:color w:val="000000"/>
          <w:sz w:val="20"/>
        </w:rPr>
        <w:t xml:space="preserve">Other cost of revenue includes payments due to AstraZeneca, which under the terms of a termination agreement entered into in 2015 (AstraZeneca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$50.3 million as other cost of revenue under the AstraZeneca Termination Agreement. See details in </w:t>
      </w:r>
      <w:r>
        <w:rPr>
          <w:rFonts w:ascii="Times New Roman;sans-serif" w:hAnsi="Times New Roman;sans-serif"/>
          <w:b w:val="false"/>
          <w:i/>
          <w:color w:val="000000"/>
          <w:sz w:val="20"/>
        </w:rPr>
        <w:t>Note 6, Collaboration and Licensing Agreements</w:t>
      </w:r>
      <w:r>
        <w:rPr>
          <w:rFonts w:ascii="Times New Roman;sans-serif" w:hAnsi="Times New Roman;sans-serif"/>
          <w:b w:val="false"/>
          <w:color w:val="000000"/>
          <w:sz w:val="20"/>
        </w:rPr>
        <w:t>, under AstraZeneca, in the notes to our financial statements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research and development expenses as they are incurred to support the discovery, research, development and manufacturing of our products and product candidates. R&amp;D expenses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supplies and materials consumed in connection with our research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XPHOZAH prior to U.S. FDA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discovery and developmental assets prior to U.S. FDA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costs associated with research, clinical development and regulatory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employee-related expenses, which include salaries, bonuses, benefits, travel and stock-based compensation;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facilities and other allocated expenses, which include direct and allocated expenses for rent and maintenance of facilities, depreciation and amortization expense, information technology expense and other supplies.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associated with our 2022 Loan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Non-cash interest expense related to the sale of future royalties</w:t>
      </w:r>
    </w:p>
    <w:p>
      <w:pPr>
        <w:pStyle w:val="TextBody"/>
        <w:bidi w:val="0"/>
        <w:spacing w:lineRule="auto" w:line="288" w:before="240" w:after="283"/>
        <w:jc w:val="both"/>
        <w:rPr/>
      </w:pPr>
      <w:r>
        <w:rPr>
          <w:rFonts w:ascii="Times New Roman;sans-serif" w:hAnsi="Times New Roman;sans-serif"/>
          <w:b w:val="false"/>
          <w:color w:val="000000"/>
          <w:sz w:val="20"/>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in June 2022, we and HCR entered into the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have received a $10.0 million upfront payment and a $5.0 million milestone payment from HCR, which we recorded as a deferred royalty obligation on our balance sheet. Non-cash interest expense is recognized over the life of the HCR Agreement using the effective interest method based on the imputed interest rate derived from estimated amounts and timing of future royalty payments to be received from Kyowa Kirin.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consists of interest income earned on our cash, cash equivalents and available-for-sale investments, the periodic revaluation of the exit fee related to our 2022 Loan Agreement and currency exchange gains and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pPr>
      <w:r>
        <w:rPr>
          <w:rFonts w:ascii="Times New Roman;sans-serif" w:hAnsi="Times New Roman;sans-serif"/>
          <w:b w:val="false"/>
          <w:color w:val="000000"/>
          <w:sz w:val="20"/>
        </w:rPr>
        <w:t>The results of operations as of September 30, 2024</w:t>
      </w:r>
      <w:r>
        <w:rPr>
          <w:color w:val="000000"/>
        </w:rPr>
        <w:t xml:space="preserve"> </w:t>
      </w:r>
      <w:r>
        <w:rPr>
          <w:rFonts w:ascii="Times New Roman;sans-serif" w:hAnsi="Times New Roman;sans-serif"/>
          <w:b w:val="false"/>
          <w:color w:val="000000"/>
          <w:sz w:val="20"/>
        </w:rPr>
        <w:t>are not necessarily indicative of the results to be expected for the year ending December 31, 2024, for any other interim period, or for any other future year.</w:t>
      </w:r>
    </w:p>
    <w:p>
      <w:pPr>
        <w:pStyle w:val="TextBody"/>
        <w:bidi w:val="0"/>
        <w:spacing w:lineRule="auto" w:line="288" w:before="240" w:after="283"/>
        <w:jc w:val="both"/>
        <w:rPr/>
      </w:pPr>
      <w:r>
        <w:rPr>
          <w:rFonts w:ascii="Times New Roman;sans-serif" w:hAnsi="Times New Roman;sans-serif"/>
          <w:b/>
          <w:i/>
          <w:color w:val="000000"/>
          <w:sz w:val="20"/>
        </w:rPr>
        <w:t>Comparison of the</w:t>
      </w:r>
      <w:r>
        <w:rPr>
          <w:color w:val="000000"/>
        </w:rPr>
        <w:t xml:space="preserve"> </w:t>
      </w:r>
      <w:r>
        <w:rPr>
          <w:rFonts w:ascii="Times New Roman;sans-serif" w:hAnsi="Times New Roman;sans-serif"/>
          <w:b/>
          <w:i/>
          <w:color w:val="000000"/>
          <w:sz w:val="20"/>
        </w:rPr>
        <w:t>three and nine months ended September 30,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total revenue (dollars in thousands):</w:t>
      </w:r>
    </w:p>
    <w:tbl>
      <w:tblPr>
        <w:tblW w:w="11225" w:type="dxa"/>
        <w:jc w:val="left"/>
        <w:tblInd w:w="0" w:type="dxa"/>
        <w:tblLayout w:type="fixed"/>
        <w:tblCellMar>
          <w:top w:w="28" w:type="dxa"/>
          <w:left w:w="28" w:type="dxa"/>
          <w:bottom w:w="28" w:type="dxa"/>
          <w:right w:w="28" w:type="dxa"/>
        </w:tblCellMar>
      </w:tblPr>
      <w:tblGrid>
        <w:gridCol w:w="452"/>
        <w:gridCol w:w="239"/>
        <w:gridCol w:w="24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40"/>
        <w:gridCol w:w="241"/>
        <w:gridCol w:w="271"/>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40"/>
        <w:gridCol w:w="241"/>
        <w:gridCol w:w="316"/>
      </w:tblGrid>
      <w:tr>
        <w:trPr/>
        <w:tc>
          <w:tcPr>
            <w:tcW w:w="4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Percent change is 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net product sales by product (dollars in thousands):</w:t>
      </w:r>
    </w:p>
    <w:tbl>
      <w:tblPr>
        <w:tblW w:w="11285" w:type="dxa"/>
        <w:jc w:val="left"/>
        <w:tblInd w:w="0" w:type="dxa"/>
        <w:tblLayout w:type="fixed"/>
        <w:tblCellMar>
          <w:top w:w="28" w:type="dxa"/>
          <w:left w:w="28" w:type="dxa"/>
          <w:bottom w:w="28" w:type="dxa"/>
          <w:right w:w="28" w:type="dxa"/>
        </w:tblCellMar>
      </w:tblPr>
      <w:tblGrid>
        <w:gridCol w:w="542"/>
        <w:gridCol w:w="239"/>
        <w:gridCol w:w="24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271"/>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33"/>
        <w:gridCol w:w="233"/>
        <w:gridCol w:w="316"/>
      </w:tblGrid>
      <w:tr>
        <w:trPr/>
        <w:tc>
          <w:tcPr>
            <w:tcW w:w="5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Percent change is not meaningful.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product sales, net during the three and nine months ended September 30, 2024 as compared to the same periods in 2023 is attributable to increased net product sales for IBSRELA, which is primarily driven by increased demand, as well as sales from XPHOZAH following the launch of the product in the fourth quarter of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product supply revenue during the three and nine months ended September 30, 2024 as compared to the same periods in 2023 is attributable to the timing of product supply shipments to Kyowa Kirin.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licensing revenue during the three and nine months ended September 30, 2024 as compared to the same periods in 2023 is primarily attributable to earning an aggregate of $30.0 million for milestones under the 2017 Kyowa Kirin Agreement and payments under the 2022 Amendment upon approval from the Japanese MHLW for the NDA for tenapanor for the improvement of hyperphosphatemia in adult patients with CKD on dialysis during the three months ended September 30, 2023. We also earned a $2.0 million milestone under the terms of the Fosun Agreement upon acceptance of the NDA for tenapanor by China’s Center for Drug Evaluation of the NMPA for the control of serum phosphorus in adult patients with CKD on hemodialysis and a one-time upfront payment we received from METiS Therapeutics Inc. during the prior year.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Non-cash royalty revenue during the three and nine months ended September 30, 2024 is attributable to royalties from Kyowa Kirin for sales of PHOZEVEL in Japan, which we remit to HCR upon receipt in accordance with the HCR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cost of goods sold (dollars in thousands):</w:t>
      </w:r>
    </w:p>
    <w:tbl>
      <w:tblPr>
        <w:tblW w:w="10610" w:type="dxa"/>
        <w:jc w:val="left"/>
        <w:tblInd w:w="0" w:type="dxa"/>
        <w:tblLayout w:type="fixed"/>
        <w:tblCellMar>
          <w:top w:w="28" w:type="dxa"/>
          <w:left w:w="28" w:type="dxa"/>
          <w:bottom w:w="28" w:type="dxa"/>
          <w:right w:w="28" w:type="dxa"/>
        </w:tblCellMar>
      </w:tblPr>
      <w:tblGrid>
        <w:gridCol w:w="287"/>
        <w:gridCol w:w="239"/>
        <w:gridCol w:w="240"/>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3"/>
        <w:gridCol w:w="233"/>
        <w:gridCol w:w="316"/>
      </w:tblGrid>
      <w:tr>
        <w:trPr/>
        <w:tc>
          <w:tcPr>
            <w:tcW w:w="2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8"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to cost of product sales during the three and nine months ended September 30, 2024 as compared to the same periods in 2023 is primarily attributable to cost of goods sold for increased net product sales of IBSRELA and XPHOZAH.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to other cost of revenue during the three and nine months ended September 30, 2024 as compared to the same periods in 2023 is primarily attributable to an increase in payments due to AstraZeneca under the AstraZeneca Termination Agreement, driven by increases in our product sales, as well as cost of goods sold for increased product supply sold to our collaboration partners.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operating expenses (dollars in thousands):</w:t>
      </w:r>
    </w:p>
    <w:tbl>
      <w:tblPr>
        <w:tblW w:w="11555" w:type="dxa"/>
        <w:jc w:val="left"/>
        <w:tblInd w:w="0" w:type="dxa"/>
        <w:tblLayout w:type="fixed"/>
        <w:tblCellMar>
          <w:top w:w="28" w:type="dxa"/>
          <w:left w:w="28" w:type="dxa"/>
          <w:bottom w:w="28" w:type="dxa"/>
          <w:right w:w="28" w:type="dxa"/>
        </w:tblCellMar>
      </w:tblPr>
      <w:tblGrid>
        <w:gridCol w:w="535"/>
        <w:gridCol w:w="377"/>
        <w:gridCol w:w="37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0"/>
        <w:gridCol w:w="181"/>
        <w:gridCol w:w="27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316"/>
      </w:tblGrid>
      <w:tr>
        <w:trPr/>
        <w:tc>
          <w:tcPr>
            <w:tcW w:w="53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8"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research and development expenses (dollars in thousands):</w:t>
      </w:r>
    </w:p>
    <w:p>
      <w:pPr>
        <w:pStyle w:val="TextBody"/>
        <w:bidi w:val="0"/>
        <w:spacing w:before="0" w:after="0"/>
        <w:jc w:val="both"/>
        <w:rPr/>
      </w:pPr>
      <w:r>
        <w:rPr/>
      </w:r>
    </w:p>
    <w:tbl>
      <w:tblPr>
        <w:tblW w:w="11405" w:type="dxa"/>
        <w:jc w:val="left"/>
        <w:tblInd w:w="0" w:type="dxa"/>
        <w:tblLayout w:type="fixed"/>
        <w:tblCellMar>
          <w:top w:w="28" w:type="dxa"/>
          <w:left w:w="28" w:type="dxa"/>
          <w:bottom w:w="28" w:type="dxa"/>
          <w:right w:w="28" w:type="dxa"/>
        </w:tblCellMar>
      </w:tblPr>
      <w:tblGrid>
        <w:gridCol w:w="744"/>
        <w:gridCol w:w="543"/>
        <w:gridCol w:w="274"/>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32"/>
        <w:gridCol w:w="234"/>
        <w:gridCol w:w="27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32"/>
        <w:gridCol w:w="234"/>
        <w:gridCol w:w="316"/>
      </w:tblGrid>
      <w:tr>
        <w:trPr/>
        <w:tc>
          <w:tcPr>
            <w:tcW w:w="74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equipment and depreciation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our R&amp;D expenses, including other R&amp;D expenses, during the three and nine months ended September 30, 2024 as compared to the same periods in 2023 is primarily the result of increased medical engagement with scientific communities in the areas of gastroenterology and nephrology, as well as pediatric clinical trial activities. The increase in employee-related R&amp;D expenses is the result of increases in headcount and related personnel costs, including stock-based compensation expense which increased by $2.0 million and $4.6 million, respectively, during the three and nine months ended September 30, 2024 as compared to the same periods in 2023.</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selling, general and administrative expenses during the three and nine months ended September 30, 2024 as compared to the same periods in 2023 is primarily due to increased costs associated with the commercialization of IBSRELA and XPHOZAH and increases in expenses associated with administrative support functions as our company has grown in headcount and activity level. The increases consisted of external spending for disease awareness initiatives, commercial infrastructure, and strategy, as well as headcount and related personnel costs, including stock-based compensation expense which increased by $3.6 million and $13.3 million, respectively, during the three and nine months ended September 30, 2024 as compared to the same periods in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interest expense (dollars in thousands):</w:t>
      </w:r>
    </w:p>
    <w:tbl>
      <w:tblPr>
        <w:tblW w:w="10295" w:type="dxa"/>
        <w:jc w:val="left"/>
        <w:tblInd w:w="0" w:type="dxa"/>
        <w:tblLayout w:type="fixed"/>
        <w:tblCellMar>
          <w:top w:w="28" w:type="dxa"/>
          <w:left w:w="28" w:type="dxa"/>
          <w:bottom w:w="28" w:type="dxa"/>
          <w:right w:w="28" w:type="dxa"/>
        </w:tblCellMar>
      </w:tblPr>
      <w:tblGrid>
        <w:gridCol w:w="283"/>
        <w:gridCol w:w="248"/>
        <w:gridCol w:w="250"/>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33"/>
        <w:gridCol w:w="233"/>
        <w:gridCol w:w="271"/>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33"/>
        <w:gridCol w:w="233"/>
        <w:gridCol w:w="31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8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during the three and nine months ended September 30, 2024 as compared to the same periods in 2023 is due to a larger loan balance outstanding following the draw of an additional $22.5 million for the Term B Loan in October 2023 and $50.0 million for the Term C Loan in March 2024, as well as a higher variable interest rate applied to our loan balance primarily resulting from market fluctuations.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Non-Cash Interest Expense Related to the Sale of Future Royalties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non-cash interest expense (dollars in thousands):</w:t>
      </w:r>
    </w:p>
    <w:tbl>
      <w:tblPr>
        <w:tblW w:w="10205" w:type="dxa"/>
        <w:jc w:val="left"/>
        <w:tblInd w:w="0" w:type="dxa"/>
        <w:tblLayout w:type="fixed"/>
        <w:tblCellMar>
          <w:top w:w="28" w:type="dxa"/>
          <w:left w:w="28" w:type="dxa"/>
          <w:bottom w:w="28" w:type="dxa"/>
          <w:right w:w="28" w:type="dxa"/>
        </w:tblCellMar>
      </w:tblPr>
      <w:tblGrid>
        <w:gridCol w:w="341"/>
        <w:gridCol w:w="299"/>
        <w:gridCol w:w="300"/>
        <w:gridCol w:w="211"/>
        <w:gridCol w:w="631"/>
        <w:gridCol w:w="109"/>
        <w:gridCol w:w="109"/>
        <w:gridCol w:w="109"/>
        <w:gridCol w:w="109"/>
        <w:gridCol w:w="211"/>
        <w:gridCol w:w="481"/>
        <w:gridCol w:w="109"/>
        <w:gridCol w:w="109"/>
        <w:gridCol w:w="109"/>
        <w:gridCol w:w="109"/>
        <w:gridCol w:w="211"/>
        <w:gridCol w:w="631"/>
        <w:gridCol w:w="109"/>
        <w:gridCol w:w="109"/>
        <w:gridCol w:w="109"/>
        <w:gridCol w:w="109"/>
        <w:gridCol w:w="233"/>
        <w:gridCol w:w="233"/>
        <w:gridCol w:w="271"/>
        <w:gridCol w:w="109"/>
        <w:gridCol w:w="109"/>
        <w:gridCol w:w="109"/>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180"/>
        <w:gridCol w:w="181"/>
        <w:gridCol w:w="322"/>
      </w:tblGrid>
      <w:tr>
        <w:trPr/>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7" w:type="dxa"/>
            <w:gridSpan w:val="39"/>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non-cash interest expense related to the sales of future royalties during the three and nine months ended September 30, 2024 as compared to the same periods in 2023 is due to a higher full year liability balance following the receipt a $5.0 million payment in October 2023 as a result of Kyowa Kirin's receipt of regulatory approval to market tenapanor for hyperphosphatemia in Japan, as well as prospective adjustments to the imputed interest rate and the related amortization of the deferred royalty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other income, net (dollars in thousands):</w:t>
      </w:r>
    </w:p>
    <w:tbl>
      <w:tblPr>
        <w:tblW w:w="10205" w:type="dxa"/>
        <w:jc w:val="left"/>
        <w:tblInd w:w="0" w:type="dxa"/>
        <w:tblLayout w:type="fixed"/>
        <w:tblCellMar>
          <w:top w:w="28" w:type="dxa"/>
          <w:left w:w="28" w:type="dxa"/>
          <w:bottom w:w="28" w:type="dxa"/>
          <w:right w:w="28" w:type="dxa"/>
        </w:tblCellMar>
      </w:tblPr>
      <w:tblGrid>
        <w:gridCol w:w="412"/>
        <w:gridCol w:w="363"/>
        <w:gridCol w:w="364"/>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80"/>
        <w:gridCol w:w="181"/>
        <w:gridCol w:w="27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80"/>
        <w:gridCol w:w="181"/>
        <w:gridCol w:w="318"/>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during the three and nine months ended September 30, 2024 as compared to the same periods in 2023 is primarily due to increased income on our investments resulting from both higher interest rates and larger investment balances throughout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cash, cash equivalents and short-term investments (dollars in thousands):</w:t>
      </w:r>
    </w:p>
    <w:tbl>
      <w:tblPr>
        <w:tblW w:w="8861" w:type="dxa"/>
        <w:jc w:val="left"/>
        <w:tblInd w:w="0" w:type="dxa"/>
        <w:tblLayout w:type="fixed"/>
        <w:tblCellMar>
          <w:top w:w="28" w:type="dxa"/>
          <w:left w:w="28" w:type="dxa"/>
          <w:bottom w:w="28" w:type="dxa"/>
          <w:right w:w="28" w:type="dxa"/>
        </w:tblCellMar>
      </w:tblPr>
      <w:tblGrid>
        <w:gridCol w:w="820"/>
        <w:gridCol w:w="720"/>
        <w:gridCol w:w="724"/>
        <w:gridCol w:w="326"/>
        <w:gridCol w:w="1276"/>
        <w:gridCol w:w="168"/>
        <w:gridCol w:w="109"/>
        <w:gridCol w:w="109"/>
        <w:gridCol w:w="109"/>
        <w:gridCol w:w="317"/>
        <w:gridCol w:w="1244"/>
        <w:gridCol w:w="164"/>
        <w:gridCol w:w="109"/>
        <w:gridCol w:w="109"/>
        <w:gridCol w:w="109"/>
        <w:gridCol w:w="211"/>
        <w:gridCol w:w="721"/>
        <w:gridCol w:w="109"/>
        <w:gridCol w:w="109"/>
        <w:gridCol w:w="109"/>
        <w:gridCol w:w="109"/>
        <w:gridCol w:w="233"/>
        <w:gridCol w:w="233"/>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 funds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190,402 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cash, cash equivalents and short-term investments of approximately $190.4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filed a registration statement on Form S-3,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September 30, 2024 and 2023, we completed no sales pursuant to the 2023 Open Market Sales Agreement. As of September 30, 2024, we have sold 16.8 million shares of our common stock and received gross proceeds of $70.0 million at a weighted average sales price of approximately $4.17 per share under the 2023 Open Market Sales Agreement.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entered into a loan and security agreement (2022 Loan Agreement) with SLR Investment Corp (SLR). The 2022 Loan Agreement was subsequently amended on August 1, 2022 and February 9, 2023. The 2022 Loan Agreement as amended through February 9, 2023 provides for a senior secured term loan facility, with $27.5 million funded at closing (the Term A Loan) and an additional $22.5 million that we could borrow on or prior to December 20, 2023; provided that (i) we received approval by the U.S. FDA for our NDA for XPHOZAH by November 30, 2023 and (ii) we achieved certain product revenue milestone targets described in the 2022 Loan Agreement (the Term B Loan). During the three months ending June 30, 2024, we achieved the Revenue Milestone and, in October 2024, we paid the $1.0 million 2022 Exit Fee to the Agent.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funding of $27.5 million was used to repay the 2018 Loan and is funding our ongoing operations. We had $25.0 million principal from the 2018 Loan outstanding as of the closing date, as well as the 2018 Exit Fee in the amount of $1.5 million. We paid the 2018 Exit Fee in October 2023 following approval from the U.S. FDA for XPHOZAH to reduce serum phosphorus in adults with CKD on dialysis as add-on therapy in patients who have an inadequate response to phosphate binders or who are intolerant of any dose of phosphate binder therapy.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In October 2023, we entered into a Third Amendment (the Third Amendment) to the 2022 Loan Agreement by and between us and the 2022 Lenders. As discussed in</w:t>
      </w:r>
      <w:r>
        <w:rPr>
          <w:color w:val="000000"/>
        </w:rPr>
        <w:t xml:space="preserve"> </w:t>
      </w:r>
      <w:r>
        <w:rPr>
          <w:rFonts w:ascii="Times New Roman;sans-serif" w:hAnsi="Times New Roman;sans-serif"/>
          <w:b w:val="false"/>
          <w:i/>
          <w:color w:val="000000"/>
          <w:sz w:val="20"/>
        </w:rPr>
        <w:t>Note 8. Borrowing</w:t>
      </w:r>
      <w:r>
        <w:rPr>
          <w:rFonts w:ascii="Times New Roman;sans-serif" w:hAnsi="Times New Roman;sans-serif"/>
          <w:b w:val="false"/>
          <w:color w:val="000000"/>
          <w:sz w:val="20"/>
        </w:rPr>
        <w:t>, the Third Amendment, among other things, (1) provided us with the option to draw an additional $50.0 million of committed capital by March 15, 2024 (the Term C Loan) provided we have drawn the Term B Loan; and (2) provided us with the option to draw up to an additional $50.0 million of uncommitted capital by December 31, 2026, subject to approval by the Agent’s investment committee (the Term D Loan). In February 2024, we provided the Agent with notice of our decision to draw the Term C Loan to support the commercial launch of XPHOZAH and received the proceeds of the Term C Loan in March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29, 2024, we entered into a Fourth Amendment (the Fourth Amendment) to the 2022 Loan Agreement by and between us and the 2022 Lenders. The Fourth Amendment, among other things, (1) provides for the immediate draw of the Term D Loan on the closing date of the Fourth Amendment and (2) provides us with the option to draw an additional $50.0 million of committed capital by June 30, 2025 (the Term E Loan).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Fourth Amendment, the maturity date for the Five 2022 Loans is extended from March 1, 2027 to July 1, 2028 (the Maturity Date). The interest rate for each of the Term A Loan and the Term B Loan is 7.95% plus a SOFR value equal to 0.022% plus the 1-month CME Term SOFR reference rate as published by the CME Term SOFR Administrator on the CME Term SOFR Administrator’s Website, subject to a SOFR floor of one percent. The interest rate for the Term C Loan is 4.25% plus a SOFR value equal to 0.022% plus the 1-month CME Term SOFR reference rate as published by the CME Term SOFR Administrator on the CME Term SOFR Administrator’s Website, subject to a SOFR floor of 4.7%. The interest rate for each of the Term D Loan and the Term E Loan is 4.00% plus a SOFR value equal to 0.022% plus the 1-month CME Term SOFR reference rate as published by the CME Term SOFR Administrator on the CME Term SOFR Administrator's Website, subject to a SOFR floor of 4.7%.</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and entitled us to a $5.0 million payment under the terms of the HCR Agreement. We received these payments in October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since inception in 2007 and our accumulated deficit as of September 30, 2024 is $890.0 million. Our primary sources of cash have been from the sale of common stock (in both public offerings and private placements), private placements of convertible preferred stock, funds from our collaboration partnerships, funds from our 2018 Loan Agreement, as amended, and 2022 Loan Agreement, as amended, as well as from product sales. 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addressed our operating cash flow requirements through cash generated from product sales of IBSRELA and XPHOZAH, proceeds from the sale of shares of our common stock under our at-the-market offering, from the receipt of milestones payments from our collaboration partners and payments from Kyowa Kirin under the 2022 Amendment to our License Agreement, which were received in October 2023, and from proceeds of the Term B and Term C Loans. We believe our available cash, cash equivalents and short-term investments as of September 30, 2024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any legislative, regulatory or judicial action is taken to further delay or prevent the inclusion of XPHOZAH, along with other oral ESRD-related drugs without an injectable or intravenous equivalent, in the ESRD PPS, which would otherwise occur on January 1,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adequacy of reimbursement and coverage of XPHOZAH beginning January 1, 2025 for all patients, regardless of insurance coverage, in the event that legislative, regulatory or judicial action to further delay or prevent the inclusion of oral only drugs in the ESRD PPS is not taken;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as amended to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the risk factors set forth in Part II, Item 1A, Risk Factors, in this Quarterly Report on Form 10-Q for additional risks associated with our capital requirements.</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(dollars in thousands):</w:t>
      </w:r>
    </w:p>
    <w:tbl>
      <w:tblPr>
        <w:tblW w:w="9865" w:type="dxa"/>
        <w:jc w:val="left"/>
        <w:tblInd w:w="0" w:type="dxa"/>
        <w:tblLayout w:type="fixed"/>
        <w:tblCellMar>
          <w:top w:w="28" w:type="dxa"/>
          <w:left w:w="28" w:type="dxa"/>
          <w:bottom w:w="28" w:type="dxa"/>
          <w:right w:w="28" w:type="dxa"/>
        </w:tblCellMar>
      </w:tblPr>
      <w:tblGrid>
        <w:gridCol w:w="1563"/>
        <w:gridCol w:w="1376"/>
        <w:gridCol w:w="1380"/>
        <w:gridCol w:w="247"/>
        <w:gridCol w:w="933"/>
        <w:gridCol w:w="127"/>
        <w:gridCol w:w="127"/>
        <w:gridCol w:w="127"/>
        <w:gridCol w:w="127"/>
        <w:gridCol w:w="247"/>
        <w:gridCol w:w="933"/>
        <w:gridCol w:w="127"/>
        <w:gridCol w:w="109"/>
        <w:gridCol w:w="109"/>
        <w:gridCol w:w="109"/>
        <w:gridCol w:w="211"/>
        <w:gridCol w:w="721"/>
        <w:gridCol w:w="109"/>
        <w:gridCol w:w="109"/>
        <w:gridCol w:w="109"/>
        <w:gridCol w:w="109"/>
        <w:gridCol w:w="269"/>
        <w:gridCol w:w="271"/>
        <w:gridCol w:w="316"/>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(80,999)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(62,373)</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nine months ended September 30, 2024 decreased by $26.4 million as compared to the same period in 2023 primarily due to higher product sales, net, as well as net changes in our operating assets and liabilities, including decreased accounts receivable and increased accounts payable and accrued and other liabilities, which were partially offset by increased inventory expenditures.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investing activities during the nine months ended September 30, 2024 increased by $125.0 million as compared to the same period in 2023 primarily due to the timing of our investment maturities and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during the nine months ended September 30, 2024 decreased by $63.0 million as compared to the same period in 2023 primarily due to the receipt of $119.2 million from the issuance of common stock under the 2021 Open Market Sales Agreement in 2023. We have not received any proceeds under the 2021 Open Market Sales Agreement in 2024. Largely offsetting the decrease were $49.8 million net of proceeds from the Term C Loan received in March 2024, as well as from the issuance of common stock under our equity incentive and stock purchase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 xml:space="preserve">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cash, cash equivalents and short-term investments of $190.4 million, which consisted of bank deposits and money market funds, as well as high quality fixed income instruments including commercial paper, U.S. government-sponsored agency bonds, corporate bonds, Yankee bonds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fluctuation exposure through our borrowings under the Loan Agreement and our investment in money market accounts which bear a variable interest rate. Borrowings under the 2022 Loan Agreement as amended bear interest at a floating per annum interest rate with 7.95% plus the greater of (a) 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$0.7 million for the nine months ended September 30, 2024. As of September 30, 2024, we had an aggregate principal amount of $100.0 million outstanding pursuant to our 2022 Loan Agreement.</w:t>
      </w:r>
    </w:p>
    <w:p>
      <w:pPr>
        <w:pStyle w:val="TextBody"/>
        <w:bidi w:val="0"/>
        <w:spacing w:lineRule="auto" w:line="288" w:before="240" w:after="283"/>
        <w:jc w:val="both"/>
        <w:rPr/>
      </w:pPr>
      <w:r>
        <w:rPr>
          <w:rFonts w:ascii="Times New Roman;sans-serif" w:hAnsi="Times New Roman;sans-serif"/>
          <w:b w:val="false"/>
          <w:i/>
          <w:color w:val="000000"/>
          <w:sz w:val="20"/>
        </w:rPr>
        <w:t>Foreign Currency Risk.</w:t>
      </w:r>
      <w:r>
        <w:rPr>
          <w:color w:val="000000"/>
        </w:rPr>
        <w:t xml:space="preserve"> </w:t>
      </w:r>
      <w:r>
        <w:rPr>
          <w:rFonts w:ascii="Times New Roman;sans-serif" w:hAnsi="Times New Roman;sans-serif"/>
          <w:b w:val="false"/>
          <w:color w:val="000000"/>
          <w:sz w:val="20"/>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non-cash royalty revenue related to the sale of future royalties, assets and liabilities associated with a limited number of manufacturing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as amended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September 30, 2024.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September 30, 2024, our disclosure controls and procedures were effective at a reasonable assurance level.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xml:space="preserve">, Case No. 4:21-cv-05868-HSG, and </w:t>
      </w:r>
      <w:r>
        <w:rPr>
          <w:rFonts w:ascii="Times New Roman;sans-serif" w:hAnsi="Times New Roman;sans-serif"/>
          <w:b w:val="false"/>
          <w:i/>
          <w:color w:val="000000"/>
          <w:sz w:val="20"/>
        </w:rPr>
        <w:t>Siegel 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 The court provided plaintiffs a third opportunity to amend and plaintiffs filed a third amended complaint on April 19, 2024. Defendants filed a motion to dismiss the third amended complaint on June 3, 2024. The case was dismissed with prejudice on September 12, 2024. On October 9, 2024, plaintiff appealed the District Court's dismissal of the case to the Ninth Circuit.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The consolidated case remains stayed pending resolution of the appeal in the Securities Class Action.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17, 2024, the Company, in partnership with the American Association of Kidney Patients (AAKP) and the National Minority Quality Forum (NMQF), filed a lawsuit in the U.S. District Court for the District of Columbia against the Centers for Medicare &amp; Medicaid Services (CMS), claiming that CMS has violated its statutory and regulatory authority under the Medicare Improvements for Patients and Providers Act (MIPPA), which established the ESRD PPS bundled payment system for dialysis services in 2008. Specifically, the lawsuit claims that CMS’s plan to move XPHOZAH, along with all oral-only drugs, into the ESRD PPS is inconsistent with MIPPA’s statutory provision, and contradicts CMS’s own regulations. XPHOZAH and other oral-only drugs, which are currently available to patients under Medicare Part D, are not administered by dialysis providers and cannot be taken during the delivery of maintenance dialysis. The Company, AAKP and NMQF are seeking relief under the Administrative Procedure Act to enjoin CMS from proceeding with its plan to include XPHOZAH in the ESRD PPS and eliminate coverage under Medicare Part D beginning on January 1, 2025. On September 17, 2024, defendants filed a Motion to Dismiss, the case, and on September 19, 2024, plaintiffs filed a Motion for Preliminary Injunction or, in the Alternative, for Expedited Summary Judgment.</w:t>
      </w:r>
    </w:p>
    <w:p>
      <w:pPr>
        <w:pStyle w:val="TextBody"/>
        <w:bidi w:val="0"/>
        <w:spacing w:lineRule="auto" w:line="288" w:before="240" w:after="283"/>
        <w:jc w:val="both"/>
        <w:rPr/>
      </w:pPr>
      <w:r>
        <w:rPr>
          <w:rFonts w:ascii="Times New Roman;sans-serif" w:hAnsi="Times New Roman;sans-serif"/>
          <w:b w:val="false"/>
          <w:color w:val="000000"/>
          <w:sz w:val="20"/>
        </w:rPr>
        <w:t xml:space="preserve">On August 16, 2024, a complaint was filed against the Company in the U.S. District Court of Massachusetts, captioned </w:t>
      </w:r>
      <w:r>
        <w:rPr>
          <w:rFonts w:ascii="Times New Roman;sans-serif" w:hAnsi="Times New Roman;sans-serif"/>
          <w:b w:val="false"/>
          <w:i/>
          <w:color w:val="000000"/>
          <w:sz w:val="20"/>
        </w:rPr>
        <w:t>Yarborough v. Ardelyx, Inc</w:t>
      </w:r>
      <w:r>
        <w:rPr>
          <w:rFonts w:ascii="Times New Roman;sans-serif" w:hAnsi="Times New Roman;sans-serif"/>
          <w:b w:val="false"/>
          <w:color w:val="000000"/>
          <w:sz w:val="20"/>
        </w:rPr>
        <w: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i/>
          <w:color w:val="000000"/>
          <w:sz w:val="20"/>
        </w:rPr>
        <w:t>et al</w:t>
      </w:r>
      <w:r>
        <w:rPr>
          <w:rFonts w:ascii="Times New Roman;sans-serif" w:hAnsi="Times New Roman;sans-serif"/>
          <w:b w:val="false"/>
          <w:color w:val="000000"/>
          <w:sz w:val="20"/>
        </w:rPr>
        <w:t>., No. 24-cv-12119 (D. Mass.). The complaint names the Company, Mike Raab, and Justin Renz as defendants and alleges violations of Sections 10(b) and 20(a) the Exchange Act and Rule 10b-5 promulgated thereunder, related to the Company’s announcement on July 2, 2024 that it had chosen not to file an application for Transitional Drug Add-on Payment Adjustment (TDAPA) for XPHOZAH (the “Yarborough Action”). The plaintiffs seek damages and interest, and an award of costs, including attorneys’ fees. Two shareholders filed motions to be appointed lead plaintiff in the Yarborough Action on October 15, 2024. The court has not yet appointed a lead plaintiff. We believe the plaintiff’s claims are without merit and we have not recorded any accrual for a contingent liability associated with these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On September 6 and 13, 2024, certain Ardelyx shareholders filed two verified derivative complaints purportedly on behalf of the Company in the United States District Court for the District of Massachusetts alleging violations of Sections 10(b) and/or 14(a) of the Exchange Act, breaches of fiduciary duty, unjust enrichment, waste, and aiding and abetting breaches of fiduciary duty against certain members of our board of directors and management based on substantially the same factual allegations in the Yarborough Action. The complaints seek unspecified damages and corporate governance reforms, as well as costs and attorneys’ fees. On September 25, 2024, the Court consolidated the two derivative actions into the case </w:t>
      </w:r>
      <w:r>
        <w:rPr>
          <w:rFonts w:ascii="Times New Roman;sans-serif" w:hAnsi="Times New Roman;sans-serif"/>
          <w:b w:val="false"/>
          <w:i/>
          <w:color w:val="000000"/>
          <w:sz w:val="20"/>
        </w:rPr>
        <w:t>In re Ardelyx, Inc. Stockholder Derivative Litigation</w:t>
      </w:r>
      <w:r>
        <w:rPr>
          <w:rFonts w:ascii="Times New Roman;sans-serif" w:hAnsi="Times New Roman;sans-serif"/>
          <w:b w:val="false"/>
          <w:color w:val="000000"/>
          <w:sz w:val="20"/>
        </w:rPr>
        <w:t>, Case No. 1:24-cv-12302-LTS (D. Mass.).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September 30, 2024, there is no litigation pending that would reasonably be expected to have a material adverse effect on our results of operations and financial condition, and no contingent liabilities were accrued as of September 30,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i/>
          <w:color w:val="000000"/>
          <w:sz w:val="20"/>
        </w:rPr>
        <w:t>We have incurred losses in each year since our inception, and we expect to continue to incur operating losses in the future as we commercialize IBSRELA</w:t>
      </w:r>
      <w:r>
        <w:rPr>
          <w:rFonts w:ascii="Times New Roman;sans-serif" w:hAnsi="Times New Roman;sans-serif"/>
          <w:b/>
          <w:i/>
          <w:color w:val="000000"/>
          <w:sz w:val="13"/>
        </w:rPr>
        <w:t xml:space="preserve">® </w:t>
      </w:r>
      <w:r>
        <w:rPr>
          <w:rFonts w:ascii="Times New Roman;sans-serif" w:hAnsi="Times New Roman;sans-serif"/>
          <w:b/>
          <w:i/>
          <w:color w:val="000000"/>
          <w:sz w:val="20"/>
        </w:rPr>
        <w:t>and XPHOZAH</w:t>
      </w:r>
      <w:r>
        <w:rPr>
          <w:rFonts w:ascii="Times New Roman;sans-serif" w:hAnsi="Times New Roman;sans-serif"/>
          <w:b/>
          <w:i/>
          <w:color w:val="000000"/>
          <w:sz w:val="13"/>
        </w:rPr>
        <w:t>®</w:t>
      </w:r>
      <w:r>
        <w:rPr>
          <w:rFonts w:ascii="Times New Roman;sans-serif" w:hAnsi="Times New Roman;sans-serif"/>
          <w:b/>
          <w:i/>
          <w:color w:val="000000"/>
          <w:sz w:val="20"/>
        </w:rPr>
        <w:t>, incur manufacturing and development costs for tenapanor, and incur additional expenses related to our ongoing operations and our pursuit of future business opportunities.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2022, we commenced the commercialization of our first product, IBSRELA® (tenapanor) for the treatment of irritable bowel syndrome with constipation (IBS-C) in adult patients. In November 2023, we commenced the commercialization of XPHOZAH® (tenapanor) for the reduction of serum phosphorus in adults with chronic kidney disease (CKD) on dialysis as add-on therapy in patients who have an inadequate response to phosphate binders or who are intolerant of any dose of phosphate binder therapy.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losses in each year since our inception in October 2007, and we do not know whether or when we will become profitable. We continue to incur significant commercialization, development and additional expenses related to our ongoing operations. As of September 30, 2024, we had an accumulated deficit of $890.0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incur operating losses for the foreseeable future as we commercialize IBSRELA and XPHOZAH, incur manufacturing and development costs for tenapanor, and incur additional expenses related to our ongoing operations and our pursuit of future business opportunities.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prior losses, combined with any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and certain other tax attributes may be limited.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(the Code). In general, if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will require additional financing for the foreseeable future as we invest in the commercialization of IBSRELA and XPHOZAH in the U.S. and incur additional expenses related to our ongoing operations. The inability to access necessary capital when needed on acceptable terms, or at all, could force us to reduce our efforts to commercialize IBSRELA or XPHOZAH, or to delay or limit our pursuit of other future business opportunities.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continue to expend substantial resources for the foreseeable future, including costs associated with our efforts to commercialize IBSRELA and XPHOZAH; conducting pediatric clinical trials for IBSRELA; manufacturing for IBSRELA and XPHOZAH and research and development related to potential new product candidates. The inability to access necessary capital when needed on acceptable terms, or at all, could force us to reduce our efforts to commercialize IBSRELA or XPHOZAH, or to otherwise limit aspects of our business. Our future funding requirements will depend on many factors, including, but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any legislative, regulatory or judicial action is taken to further delay or prevent the inclusion of XPHOZAH, along with other oral ESRD-related drugs without an injectable or intravenous equivalent, in the ESRD PPS, which would otherwise occur on January 1,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adequacy of reimbursement and coverage of XPHOZAH beginning January 1, 2025 for all patients, regardless of insurance coverage, in the event that legislative, regulatory or judicial action to further delay or prevent the inclusion of oral only drugs in the ESRD PPS is not taken;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as amended to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other future business opportunities.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through the use of alternative structures.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generated limited revenue from product sales and may never be profitable for a full fiscal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generated limited revenue from product sales and have incurred significant net losses in each year since inception. We began selling IBSRELA in the U.S. in March 2022 and we began selling XPHOZAH in the U.S. in November 2023. We have no other products approved for sale.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commercialize ISBRELA and XPHOZAH and to increase market share for both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maintaining sufficient market acceptance of IBSRELA as a viable treatment option for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obtaining market acceptance of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and XPHOZAH by third-party payors;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any legislative or judicial action is taken to further delay or prevent the inclusion of XPHOZAH, along with other oral ESRD-related drugs without an injectable or intravenous equivalent, in the ESRD PPS, which would otherwise occur on January 1, 2025;</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adequacy of reimbursement and coverage of XPHOZAH beginning January 1, 2025 for all patients, regardless of insurance coverage, in the event that legislative, regulatory or judicial action to further delay or prevent the inclusion of oral only drugs in the ESRD PPS is not taken;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addressing any competing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60" w:after="283"/>
        <w:jc w:val="both"/>
        <w:rPr/>
      </w:pPr>
      <w:r>
        <w:rPr/>
      </w:r>
    </w:p>
    <w:p>
      <w:pPr>
        <w:pStyle w:val="TextBody"/>
        <w:bidi w:val="0"/>
        <w:spacing w:lineRule="auto" w:line="288" w:before="0" w:after="0"/>
        <w:jc w:val="both"/>
        <w:rPr/>
      </w:pPr>
      <w:r>
        <w:rPr>
          <w:rFonts w:ascii="Times New Roman;sans-serif" w:hAnsi="Times New Roman;sans-serif"/>
          <w:b w:val="false"/>
          <w:color w:val="000000"/>
          <w:sz w:val="20"/>
        </w:rPr>
        <w:t>With respect to our commercialization of IBSRELA and XPHOZAH, our revenue will be dependent, in part, upon the size of the markets in the U.S., the label for which approval was granted, accepted price for the product, and the ability to secure and maintain adequate reimbursement. While there is significant uncertainty related to the insurance coverage and reimbursement of newly approved products in general in the U.S., there is additional uncertainty related to insurance coverage and reimbursement for drugs, like XPHOZAH, which is being marketed for the reduction of serum phosphorus in adults with CKD on dialysis as add-on therapy in patients who have an inadequate response to phosphate binders or who are intolerant of any dose of phosphate binder therapy. Our ability to generate and sustain future revenues from sales of XPHOZAH, will be significantly dependent upon whether and when XPHOZAH, along with other oral drugs without an injectable or intravenous equivalent, are bundled into the ESRD PPS. See “—</w:t>
      </w:r>
      <w:r>
        <w:rPr>
          <w:rFonts w:ascii="Times New Roman;sans-serif" w:hAnsi="Times New Roman;sans-serif"/>
          <w:b w:val="false"/>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 the event that legislative, regulatory or judicial action to further delay or prevent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the number of adult patients for IBSRELA and/or XPHOZAH is not as significant as we estimate, coverage and reimbursement for either IBSRELA or XPHOZAH are not available in the manner and to the extent we expect, or the reasonably accepted population for treatment is narrowed by competition, physician choice or treatment guidelines, we may not generate significant revenue from the sale of IBSRELA or XPHOZAH. Even if we achieve profitability on a quarterly basis in the future, we may not be able to sustain profitability for a full fiscal year.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Principal Risks Related to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The overall commercial success of IBSRELA will depend on a number of factors, including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IBSRELA as a treatment for adult patients with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size of the treatable patient population;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continue to increase the market share of IBSRELA;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our sales, market access and marketing efforts;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IBSRELA following approval.</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we will achieve sufficient market acceptance for XPHOZAH, secure and maintain adequate coverage and reimbursement for XPHOZAH, or generate sufficient revenue from product sales of XPHOZAH.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ability to maintain adequate coverage and reimbursement for XPHOZAH significantly depends upon whether and when XPHOZAH, along with other oral ESRD-related drugs without an injectable or intravenous equivalent, are bundled into the ESRD PPS. Absent legislative, regulatory or judicial action, XPHOZAH will enter the ESRD PPS on January 1, 2025, and separate reimbursement under Medicare Part D will no longer be available, which will negatively and materially impact our sales of XPHOZAH. See “—</w:t>
      </w:r>
      <w:r>
        <w:rPr>
          <w:rFonts w:ascii="Times New Roman;sans-serif" w:hAnsi="Times New Roman;sans-serif"/>
          <w:b w:val="false"/>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 the event that legislative, regulatory or judicial action to further delay or prevent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below.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legislative, regulatory or judicial action is taken to delay or prevent the inclusion of oral only drugs in the ESRD PPS, the commercial success of XPHOZAH will depend on a number of factors,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length of any such legislative, regulatory or judicial delay in the inclusion of oral only drugs in the ESRD PPS;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extent to which access to XPHOZAH is restricted, regardless of insurance coverage, during and/or following any applicable TDAPA period, which may depend largely on the manner in which, XPHOZAH and other oral ESRD-related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drugs without an injectable or intravenous equivalent are bundled into the ESRD PPS, including, but not limited to, whether or not we file for TDAPA at a future date, whether or not TDAPA is granted, the length of any applicable TDAPA period, the amount of any applicable TDAPA payment, and the extent to which, the ESRD PPS base rate is adjusted following any applicable TDAPA period;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both IBSRELA and XPHOZAH;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whether or not the content and breadth of the label that has been approved by the U.S. FDA for XPHOZAH will materially and adversely impact our ability to commercialize the product for the approved indication;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prevalence and severity of adverse side effects of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acceptance of XPHOZAH as safe, effective and well-tolerated by patients and the medical community;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obtaining and sustaining an adequate level of coverage and reimbursement for XPHOZAH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XPHOZAH following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the event that legislative, regulatory or judicial action to further delay or prevent the inclusion of oral only drugs in the ESRD PPS is not taken, XPHOZAH will become part of the ESRD PPS on January 1, 2025, after which time, coverage for XPHOZAH for Medicare beneficiaries will no longer be available under Medicate Part D, and as a result the revenue that we may generate on sales of XPHOZAH will be negatively and materially impacted.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2011, the Centers for Medicare &amp; Medicaid Services (CMS), an agency within the United States Department of Health and Human Services responsible for administering the Medicare program, implemented the ESRD PPS, a new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The inclusion of oral medications without injectable or intravenous equivalents in the bundled payment was initially delayed by CMS until January 1, 2014, and through several subsequent legislative actions has been delayed until January 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27, 2024, CMS released the proposed Calendar Year 2025 ESRD PPS rule (CY 2025 Proposed Rule) in which CMS confirmed its intention to bring XPHOZAH along with other oral ESRD-related drugs without and injectable or intravenous equivalent into the ESRD PPS beginning January 1, 2025, and to cease separate payment for XPHOZAH and other such drugs under Medicare Part D on such date. CMS also provided specific guidance as to how it intends to bundle XPHOZAH into the ESRD PPS indicating that it does not intend to introduce XPHOZAH into the ESRD PPS in the same manner that it intends to introduce all other phosphate lowering medications. Rather, CMS has determined that the Transitional Drug Add on Payment Adjustment (TDAPA) for new renal dialysis drugs applies to XPHOZAH. Under the CMS guidance for new renal dialysis drugs, in order to ensure TDAPA availability on January 1, 2025, a TDAPA application should be filed in the application period ending on July 1, 2024. Additionally, CMS’s determination to introduce XPHOZAH into the ESRD PPS through a different pathway than that through which phosphate binders will be introduced suggests CMS’ current intention to limit the utilization data considered in determining the amount of a permanent base rate adjustment after the TDAPA period to the utilization data collected for the phosphate binders, excluding XPHOZAH utilization from such permanent base rate adjustment analysis.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review and analysis of the CY 2025 Proposed Rule, we determined that filing for TDAPA at this time is not in the best interest of patients and would materially and adversely impact sales of XPHOZAH, and on July 2, 2024, we announced that we did not file an application for TDAPA on or prior to July 1, 2024. CMS’s determination to bring XPHOZAH into the ESRD PPS will materially and adversely impact our XPHOZAH product sales, our profitability, results of operations, financial condition and prospects will be materially and adversely impacted.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extent to which the inclusion of XPHOZAH in the ESRD PPS will materially and adversely impact our XPHOZAH business is dependent 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the extent to which access to XPHOZAH is restricted by the dialysis providers and the extent to which such restrictions will interfere with the shared decision-making between healthcare professionals and their patients, regardless of insurance coverage; and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extent to which the elimination of separate payment for XPHOZAH for Medicare beneficiaries under Medicare Part D will influence the payment decisions of other payors and the extent to which payment for XPHOZAH will continue to be made as a pharmacy benefit for non-Medicare patients.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and/or XPHOZAH may cause undesirable side effects or have other properties that could limit the commercial success of the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or a collaboration partner may be required to recall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or a collaboration partner may be subject to fines, injunctions or the imposition of civil or criminal penalties;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authorities may require the addition of new labeling statements, such as a “black box” warning or a contraindication;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product may become less competitive;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the principal decisions about coverage and reimbursement for new drugs are typically made by CMS, as CMS decides whether and to what extent a new drug will be covered and reimbursed under Medicare. Private payors tend to follow the coverage reimbursement policies established by CMS to a substantial degree.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On June 27, 2024, CMS released the CY 2025 Proposed Rule in which CMS confirmed its intention to bring XPHOZAH and all oral only drugs in the ESRD PPS beginning January 1, 2025, and to cease separate payment for XPHOZAH and all oral only drugs under Medicare Part D on such date. In the event no legislative, regulatory or judicial action is taken, XPHOZAH, along with other oral ESRD related drugs without injectable or intravenous equivalents, will be included in the ESRD PPS beginning on January 1, 2025. See “—</w:t>
      </w:r>
      <w:r>
        <w:rPr>
          <w:rFonts w:ascii="Times New Roman;sans-serif" w:hAnsi="Times New Roman;sans-serif"/>
          <w:b w:val="false"/>
          <w:i/>
          <w:color w:val="000000"/>
          <w:sz w:val="20"/>
        </w:rPr>
        <w:t>In the event that legislative, regulatory or judicial action to further delay or prevent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above for a more detailed discussion related to the risks that may occur if XPHOZAH is brought into the ESRD PPS bundle.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facilities used by our contract manufacturing organizations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future results depend on CMOs, many of whom are our single source manufacturers.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we entered into a loan and security agreement (2022 Loan Agreement) with SLR Investment Corp. as collateral agent (Agent or SLR), and the lenders listed in the 2022 Loan Agreement (collectively, the 2022 Lenders). The 2022 Loan Agreement was subsequently amended in August 2022 (the First Amendment), February 2023 (the Second Amendment), October 2023 (the Third Amendment) and October 2024 (Fourth Amendment). The loan was funded in the amount of $27.5 million on February 23, 2022 and additional amounts of $22.5 million, $50.0 million and $50.0 million were drawn on October 19, 2023, March 1, 2024, and October 29, 2024, respectively. In addition, we may be able to draw up to an additional $50.0 million by June 30, 2025.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Fourth Amendment, the maturity date for the term loans is extended to July 1, 2028 (Maturity Date). We are permitted to make interest only payments on the loan facility through the Maturity Date. 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Risks Related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Clinical drug development involves a lengthy and expensive process with an uncertain outcome.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conduct of additional clinical trials, we could encounter delays in our development if any clinical trials are suspended or terminated by us, by the institutional review boards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U.S. FDA, the Competent Authorities of the Member States of the European Economic Area (EEA) and comparable foreign regulatory authorities for all of our products in nonclinical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substantial competition, and our competitors may discover, develop or commercialize products faster or more successfully than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phosphate binders in development, including fermagate (Alpharen), an iron-based binder in Phase 3 being developed by Opko Health, Inc., PT20, an iron-based binder in Phase 3 being developed by Shield Therapeutics, AP-301, a binder in Phase 3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EOS789/AP-306, an inhibitor of phosphate transporters NaPi-2b, PiT-1, and PiT-2, thus far studied in a Phase 2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current activities and growth given our level of managerial, operational, financial and other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any commercialization activities in which we may engage effectively;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our clinical trials effectively;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continue to improve our operational, financial and management controls, reporting systems and procedures;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retain and motivate our remaining employees and potentially identify, recruit, and integrate additional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IBSRELA and/or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decreased demand for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investigations, product recalls or withdrawals, or labeling, marketing or promotional restrictions;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inability to commercialize or co-promote IBSRELA and/or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attract, retain and motivate our executives, senior management and key personnel, our business will suffer.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Federal Trade Commission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engage in strategic transactions that could impact our liquidity, increase our expenses and present significant distractions to our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higher-than-expected acquisition and integration costs;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write-downs of assets or goodwill or impairment charges;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acquired businesses with our operations and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inability to retain key employees of any acquired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regulatory requirements for drug approvals in foreign countries;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differing U.S. and foreign drug import and export rules;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reduced protection for intellectual property rights in foreign countries;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reimbursement systems, and different competitive drugs;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potential liability resulting from development work conducted by these distributors;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 or natural disasters.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involves the use of hazardous materials and we and third-parties with whom we contract must comply with environmental laws and regulations, which can be expensive and restrict how we do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earthquakes or other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warning or untitled letters or fines;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suspension or revocation of existing regulatory approvals;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suspension of any of our ongoing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refusal to approve pending applications or supplements to approved applications submitted by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our or our CMOs’ operations; or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and certain regulatory agencies, such as the U.S. FDA, have had to furlough critical U.S. FDA employees and stop critical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or are found to have failed to comply with U.S. FDA and other regulations related to the promotion of our products for unapproved uses, we could be subject to criminal penalties, substantial fines or other sanctions and damage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relating to the promotion of products for unapproved uses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U.S.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obtain regulatory approvals in foreign jurisdictions would prevent us from marketing our products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European and other foreign law equivalents of each of the laws, including reporting requirements detailing interactions with and payments to healthcare providers.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clinical trials to be conducted prior to obtaining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to manufacturing methods;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recall, replacement, or discontinuance of one or more of our products;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record keeping.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Moreover, on June 27, 2024, CMS released the CY 2025 Proposed Rule in which CMS confirmed its intention to bring XPHOZAH and all oral only drugs in to the ESRD PPS beginning January 1, 2025, and to cease separate payment for XPHOZAH and all oral only drugs under Medicare Part D on such date. Our ability to maintain adequate coverage and reimbursement for XPHOZAH significantly depends upon whether and when XPHOZAH, along with other oral ESRD-related drugs without an injectable or intravenous equivalent, are bundled into the ESRD PPS. Absent legislative, regulatory or judicial action, XPHOZAH will enter the ESRD PPS on January 1, 2025, which means it will no longer be covered by Medicare Part D, which will negatively and materially impact our sales of XPHOZAH. See “—</w:t>
      </w:r>
      <w:r>
        <w:rPr>
          <w:rFonts w:ascii="Times New Roman;sans-serif" w:hAnsi="Times New Roman;sans-serif"/>
          <w:b w:val="false"/>
          <w:i/>
          <w:color w:val="000000"/>
          <w:sz w:val="20"/>
        </w:rPr>
        <w:t>In the event that legislative, regulatory or judicial action to further delay or prevent the inclusion of oral only drugs in the ESRD PPS is not taken, XPHOZAH will become part of the ESRD PPS on January 1, 2025, and will no longer be covered under Medicare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average manufacturer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Under the IRA, small molecule drugs and biologics first become eligible for price negotiation seven and eleven years, respectively, after U.S. FDA approval.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will depend on our ability to obtain, maintain and protect our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pending patent applications will issue as patents;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challenged patents will ultimately be found to be valid and enforceable;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non-patent regulatory exclusivity for five years from the date of the first U.S. FDA approval of a drug containing a new chemical entity (NCE). The U.S. FDA is prohibited during those five years from approving an Abbreviated New Drug Application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NCE exclusivity has been granted for an NDA, as in the case of IBSRELA, if an ANDA sponsor has provided a Paragraph IV certification to the U.S.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Patent No. 8,541,448 covering tenapanor was subject to patent term adjustment (PTA) under the American Inventors Protection Act for delays by the United States Patent and Trademark Office in granting the patent. Additionally, following the approval by the U.S. FDA for our NDA to market tenapanor for IBS-C, this patent was granted patent term extension (PTE) under the Hatch-Waxman Act and together with PTA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enforce our intellectual property rights throughout the world.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Europe’s new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entered into force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stock price may continue to be volatile and our stockholders may not be able to resell shares of our common stock at or above the price they paid.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or lack of success with regards to our commercialization of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regarding whether XPHOZAH alone or with other oral only medications, will be included in the ESRD PPS, and the time and manner in which such transition is achieved;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relating to our current or future collaboration partnerships;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of therapeutic innovations or new products by us or our competitors;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or developments in laws or regulations applicable to our approved products 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testing and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failure to meet any of our projected timelines or goals with regard to the commercialization of IBSRELA and XPOHZAH, or the clinical development and commercialization of any of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efforts to acquire or license or discover additional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intellectual property infringement actions in which we may become involved;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efforts to obtain adequate intellectual property protection for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concerning our competitors or the pharmaceutical industry in general;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achievement of expected product sales and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manufacture, supply or distribution shortages;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U.S. FDA or other U.S. or foreign regulatory actions affecting us or our industry or other healthcare reform measures in the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financial estimates or recommendations by securities analysts;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sales of our common stock by us, our executive officers and directors or our stockholders in the future;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sales of debt securities and sales or licensing of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general economic and market conditions and overall fluctuations in the U.S. equity markets;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loss of any of our key scientific or management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sell shares of our common stock in future financings, stockholders may experience immediate dilution and, as a result, our stock price may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no longer a “smaller reporting company” and as a result we are or will be subject to certain enhanced disclosure requirements which will require us to incur significant expenses and expend time and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 longer a “smaller reporting company,”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Securities and Exchange Commission (SEC) or other regulatory authorities, which would require additional financial and management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the global economic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could discourage a takeover that stockholders may consider favorable and may lead to entrenchment of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alter our bylaws without obtaining stockholder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these provisions would apply even if we were to receive an offer that some stockholders may consider beneficial.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in our discretion, indemnify employees and agents in those circumstances where indemnification is permitted by applicable law.</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retroactively amend our amended and restated bylaw provisions to reduce our indemnification obligations to directors, officers, employees and agents.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intend to pay any cash dividends on our common stock for the foreseeable future. We currently intend to invest our future earnings, if any, to fund our growth. Additionally, the terms of our 2022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Trading Plans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our Section 16 officers and directors adopted or terminated contracts, instructions or written plans for the purchase or sale of our securities as noted below:</w:t>
      </w:r>
    </w:p>
    <w:tbl>
      <w:tblPr>
        <w:tblW w:w="10205" w:type="dxa"/>
        <w:jc w:val="left"/>
        <w:tblInd w:w="0" w:type="dxa"/>
        <w:tblLayout w:type="fixed"/>
        <w:tblCellMar>
          <w:top w:w="28" w:type="dxa"/>
          <w:left w:w="28" w:type="dxa"/>
          <w:bottom w:w="28" w:type="dxa"/>
          <w:right w:w="28" w:type="dxa"/>
        </w:tblCellMar>
      </w:tblPr>
      <w:tblGrid>
        <w:gridCol w:w="966"/>
        <w:gridCol w:w="803"/>
        <w:gridCol w:w="807"/>
        <w:gridCol w:w="294"/>
        <w:gridCol w:w="294"/>
        <w:gridCol w:w="298"/>
        <w:gridCol w:w="422"/>
        <w:gridCol w:w="422"/>
        <w:gridCol w:w="427"/>
        <w:gridCol w:w="302"/>
        <w:gridCol w:w="302"/>
        <w:gridCol w:w="302"/>
        <w:gridCol w:w="446"/>
        <w:gridCol w:w="446"/>
        <w:gridCol w:w="403"/>
        <w:gridCol w:w="731"/>
        <w:gridCol w:w="622"/>
        <w:gridCol w:w="624"/>
        <w:gridCol w:w="375"/>
        <w:gridCol w:w="375"/>
        <w:gridCol w:w="544"/>
      </w:tblGrid>
      <w:tr>
        <w:trPr/>
        <w:tc>
          <w:tcPr>
            <w:tcW w:w="96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Name and Title of Director or Officer</w:t>
            </w:r>
          </w:p>
        </w:tc>
        <w:tc>
          <w:tcPr>
            <w:tcW w:w="88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Action</w:t>
            </w:r>
          </w:p>
        </w:tc>
        <w:tc>
          <w:tcPr>
            <w:tcW w:w="1271" w:type="dxa"/>
            <w:gridSpan w:val="3"/>
            <w:vMerge w:val="restart"/>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c>
          <w:tcPr>
            <w:tcW w:w="2201"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Arrangement</w:t>
            </w:r>
          </w:p>
        </w:tc>
        <w:tc>
          <w:tcPr>
            <w:tcW w:w="197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Shares Available to be Sold</w:t>
            </w:r>
          </w:p>
        </w:tc>
        <w:tc>
          <w:tcPr>
            <w:tcW w:w="129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Expiration Date</w:t>
            </w:r>
          </w:p>
        </w:tc>
      </w:tr>
      <w:tr>
        <w:trPr/>
        <w:tc>
          <w:tcPr>
            <w:tcW w:w="25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8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71" w:type="dxa"/>
            <w:gridSpan w:val="3"/>
            <w:vMerge w:val="continue"/>
            <w:tcBorders>
              <w:top w:val="single" w:sz="8" w:space="0" w:color="000000"/>
              <w:left w:val="single" w:sz="8" w:space="0" w:color="000000"/>
            </w:tcBorders>
            <w:tcMar>
              <w:top w:w="30" w:type="dxa"/>
              <w:bottom w:w="0" w:type="dxa"/>
              <w:right w:w="0" w:type="dxa"/>
            </w:tcMar>
            <w:vAlign w:val="center"/>
          </w:tcPr>
          <w:p>
            <w:pPr>
              <w:pStyle w:val="Normal"/>
              <w:bidi w:val="0"/>
              <w:jc w:val="left"/>
              <w:rPr/>
            </w:pPr>
            <w:r>
              <w:rPr/>
            </w:r>
          </w:p>
        </w:tc>
        <w:tc>
          <w:tcPr>
            <w:tcW w:w="90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Rule 10b5-1*</w:t>
            </w:r>
          </w:p>
        </w:tc>
        <w:tc>
          <w:tcPr>
            <w:tcW w:w="12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Non-Rule 10b5-1**</w:t>
            </w:r>
          </w:p>
        </w:tc>
        <w:tc>
          <w:tcPr>
            <w:tcW w:w="197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29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r>
      <w:tr>
        <w:trPr/>
        <w:tc>
          <w:tcPr>
            <w:tcW w:w="25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Raab, President and Chief Executive Officer</w:t>
            </w:r>
          </w:p>
        </w:tc>
        <w:tc>
          <w:tcPr>
            <w:tcW w:w="8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Adoption</w:t>
            </w:r>
          </w:p>
        </w:tc>
        <w:tc>
          <w:tcPr>
            <w:tcW w:w="12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4, 2024</w:t>
            </w:r>
          </w:p>
        </w:tc>
        <w:tc>
          <w:tcPr>
            <w:tcW w:w="90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129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6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2, 2026</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*Intended to satisfy the affirmative defense conditions of Rule 10b5-1(c)</w:t>
            </w:r>
          </w:p>
        </w:tc>
      </w:tr>
      <w:tr>
        <w:trPr/>
        <w:tc>
          <w:tcPr>
            <w:tcW w:w="10205" w:type="dxa"/>
            <w:gridSpan w:val="21"/>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intended to satisfy the affirmative defense conditions of Rule 10b5-1(c)</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822"/>
        <w:gridCol w:w="1667"/>
        <w:gridCol w:w="1542"/>
        <w:gridCol w:w="109"/>
        <w:gridCol w:w="109"/>
        <w:gridCol w:w="109"/>
        <w:gridCol w:w="170"/>
        <w:gridCol w:w="170"/>
        <w:gridCol w:w="171"/>
        <w:gridCol w:w="109"/>
        <w:gridCol w:w="109"/>
        <w:gridCol w:w="109"/>
        <w:gridCol w:w="432"/>
        <w:gridCol w:w="182"/>
        <w:gridCol w:w="187"/>
        <w:gridCol w:w="109"/>
        <w:gridCol w:w="109"/>
        <w:gridCol w:w="109"/>
        <w:gridCol w:w="230"/>
        <w:gridCol w:w="230"/>
        <w:gridCol w:w="231"/>
        <w:gridCol w:w="109"/>
        <w:gridCol w:w="109"/>
        <w:gridCol w:w="109"/>
        <w:gridCol w:w="242"/>
        <w:gridCol w:w="242"/>
        <w:gridCol w:w="34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Certificate of Amendment to Amended and 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24, 2014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Commercial Supply Agreement</w:t>
              </w:r>
            </w:hyperlink>
            <w:hyperlink r:id="rId4">
              <w:r>
                <w:rPr>
                  <w:rStyle w:val="InternetLink"/>
                  <w:rFonts w:ascii="Times New Roman;sans-serif" w:hAnsi="Times New Roman;sans-serif"/>
                  <w:b w:val="false"/>
                  <w:color w:val="000080"/>
                  <w:sz w:val="20"/>
                  <w:u w:val="single"/>
                </w:rPr>
                <w:t xml:space="preserve">, dated August 7, 2024 and </w:t>
              </w:r>
            </w:hyperlink>
            <w:hyperlink r:id="rId5">
              <w:r>
                <w:rPr>
                  <w:rStyle w:val="InternetLink"/>
                  <w:rFonts w:ascii="Times New Roman;sans-serif" w:hAnsi="Times New Roman;sans-serif"/>
                  <w:b w:val="false"/>
                  <w:color w:val="000080"/>
                  <w:sz w:val="20"/>
                  <w:u w:val="single"/>
                </w:rPr>
                <w:t>effective as of July 23, 2024, by and between</w:t>
              </w:r>
            </w:hyperlink>
            <w:hyperlink r:id="rId6">
              <w:r>
                <w:rPr>
                  <w:rStyle w:val="InternetLink"/>
                  <w:rFonts w:ascii="Times New Roman;sans-serif" w:hAnsi="Times New Roman;sans-serif"/>
                  <w:b w:val="false"/>
                  <w:color w:val="000080"/>
                  <w:sz w:val="20"/>
                  <w:u w:val="single"/>
                </w:rPr>
                <w:t xml:space="preserve"> </w:t>
              </w:r>
            </w:hyperlink>
            <w:hyperlink r:id="rId7">
              <w:r>
                <w:rPr>
                  <w:rStyle w:val="InternetLink"/>
                  <w:rFonts w:ascii="Times New Roman;sans-serif" w:hAnsi="Times New Roman;sans-serif"/>
                  <w:b w:val="false"/>
                  <w:color w:val="000080"/>
                  <w:sz w:val="20"/>
                  <w:u w:val="single"/>
                </w:rPr>
                <w:t>Ardelyx, Inc.</w:t>
              </w:r>
            </w:hyperlink>
            <w:hyperlink r:id="rId8">
              <w:r>
                <w:rPr>
                  <w:rStyle w:val="InternetLink"/>
                  <w:rFonts w:ascii="Times New Roman;sans-serif" w:hAnsi="Times New Roman;sans-serif"/>
                  <w:b w:val="false"/>
                  <w:color w:val="000080"/>
                  <w:sz w:val="20"/>
                  <w:u w:val="single"/>
                </w:rPr>
                <w:t xml:space="preserve"> and Catalent.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xhovionecommerc.htm">
              <w:r>
                <w:rPr>
                  <w:rStyle w:val="InternetLink"/>
                  <w:rFonts w:ascii="Times New Roman;sans-serif" w:hAnsi="Times New Roman;sans-serif"/>
                  <w:b w:val="false"/>
                  <w:color w:val="000080"/>
                  <w:sz w:val="20"/>
                  <w:u w:val="single"/>
                </w:rPr>
                <w:t>Commercial Supply Agreement, dated October 25, 2024, by and among Ardelyx, Inc., Hovione Farmaciência, S.A. and Hovione, LLC</w:t>
              </w:r>
            </w:hyperlink>
            <w:hyperlink w:anchor="exhibit102-xhovionecommerc.htm">
              <w:r>
                <w:rPr>
                  <w:rStyle w:val="InternetLink"/>
                  <w:rFonts w:ascii="Times New Roman;sans-serif" w:hAnsi="Times New Roman;sans-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Lease Agreement, dated October 3, 2024, by and between Ardelyx, Inc. and BMR-Pacific Research Center 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Sixth Amendment to Lease, dated May 25, 2021, by and between Ardelyx, Inc. and 34175 Ardenwood Venture,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5-xardelyxxfourth.htm">
              <w:r>
                <w:rPr>
                  <w:rStyle w:val="InternetLink"/>
                  <w:rFonts w:ascii="Times New Roman;sans-serif" w:hAnsi="Times New Roman;sans-serif"/>
                  <w:b w:val="false"/>
                  <w:color w:val="0000FF"/>
                  <w:sz w:val="20"/>
                  <w:u w:val="single"/>
                </w:rPr>
                <w:t>Fourth Amendment to the Loan and Security Agreement dated October 29, 2024, by and between Ardelyx, Inc. and SLR Investment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6-xericfosteroffe.htm">
              <w:r>
                <w:rPr>
                  <w:rStyle w:val="InternetLink"/>
                  <w:rFonts w:ascii="Times New Roman;sans-serif" w:hAnsi="Times New Roman;sans-serif"/>
                  <w:b w:val="false"/>
                  <w:color w:val="0000FF"/>
                  <w:sz w:val="20"/>
                  <w:u w:val="single"/>
                </w:rPr>
                <w:t>Offer Letter, dated July 25, 2024 by and between Alderyx, Inc. and Eric Foster.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930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930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930xex321.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formatted in Inline Extensible Business Reporting Language (XBRL): (i) Condensed Balance Sheets as of September 30, 2024 and December 31, 2023, (ii) Condensed Statements of Operations and Comprehensive Income (Loss) for the three and nine months ended September 30, 2024 and 2023, (iii) Condensed Statements of Changes in Stockholders Equity for the three and nine months ended September 30, 2024 and 2023, (iv) Condensed Statements of Cash Flows for the nine months ended September 30, 2024 and 2023, and (v)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ind w:left="0" w:right="0" w:hanging="360"/>
        <w:jc w:val="both"/>
        <w:rPr/>
      </w:pPr>
      <w:r>
        <w:rPr/>
      </w:r>
    </w:p>
    <w:p>
      <w:pPr>
        <w:pStyle w:val="TextBody"/>
        <w:bidi w:val="0"/>
        <w:spacing w:lineRule="auto" w:line="288" w:before="0" w:after="0"/>
        <w:jc w:val="both"/>
        <w:rPr>
          <w:color w:val="000000"/>
        </w:rPr>
      </w:pPr>
      <w:r>
        <w:rPr>
          <w:color w:val="000000"/>
        </w:rPr>
        <w:t xml:space="preserve">† </w:t>
      </w:r>
      <w:r>
        <w:rPr>
          <w:rFonts w:ascii="Times New Roman;sans-serif" w:hAnsi="Times New Roman;sans-serif"/>
          <w:b w:val="false"/>
          <w:color w:val="000000"/>
          <w:sz w:val="20"/>
        </w:rPr>
        <w:t>Portions of the exhibit, marked by brackets, have been omitted because the omitted information (i) is not material and (ii) is the type that the Company treats as private or confidential.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 attached as Exhibit 32.1 that accompanies this Quarterly Report on Form 10-Q, is deemed furnished and not filed with the Securities and Exchange Commission is not to be incorporated by reference into any filing of Ardelyx,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240" w:after="283"/>
        <w:jc w:val="both"/>
        <w:rPr/>
      </w:pPr>
      <w:hyperlink w:anchor="ic4693cb8444048269f3cd522ea6030e0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061" w:type="dxa"/>
        <w:jc w:val="left"/>
        <w:tblInd w:w="0" w:type="dxa"/>
        <w:tblLayout w:type="fixed"/>
        <w:tblCellMar>
          <w:top w:w="28" w:type="dxa"/>
          <w:left w:w="28" w:type="dxa"/>
          <w:bottom w:w="28" w:type="dxa"/>
          <w:right w:w="28" w:type="dxa"/>
        </w:tblCellMar>
      </w:tblPr>
      <w:tblGrid>
        <w:gridCol w:w="726"/>
        <w:gridCol w:w="640"/>
        <w:gridCol w:w="643"/>
        <w:gridCol w:w="194"/>
        <w:gridCol w:w="194"/>
        <w:gridCol w:w="194"/>
        <w:gridCol w:w="1302"/>
        <w:gridCol w:w="1302"/>
        <w:gridCol w:w="1866"/>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Ardelyx, Inc.</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Felsch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Felsch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 Chief Accounting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120" w:after="240"/>
        <w:jc w:val="right"/>
        <w:rPr>
          <w:rFonts w:ascii="Times New Roman;sans-serif" w:hAnsi="Times New Roman;sans-serif"/>
          <w:b/>
          <w:color w:val="000000"/>
          <w:sz w:val="20"/>
        </w:rPr>
      </w:pPr>
      <w:r>
        <w:rPr>
          <w:rFonts w:ascii="Times New Roman;sans-serif" w:hAnsi="Times New Roman;sans-serif"/>
          <w:b/>
          <w:color w:val="000000"/>
          <w:sz w:val="20"/>
        </w:rPr>
        <w:t>Exhibit 10.2</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120" w:after="240"/>
        <w:jc w:val="both"/>
        <w:rPr>
          <w:rFonts w:ascii="Times New Roman;sans-serif" w:hAnsi="Times New Roman;sans-serif"/>
          <w:b/>
          <w:color w:val="0E0E0E"/>
          <w:sz w:val="24"/>
        </w:rPr>
      </w:pPr>
      <w:r>
        <w:rPr>
          <w:rFonts w:ascii="Times New Roman;sans-serif" w:hAnsi="Times New Roman;sans-serif"/>
          <w:b/>
          <w:color w:val="0E0E0E"/>
          <w:sz w:val="24"/>
        </w:rPr>
        <w:t>CERTAIN IDENTIFIED INFORMATION HAS BEEN EXCLUDED FROM THE EXHIBIT BECAUSE IT IS BOTH (I) NOT MATERIAL AND (II) IS THE TYPE THAT THE COMPANY TREATS AS PRIVATE OR CONFIDENTIAL</w:t>
      </w:r>
    </w:p>
    <w:p>
      <w:pPr>
        <w:pStyle w:val="TextBody"/>
        <w:bidi w:val="0"/>
        <w:spacing w:lineRule="auto" w:line="288" w:before="0" w:after="24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Commercial Supply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THIS COMMERCIAL SUPPLY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made as of October 21, 2024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by and between Hovione Farmaciência, S.A., having a principal place of business at Sete Casas 2674-506 Loures, Portugal (“</w:t>
      </w:r>
      <w:r>
        <w:rPr>
          <w:rFonts w:ascii="Times New Roman;sans-serif" w:hAnsi="Times New Roman;sans-serif"/>
          <w:b w:val="false"/>
          <w:color w:val="000000"/>
          <w:sz w:val="24"/>
          <w:u w:val="single"/>
        </w:rPr>
        <w:t>Hovione Portugal</w:t>
      </w:r>
      <w:r>
        <w:rPr>
          <w:color w:val="000000"/>
        </w:rPr>
        <w:t>”</w:t>
      </w:r>
      <w:r>
        <w:rPr>
          <w:rFonts w:ascii="Times New Roman;sans-serif" w:hAnsi="Times New Roman;sans-serif"/>
          <w:b w:val="false"/>
          <w:color w:val="000000"/>
          <w:sz w:val="24"/>
        </w:rPr>
        <w:t>), Hovione, LLC., having its registered office at 202 Carnegia Center, CN-5226, Princeton, New Jersey, 08543-5226, U.S.A. (“</w:t>
      </w:r>
      <w:r>
        <w:rPr>
          <w:rFonts w:ascii="Times New Roman;sans-serif" w:hAnsi="Times New Roman;sans-serif"/>
          <w:b w:val="false"/>
          <w:color w:val="000000"/>
          <w:sz w:val="24"/>
          <w:u w:val="single"/>
        </w:rPr>
        <w:t>Hovione NJ</w:t>
      </w:r>
      <w:r>
        <w:rPr>
          <w:color w:val="000000"/>
        </w:rPr>
        <w:t>”</w:t>
      </w:r>
      <w:r>
        <w:rPr>
          <w:rFonts w:ascii="Times New Roman;sans-serif" w:hAnsi="Times New Roman;sans-serif"/>
          <w:b w:val="false"/>
          <w:color w:val="000000"/>
          <w:sz w:val="24"/>
        </w:rPr>
        <w:t>), each on behalf of itself and its Affiliates (and together, “</w:t>
      </w:r>
      <w:r>
        <w:rPr>
          <w:rFonts w:ascii="Times New Roman;sans-serif" w:hAnsi="Times New Roman;sans-serif"/>
          <w:b w:val="false"/>
          <w:color w:val="000000"/>
          <w:sz w:val="24"/>
          <w:u w:val="single"/>
        </w:rPr>
        <w:t>Hovione</w:t>
      </w:r>
      <w:r>
        <w:rPr>
          <w:color w:val="000000"/>
        </w:rPr>
        <w:t>”</w:t>
      </w:r>
      <w:r>
        <w:rPr>
          <w:rFonts w:ascii="Times New Roman;sans-serif" w:hAnsi="Times New Roman;sans-serif"/>
          <w:b w:val="false"/>
          <w:color w:val="000000"/>
          <w:sz w:val="24"/>
        </w:rPr>
        <w:t>), and Ardelyx, Inc., a Delaware corporation having a principal place of business at 400 5th Ave., Suite 210, Waltham, MA 02451 USA (“</w:t>
      </w:r>
      <w:r>
        <w:rPr>
          <w:rFonts w:ascii="Times New Roman;sans-serif" w:hAnsi="Times New Roman;sans-serif"/>
          <w:b w:val="false"/>
          <w:color w:val="000000"/>
          <w:sz w:val="24"/>
          <w:u w:val="single"/>
        </w:rPr>
        <w:t>Ardelyx</w:t>
      </w:r>
      <w:r>
        <w:rPr>
          <w:color w:val="000000"/>
        </w:rPr>
        <w:t>”</w:t>
      </w:r>
      <w:r>
        <w:rPr>
          <w:rFonts w:ascii="Times New Roman;sans-serif" w:hAnsi="Times New Roman;sans-serif"/>
          <w:b w:val="false"/>
          <w:color w:val="000000"/>
          <w:sz w:val="24"/>
        </w:rPr>
        <w:t>). Each of Hovione and Ardelyx may be referred to herein as a “</w:t>
      </w:r>
      <w:r>
        <w:rPr>
          <w:rFonts w:ascii="Times New Roman;sans-serif" w:hAnsi="Times New Roman;sans-serif"/>
          <w:b w:val="false"/>
          <w:color w:val="000000"/>
          <w:sz w:val="24"/>
          <w:u w:val="single"/>
        </w:rPr>
        <w:t>Party</w:t>
      </w:r>
      <w:r>
        <w:rPr>
          <w:color w:val="000000"/>
        </w:rPr>
        <w:t>”</w:t>
      </w:r>
      <w:r>
        <w:rPr>
          <w:rFonts w:ascii="Times New Roman;sans-serif" w:hAnsi="Times New Roman;sans-serif"/>
          <w:b w:val="false"/>
          <w:color w:val="000000"/>
          <w:sz w:val="24"/>
        </w:rPr>
        <w:t>, and collectively as the “</w:t>
      </w:r>
      <w:r>
        <w:rPr>
          <w:rFonts w:ascii="Times New Roman;sans-serif" w:hAnsi="Times New Roman;sans-serif"/>
          <w:b w:val="false"/>
          <w:color w:val="000000"/>
          <w:sz w:val="24"/>
          <w:u w:val="single"/>
        </w:rPr>
        <w:t>Parties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WHEREAS, Ardelyx and Hovione are parties to a Master Services Agreement dated December 22, 2015 governing Hovione’s performance of spray-drying and development services for Ardelyx in respect of its tenapanor products (as amended, and including all attachments and work orders thereunder, the “</w:t>
      </w:r>
      <w:r>
        <w:rPr>
          <w:rFonts w:ascii="Times New Roman;sans-serif" w:hAnsi="Times New Roman;sans-serif"/>
          <w:b w:val="false"/>
          <w:color w:val="000000"/>
          <w:sz w:val="24"/>
          <w:u w:val="single"/>
        </w:rPr>
        <w:t>Development Agreement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desire to enter into a commercial supply agreement pursuant to which the Original Manufacturing Site (and potentially one or more of its Affiliates) shall perform spray-drying services for Ardelyx at commercial scale, in the manner developed and validated under the Development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THEREFORE, in consideration of the foregoing and the covenants contained herein, the Parties hereto agree that the following provisions shall govern the performance of Services hereunder:</w:t>
      </w:r>
    </w:p>
    <w:p>
      <w:pPr>
        <w:pStyle w:val="TextBody"/>
        <w:bidi w:val="0"/>
        <w:spacing w:lineRule="auto" w:line="288" w:before="0" w:after="240"/>
        <w:jc w:val="both"/>
        <w:rPr/>
      </w:pPr>
      <w:r>
        <w:rPr>
          <w:rFonts w:ascii="Times New Roman;sans-serif" w:hAnsi="Times New Roman;sans-serif"/>
          <w:b/>
          <w:color w:val="000000"/>
          <w:sz w:val="24"/>
        </w:rPr>
        <w:t>1.</w:t>
      </w:r>
      <w:r>
        <w:rPr>
          <w:rFonts w:ascii="Times New Roman;sans-serif" w:hAnsi="Times New Roman;sans-serif"/>
          <w:b/>
          <w:color w:val="000000"/>
          <w:sz w:val="24"/>
        </w:rPr>
        <w:t xml:space="preserve">Definitions. </w:t>
      </w:r>
      <w:r>
        <w:rPr>
          <w:rFonts w:ascii="Times New Roman;sans-serif" w:hAnsi="Times New Roman;sans-serif"/>
          <w:b w:val="false"/>
          <w:color w:val="000000"/>
          <w:sz w:val="24"/>
        </w:rPr>
        <w:t>The following terms will, unless the context otherwise requires, have the respective meanings set out below and grammatical variations of these terms will have corresponding meanings: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w:t>
      </w:r>
      <w:r>
        <w:rPr>
          <w:color w:val="000000"/>
        </w:rPr>
        <w:t>“</w:t>
      </w:r>
      <w:r>
        <w:rPr>
          <w:rFonts w:ascii="Times New Roman;sans-serif" w:hAnsi="Times New Roman;sans-serif"/>
          <w:b w:val="false"/>
          <w:color w:val="000000"/>
          <w:sz w:val="24"/>
          <w:u w:val="single"/>
        </w:rPr>
        <w:t>Adverse Supply Event</w:t>
      </w:r>
      <w:r>
        <w:rPr>
          <w:color w:val="000000"/>
        </w:rPr>
        <w:t xml:space="preserve">” </w:t>
      </w:r>
      <w:r>
        <w:rPr>
          <w:rFonts w:ascii="Times New Roman;sans-serif" w:hAnsi="Times New Roman;sans-serif"/>
          <w:b w:val="false"/>
          <w:color w:val="000000"/>
          <w:sz w:val="24"/>
        </w:rPr>
        <w:t>means one or more of the following: (i) Hovione is unable to [***] that is required by [***], or (ii) [***] orders a halt to any further performance of the Manufacturing Services for a Product.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w:t>
      </w:r>
      <w:r>
        <w:rPr>
          <w:color w:val="000000"/>
        </w:rPr>
        <w:t>“</w:t>
      </w:r>
      <w:r>
        <w:rPr>
          <w:rFonts w:ascii="Times New Roman;sans-serif" w:hAnsi="Times New Roman;sans-serif"/>
          <w:b w:val="false"/>
          <w:color w:val="000000"/>
          <w:sz w:val="24"/>
          <w:u w:val="single"/>
        </w:rPr>
        <w:t>Affiliate</w:t>
      </w:r>
      <w:r>
        <w:rPr>
          <w:color w:val="000000"/>
        </w:rPr>
        <w:t xml:space="preserve">” </w:t>
      </w:r>
      <w:r>
        <w:rPr>
          <w:rFonts w:ascii="Times New Roman;sans-serif" w:hAnsi="Times New Roman;sans-serif"/>
          <w:b w:val="false"/>
          <w:color w:val="000000"/>
          <w:sz w:val="24"/>
        </w:rPr>
        <w:t>means a business entity which, directly or indirectly, owns a controlling interest in a Party, is controlled by a Party, or is under common control with Party; where “</w:t>
      </w:r>
      <w:r>
        <w:rPr>
          <w:rFonts w:ascii="Times New Roman;sans-serif" w:hAnsi="Times New Roman;sans-serif"/>
          <w:b w:val="false"/>
          <w:color w:val="000000"/>
          <w:sz w:val="24"/>
          <w:u w:val="single"/>
        </w:rPr>
        <w:t>control</w:t>
      </w:r>
      <w:r>
        <w:rPr>
          <w:color w:val="000000"/>
        </w:rPr>
        <w:t xml:space="preserve">” </w:t>
      </w:r>
      <w:r>
        <w:rPr>
          <w:rFonts w:ascii="Times New Roman;sans-serif" w:hAnsi="Times New Roman;sans-serif"/>
          <w:b w:val="false"/>
          <w:color w:val="000000"/>
          <w:sz w:val="24"/>
        </w:rPr>
        <w:t>means the lawful right to determine (by ownership of shares or otherwise) the election of the majority of directors (or equivalent managers) of a business entity;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w:t>
      </w:r>
      <w:r>
        <w:rPr>
          <w:color w:val="000000"/>
        </w:rPr>
        <w:t>“</w:t>
      </w:r>
      <w:r>
        <w:rPr>
          <w:rFonts w:ascii="Times New Roman;sans-serif" w:hAnsi="Times New Roman;sans-serif"/>
          <w:b w:val="false"/>
          <w:color w:val="000000"/>
          <w:sz w:val="24"/>
          <w:u w:val="single"/>
        </w:rPr>
        <w:t>Additional Services</w:t>
      </w:r>
      <w:r>
        <w:rPr>
          <w:color w:val="000000"/>
        </w:rPr>
        <w:t xml:space="preserve">” </w:t>
      </w:r>
      <w:r>
        <w:rPr>
          <w:rFonts w:ascii="Times New Roman;sans-serif" w:hAnsi="Times New Roman;sans-serif"/>
          <w:b w:val="false"/>
          <w:color w:val="000000"/>
          <w:sz w:val="24"/>
        </w:rPr>
        <w:t>has the meaning specified in Section 3.1;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w:t>
      </w:r>
      <w:r>
        <w:rPr>
          <w:color w:val="000000"/>
        </w:rPr>
        <w:t>“</w:t>
      </w:r>
      <w:r>
        <w:rPr>
          <w:rFonts w:ascii="Times New Roman;sans-serif" w:hAnsi="Times New Roman;sans-serif"/>
          <w:b w:val="false"/>
          <w:color w:val="000000"/>
          <w:sz w:val="24"/>
          <w:u w:val="single"/>
        </w:rPr>
        <w:t>Annual Commitment</w:t>
      </w:r>
      <w:r>
        <w:rPr>
          <w:color w:val="000000"/>
        </w:rPr>
        <w:t xml:space="preserve">” </w:t>
      </w:r>
      <w:r>
        <w:rPr>
          <w:rFonts w:ascii="Times New Roman;sans-serif" w:hAnsi="Times New Roman;sans-serif"/>
          <w:b w:val="false"/>
          <w:color w:val="000000"/>
          <w:sz w:val="24"/>
        </w:rPr>
        <w:t>has the meaning specified in Section 2.2;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w:t>
      </w:r>
      <w:r>
        <w:rPr>
          <w:color w:val="000000"/>
        </w:rPr>
        <w:t>“</w:t>
      </w:r>
      <w:r>
        <w:rPr>
          <w:rFonts w:ascii="Times New Roman;sans-serif" w:hAnsi="Times New Roman;sans-serif"/>
          <w:b w:val="false"/>
          <w:color w:val="000000"/>
          <w:sz w:val="24"/>
          <w:u w:val="single"/>
        </w:rPr>
        <w:t>API</w:t>
      </w:r>
      <w:r>
        <w:rPr>
          <w:color w:val="000000"/>
        </w:rPr>
        <w:t xml:space="preserve">” </w:t>
      </w:r>
      <w:r>
        <w:rPr>
          <w:rFonts w:ascii="Times New Roman;sans-serif" w:hAnsi="Times New Roman;sans-serif"/>
          <w:b w:val="false"/>
          <w:color w:val="000000"/>
          <w:sz w:val="24"/>
        </w:rPr>
        <w:t>means the active pharmaceutical ingredient tenapanor in free base form;</w:t>
      </w:r>
    </w:p>
    <w:p>
      <w:pPr>
        <w:pStyle w:val="TextBody"/>
        <w:bidi w:val="0"/>
        <w:spacing w:before="120" w:after="24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w:t>
      </w:r>
      <w:r>
        <w:rPr>
          <w:color w:val="000000"/>
        </w:rPr>
        <w:t>“</w:t>
      </w:r>
      <w:r>
        <w:rPr>
          <w:rFonts w:ascii="Times New Roman;sans-serif" w:hAnsi="Times New Roman;sans-serif"/>
          <w:b w:val="false"/>
          <w:color w:val="000000"/>
          <w:sz w:val="24"/>
          <w:u w:val="single"/>
        </w:rPr>
        <w:t>API Reimbursement Price</w:t>
      </w:r>
      <w:r>
        <w:rPr>
          <w:color w:val="000000"/>
        </w:rPr>
        <w:t xml:space="preserve">” </w:t>
      </w:r>
      <w:r>
        <w:rPr>
          <w:rFonts w:ascii="Times New Roman;sans-serif" w:hAnsi="Times New Roman;sans-serif"/>
          <w:b w:val="false"/>
          <w:color w:val="000000"/>
          <w:sz w:val="24"/>
        </w:rPr>
        <w:t>means the reimbursement price per kilo of API as set forth in Appendix 3.</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w:t>
      </w:r>
      <w:r>
        <w:rPr>
          <w:color w:val="000000"/>
        </w:rPr>
        <w:t>“</w:t>
      </w:r>
      <w:r>
        <w:rPr>
          <w:rFonts w:ascii="Times New Roman;sans-serif" w:hAnsi="Times New Roman;sans-serif"/>
          <w:b w:val="false"/>
          <w:color w:val="000000"/>
          <w:sz w:val="24"/>
          <w:u w:val="single"/>
        </w:rPr>
        <w:t>Applicable Laws</w:t>
      </w:r>
      <w:r>
        <w:rPr>
          <w:color w:val="000000"/>
        </w:rPr>
        <w:t xml:space="preserve">” </w:t>
      </w:r>
      <w:r>
        <w:rPr>
          <w:rFonts w:ascii="Times New Roman;sans-serif" w:hAnsi="Times New Roman;sans-serif"/>
          <w:b w:val="false"/>
          <w:color w:val="000000"/>
          <w:sz w:val="24"/>
        </w:rPr>
        <w:t>means (i) with respect to Hovione, all Laws applicable at the jurisdiction where the Manufacturing Site is located; and (ii) with respect to Ardelyx and Ardelyx’s use of the Product, the applicable Laws of all jurisdictions in the Territory;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1.8.</w:t>
      </w:r>
      <w:r>
        <w:rPr>
          <w:color w:val="000000"/>
        </w:rPr>
        <w:t>“</w:t>
      </w:r>
      <w:r>
        <w:rPr>
          <w:rFonts w:ascii="Times New Roman;sans-serif" w:hAnsi="Times New Roman;sans-serif"/>
          <w:b w:val="false"/>
          <w:color w:val="000000"/>
          <w:sz w:val="24"/>
          <w:u w:val="single"/>
        </w:rPr>
        <w:t>Ardelyx Background IP</w:t>
      </w:r>
      <w:r>
        <w:rPr>
          <w:color w:val="000000"/>
        </w:rPr>
        <w:t xml:space="preserve">” </w:t>
      </w:r>
      <w:r>
        <w:rPr>
          <w:rFonts w:ascii="Times New Roman;sans-serif" w:hAnsi="Times New Roman;sans-serif"/>
          <w:b w:val="false"/>
          <w:color w:val="000000"/>
          <w:sz w:val="24"/>
        </w:rPr>
        <w:t>means Intellectual Property that is owned or controlled by or on behalf of Ardelyx and developed or obtained independently of this Agreement, whether before or after the Effective Date. Ardelyx Background IP specifically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1.9.</w:t>
      </w:r>
      <w:r>
        <w:rPr>
          <w:color w:val="000000"/>
        </w:rPr>
        <w:t>“</w:t>
      </w:r>
      <w:r>
        <w:rPr>
          <w:rFonts w:ascii="Times New Roman;sans-serif" w:hAnsi="Times New Roman;sans-serif"/>
          <w:b w:val="false"/>
          <w:color w:val="000000"/>
          <w:sz w:val="24"/>
          <w:u w:val="single"/>
        </w:rPr>
        <w:t>Ardelyx Inventions</w:t>
      </w:r>
      <w:r>
        <w:rPr>
          <w:color w:val="000000"/>
        </w:rPr>
        <w:t xml:space="preserve">” </w:t>
      </w:r>
      <w:r>
        <w:rPr>
          <w:rFonts w:ascii="Times New Roman;sans-serif" w:hAnsi="Times New Roman;sans-serif"/>
          <w:b w:val="false"/>
          <w:color w:val="000000"/>
          <w:sz w:val="24"/>
        </w:rPr>
        <w:t>has the meaning specified in Section 13.3;</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1.10.</w:t>
      </w:r>
      <w:r>
        <w:rPr>
          <w:color w:val="000000"/>
        </w:rPr>
        <w:t>“</w:t>
      </w:r>
      <w:r>
        <w:rPr>
          <w:rFonts w:ascii="Times New Roman;sans-serif" w:hAnsi="Times New Roman;sans-serif"/>
          <w:b w:val="false"/>
          <w:color w:val="000000"/>
          <w:sz w:val="24"/>
          <w:u w:val="single"/>
        </w:rPr>
        <w:t>Ardelyx Property</w:t>
      </w:r>
      <w:r>
        <w:rPr>
          <w:color w:val="000000"/>
        </w:rPr>
        <w:t xml:space="preserve">” </w:t>
      </w:r>
      <w:r>
        <w:rPr>
          <w:rFonts w:ascii="Times New Roman;sans-serif" w:hAnsi="Times New Roman;sans-serif"/>
          <w:b w:val="false"/>
          <w:color w:val="000000"/>
          <w:sz w:val="24"/>
        </w:rPr>
        <w:t>has the meaning specified in Section 8.3.2;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1.11.</w:t>
      </w:r>
      <w:r>
        <w:rPr>
          <w:color w:val="000000"/>
        </w:rPr>
        <w:t>“</w:t>
      </w:r>
      <w:r>
        <w:rPr>
          <w:rFonts w:ascii="Times New Roman;sans-serif" w:hAnsi="Times New Roman;sans-serif"/>
          <w:b w:val="false"/>
          <w:color w:val="000000"/>
          <w:sz w:val="24"/>
          <w:u w:val="single"/>
        </w:rPr>
        <w:t>Authority</w:t>
      </w:r>
      <w:r>
        <w:rPr>
          <w:color w:val="000000"/>
        </w:rPr>
        <w:t xml:space="preserve">” </w:t>
      </w:r>
      <w:r>
        <w:rPr>
          <w:rFonts w:ascii="Times New Roman;sans-serif" w:hAnsi="Times New Roman;sans-serif"/>
          <w:b w:val="false"/>
          <w:color w:val="000000"/>
          <w:sz w:val="24"/>
        </w:rPr>
        <w:t>means any governmental or regulatory authority, department, securities exchange, body or agency or any court, tribunal, bureau, commission or other similar body, whether foreign, federal, state, provincial, county or municipal, with competent jurisdiction over a party, the Manufacturing Services, or within the Territory of the Product (or its use);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1.12.</w:t>
      </w:r>
      <w:r>
        <w:rPr>
          <w:color w:val="000000"/>
        </w:rPr>
        <w:t>“</w:t>
      </w:r>
      <w:r>
        <w:rPr>
          <w:rFonts w:ascii="Times New Roman;sans-serif" w:hAnsi="Times New Roman;sans-serif"/>
          <w:b w:val="false"/>
          <w:color w:val="000000"/>
          <w:sz w:val="24"/>
          <w:u w:val="single"/>
        </w:rPr>
        <w:t>Banking System</w:t>
      </w:r>
      <w:r>
        <w:rPr>
          <w:color w:val="000000"/>
        </w:rPr>
        <w:t xml:space="preserve">” </w:t>
      </w:r>
      <w:r>
        <w:rPr>
          <w:rFonts w:ascii="Times New Roman;sans-serif" w:hAnsi="Times New Roman;sans-serif"/>
          <w:b w:val="false"/>
          <w:color w:val="000000"/>
          <w:sz w:val="24"/>
        </w:rPr>
        <w:t>has the meaning specified in Section 3.3(d)(ii);</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1.13.</w:t>
      </w:r>
      <w:r>
        <w:rPr>
          <w:color w:val="000000"/>
        </w:rPr>
        <w:t>“</w:t>
      </w:r>
      <w:r>
        <w:rPr>
          <w:rFonts w:ascii="Times New Roman;sans-serif" w:hAnsi="Times New Roman;sans-serif"/>
          <w:b w:val="false"/>
          <w:color w:val="000000"/>
          <w:sz w:val="24"/>
          <w:u w:val="single"/>
        </w:rPr>
        <w:t>Batch</w:t>
      </w:r>
      <w:r>
        <w:rPr>
          <w:color w:val="000000"/>
        </w:rPr>
        <w:t xml:space="preserve">” </w:t>
      </w:r>
      <w:r>
        <w:rPr>
          <w:rFonts w:ascii="Times New Roman;sans-serif" w:hAnsi="Times New Roman;sans-serif"/>
          <w:b w:val="false"/>
          <w:color w:val="000000"/>
          <w:sz w:val="24"/>
        </w:rPr>
        <w:t>means the Product Manufactured from a single run of a Manufacturing campaign hereunder. For clarity, any given Manufacturing campaign may contain a single Batch or several Batches.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1.14.</w:t>
      </w:r>
      <w:r>
        <w:rPr>
          <w:color w:val="000000"/>
        </w:rPr>
        <w:t>“</w:t>
      </w:r>
      <w:r>
        <w:rPr>
          <w:rFonts w:ascii="Times New Roman;sans-serif" w:hAnsi="Times New Roman;sans-serif"/>
          <w:b w:val="false"/>
          <w:color w:val="000000"/>
          <w:sz w:val="24"/>
          <w:u w:val="single"/>
        </w:rPr>
        <w:t>Binding Forecast</w:t>
      </w:r>
      <w:r>
        <w:rPr>
          <w:color w:val="000000"/>
        </w:rPr>
        <w:t xml:space="preserve">” </w:t>
      </w:r>
      <w:r>
        <w:rPr>
          <w:rFonts w:ascii="Times New Roman;sans-serif" w:hAnsi="Times New Roman;sans-serif"/>
          <w:b w:val="false"/>
          <w:color w:val="000000"/>
          <w:sz w:val="24"/>
        </w:rPr>
        <w:t>has the meaning specified in Section 5.1;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1.15.</w:t>
      </w: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 day other than a Saturday, Sunday or a day that is a statutory holiday in Hovione’s resident jurisdiction, Ardelyx’s resident jurisdiction, or the jurisdiction where the applicable Manufacturing Site is located;</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1.16.</w:t>
      </w:r>
      <w:r>
        <w:rPr>
          <w:color w:val="000000"/>
        </w:rPr>
        <w:t>“</w:t>
      </w:r>
      <w:r>
        <w:rPr>
          <w:rFonts w:ascii="Times New Roman;sans-serif" w:hAnsi="Times New Roman;sans-serif"/>
          <w:b w:val="false"/>
          <w:color w:val="000000"/>
          <w:sz w:val="24"/>
          <w:u w:val="single"/>
        </w:rPr>
        <w:t>Business Need</w:t>
      </w:r>
      <w:r>
        <w:rPr>
          <w:color w:val="000000"/>
        </w:rPr>
        <w:t xml:space="preserve">” </w:t>
      </w:r>
      <w:r>
        <w:rPr>
          <w:rFonts w:ascii="Times New Roman;sans-serif" w:hAnsi="Times New Roman;sans-serif"/>
          <w:b w:val="false"/>
          <w:color w:val="000000"/>
          <w:sz w:val="24"/>
        </w:rPr>
        <w:t xml:space="preserve">means a decision by Ardelyx to reduce or cease Manufacture of Product in connection with major changes to its business strategy or Product markets, substantively unrelated to any breaches or failures of Hovione as otherwise regulated herein. Business Need may include, by way of example and not limitation, significant changes to Licensee arrangements or Licensee demand, or a significant reduction in the market for the Product in a jurisdiction of the Territory.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1.17.</w:t>
      </w:r>
      <w:r>
        <w:rPr>
          <w:color w:val="000000"/>
        </w:rPr>
        <w:t>“</w:t>
      </w:r>
      <w:r>
        <w:rPr>
          <w:rFonts w:ascii="Times New Roman;sans-serif" w:hAnsi="Times New Roman;sans-serif"/>
          <w:b w:val="false"/>
          <w:color w:val="000000"/>
          <w:sz w:val="24"/>
          <w:u w:val="single"/>
        </w:rPr>
        <w:t>cGMPs</w:t>
      </w:r>
      <w:r>
        <w:rPr>
          <w:color w:val="000000"/>
        </w:rPr>
        <w:t xml:space="preserve">” </w:t>
      </w:r>
      <w:r>
        <w:rPr>
          <w:rFonts w:ascii="Times New Roman;sans-serif" w:hAnsi="Times New Roman;sans-serif"/>
          <w:b w:val="false"/>
          <w:color w:val="000000"/>
          <w:sz w:val="24"/>
        </w:rPr>
        <w:t>means the principles described in ICH Q7 Good Manufacturing Guidance for Active Pharmaceutical Ingredients, as promulgated (i) in the United States under Parts 210 and 211 of Title 21 of the United States Code of Federal Regulations, and (ii) under the corresponding pharmaceutical manufacturing Laws and guidances issued by any other Regulatory Authority in the Territory;</w:t>
      </w:r>
    </w:p>
    <w:p>
      <w:pPr>
        <w:pStyle w:val="TextBody"/>
        <w:bidi w:val="0"/>
        <w:spacing w:before="120" w:after="24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3" name="Frame8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1.18.</w:t>
      </w:r>
      <w:r>
        <w:rPr>
          <w:color w:val="000000"/>
        </w:rPr>
        <w:t>“</w:t>
      </w:r>
      <w:r>
        <w:rPr>
          <w:rFonts w:ascii="Times New Roman;sans-serif" w:hAnsi="Times New Roman;sans-serif"/>
          <w:b w:val="false"/>
          <w:color w:val="000000"/>
          <w:sz w:val="24"/>
          <w:u w:val="single"/>
        </w:rPr>
        <w:t>Commercially Reasonable Efforts</w:t>
      </w:r>
      <w:r>
        <w:rPr>
          <w:color w:val="000000"/>
        </w:rPr>
        <w:t xml:space="preserve">” </w:t>
      </w:r>
      <w:r>
        <w:rPr>
          <w:rFonts w:ascii="Times New Roman;sans-serif" w:hAnsi="Times New Roman;sans-serif"/>
          <w:b w:val="false"/>
          <w:color w:val="000000"/>
          <w:sz w:val="24"/>
        </w:rPr>
        <w:t>means, with respect to the efforts to be expended by either Party with respect to any objective, such commercially reasonable, diligent efforts as such Party would normally use to accomplish a similar objective under similar commercial circumstances as expeditiously as possible, which will take into consideration such Party’s existing prior and conflicting obligations to third parties;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1.19.</w:t>
      </w:r>
      <w:r>
        <w:rPr>
          <w:color w:val="000000"/>
        </w:rPr>
        <w:t>“</w:t>
      </w:r>
      <w:r>
        <w:rPr>
          <w:rFonts w:ascii="Times New Roman;sans-serif" w:hAnsi="Times New Roman;sans-serif"/>
          <w:b w:val="false"/>
          <w:color w:val="000000"/>
          <w:sz w:val="24"/>
          <w:u w:val="single"/>
        </w:rPr>
        <w:t>Components</w:t>
      </w:r>
      <w:r>
        <w:rPr>
          <w:color w:val="000000"/>
        </w:rPr>
        <w:t xml:space="preserve">” </w:t>
      </w:r>
      <w:r>
        <w:rPr>
          <w:rFonts w:ascii="Times New Roman;sans-serif" w:hAnsi="Times New Roman;sans-serif"/>
          <w:b w:val="false"/>
          <w:color w:val="000000"/>
          <w:sz w:val="24"/>
        </w:rPr>
        <w:t>means, collectively, all raw materials, ingredients, reference standards, impurity markers and other materials required to manufacture Product in accordance with the Processing Instructions, other than the API;</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1.20.</w:t>
      </w:r>
      <w:r>
        <w:rPr>
          <w:color w:val="000000"/>
        </w:rPr>
        <w:t>“</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has the meaning specified in Section 12;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1.21.</w:t>
      </w:r>
      <w:r>
        <w:rPr>
          <w:color w:val="000000"/>
        </w:rPr>
        <w:t>“</w:t>
      </w:r>
      <w:r>
        <w:rPr>
          <w:rFonts w:ascii="Times New Roman;sans-serif" w:hAnsi="Times New Roman;sans-serif"/>
          <w:b w:val="false"/>
          <w:color w:val="000000"/>
          <w:sz w:val="24"/>
          <w:u w:val="single"/>
        </w:rPr>
        <w:t>Contract Year</w:t>
      </w:r>
      <w:r>
        <w:rPr>
          <w:color w:val="000000"/>
        </w:rPr>
        <w:t xml:space="preserve">” </w:t>
      </w:r>
      <w:r>
        <w:rPr>
          <w:rFonts w:ascii="Times New Roman;sans-serif" w:hAnsi="Times New Roman;sans-serif"/>
          <w:b w:val="false"/>
          <w:color w:val="000000"/>
          <w:sz w:val="24"/>
        </w:rPr>
        <w:t>means the twelve (12) month period commencing on the Effective Date and ending on the day before the first anniversary thereof and each consecutive twelve (12) month period thereafter during the Term;</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1.22.</w:t>
      </w:r>
      <w:r>
        <w:rPr>
          <w:color w:val="000000"/>
        </w:rPr>
        <w:t>“</w:t>
      </w:r>
      <w:r>
        <w:rPr>
          <w:rFonts w:ascii="Times New Roman;sans-serif" w:hAnsi="Times New Roman;sans-serif"/>
          <w:b w:val="false"/>
          <w:color w:val="000000"/>
          <w:sz w:val="24"/>
        </w:rPr>
        <w:t>[***]” has the meaning specified in Section 6.4;</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1.23.</w:t>
      </w:r>
      <w:r>
        <w:rPr>
          <w:color w:val="000000"/>
        </w:rPr>
        <w:t>“</w:t>
      </w:r>
      <w:r>
        <w:rPr>
          <w:rFonts w:ascii="Times New Roman;sans-serif" w:hAnsi="Times New Roman;sans-serif"/>
          <w:b w:val="false"/>
          <w:color w:val="000000"/>
          <w:sz w:val="24"/>
          <w:u w:val="single"/>
        </w:rPr>
        <w:t>Deficient Product</w:t>
      </w:r>
      <w:r>
        <w:rPr>
          <w:color w:val="000000"/>
        </w:rPr>
        <w:t xml:space="preserve">” </w:t>
      </w:r>
      <w:r>
        <w:rPr>
          <w:rFonts w:ascii="Times New Roman;sans-serif" w:hAnsi="Times New Roman;sans-serif"/>
          <w:b w:val="false"/>
          <w:color w:val="000000"/>
          <w:sz w:val="24"/>
        </w:rPr>
        <w:t>has the meaning specified in Section 6.2;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1.24.</w:t>
      </w:r>
      <w:r>
        <w:rPr>
          <w:color w:val="000000"/>
        </w:rPr>
        <w:t>“</w:t>
      </w:r>
      <w:r>
        <w:rPr>
          <w:rFonts w:ascii="Times New Roman;sans-serif" w:hAnsi="Times New Roman;sans-serif"/>
          <w:b w:val="false"/>
          <w:color w:val="000000"/>
          <w:sz w:val="24"/>
          <w:u w:val="single"/>
        </w:rPr>
        <w:t>Deficiency</w:t>
      </w:r>
      <w:r>
        <w:rPr>
          <w:color w:val="000000"/>
        </w:rPr>
        <w:t xml:space="preserve">” </w:t>
      </w:r>
      <w:r>
        <w:rPr>
          <w:rFonts w:ascii="Times New Roman;sans-serif" w:hAnsi="Times New Roman;sans-serif"/>
          <w:b w:val="false"/>
          <w:color w:val="000000"/>
          <w:sz w:val="24"/>
        </w:rPr>
        <w:t>has the meaning specified in Section 7.6.2;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1.25.</w:t>
      </w:r>
      <w:r>
        <w:rPr>
          <w:color w:val="000000"/>
        </w:rPr>
        <w:t>“</w:t>
      </w:r>
      <w:r>
        <w:rPr>
          <w:rFonts w:ascii="Times New Roman;sans-serif" w:hAnsi="Times New Roman;sans-serif"/>
          <w:b w:val="false"/>
          <w:color w:val="000000"/>
          <w:sz w:val="24"/>
          <w:u w:val="single"/>
        </w:rPr>
        <w:t>Delivery Date</w:t>
      </w:r>
      <w:r>
        <w:rPr>
          <w:color w:val="000000"/>
        </w:rPr>
        <w:t xml:space="preserve">” </w:t>
      </w:r>
      <w:r>
        <w:rPr>
          <w:rFonts w:ascii="Times New Roman;sans-serif" w:hAnsi="Times New Roman;sans-serif"/>
          <w:b w:val="false"/>
          <w:color w:val="000000"/>
          <w:sz w:val="24"/>
        </w:rPr>
        <w:t>means in relation to each Batch of Product, the scheduled date of the Hovione Release (by confirmation or certification, as agreed in the Quality Agreement) and made available for shipment [***], as confirmed by Hovione upon receipt of a Firm Order;</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1.26.</w:t>
      </w:r>
      <w:r>
        <w:rPr>
          <w:color w:val="000000"/>
        </w:rPr>
        <w:t>“</w:t>
      </w:r>
      <w:r>
        <w:rPr>
          <w:rFonts w:ascii="Times New Roman;sans-serif" w:hAnsi="Times New Roman;sans-serif"/>
          <w:b w:val="false"/>
          <w:color w:val="000000"/>
          <w:sz w:val="24"/>
          <w:u w:val="single"/>
        </w:rPr>
        <w:t>Development Services</w:t>
      </w:r>
      <w:r>
        <w:rPr>
          <w:color w:val="000000"/>
        </w:rPr>
        <w:t xml:space="preserve">” </w:t>
      </w:r>
      <w:r>
        <w:rPr>
          <w:rFonts w:ascii="Times New Roman;sans-serif" w:hAnsi="Times New Roman;sans-serif"/>
          <w:b w:val="false"/>
          <w:color w:val="000000"/>
          <w:sz w:val="24"/>
        </w:rPr>
        <w:t xml:space="preserve">means any pharmaceutical research or development services for the Product, including without limitation the manufacture of Product validation batches, performed by Hovione for Ardelyx under the Development Agreement, whether before or after the Effective Date and throughout the Term;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1.27.</w:t>
      </w:r>
      <w:r>
        <w:rPr>
          <w:color w:val="000000"/>
        </w:rPr>
        <w:t>“</w:t>
      </w:r>
      <w:r>
        <w:rPr>
          <w:rFonts w:ascii="Times New Roman;sans-serif" w:hAnsi="Times New Roman;sans-serif"/>
          <w:b w:val="false"/>
          <w:color w:val="000000"/>
          <w:sz w:val="24"/>
          <w:u w:val="single"/>
        </w:rPr>
        <w:t>Discloser</w:t>
      </w:r>
      <w:r>
        <w:rPr>
          <w:color w:val="000000"/>
        </w:rPr>
        <w:t xml:space="preserve">” </w:t>
      </w:r>
      <w:r>
        <w:rPr>
          <w:rFonts w:ascii="Times New Roman;sans-serif" w:hAnsi="Times New Roman;sans-serif"/>
          <w:b w:val="false"/>
          <w:color w:val="000000"/>
          <w:sz w:val="24"/>
        </w:rPr>
        <w:t>has the meaning specified in Section 12;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1.28.</w:t>
      </w:r>
      <w:r>
        <w:rPr>
          <w:color w:val="000000"/>
        </w:rPr>
        <w:t>“</w:t>
      </w:r>
      <w:r>
        <w:rPr>
          <w:rFonts w:ascii="Times New Roman;sans-serif" w:hAnsi="Times New Roman;sans-serif"/>
          <w:b w:val="false"/>
          <w:color w:val="000000"/>
          <w:sz w:val="24"/>
          <w:u w:val="single"/>
        </w:rPr>
        <w:t>Equipment</w:t>
      </w:r>
      <w:r>
        <w:rPr>
          <w:color w:val="000000"/>
        </w:rPr>
        <w:t xml:space="preserve">” </w:t>
      </w:r>
      <w:r>
        <w:rPr>
          <w:rFonts w:ascii="Times New Roman;sans-serif" w:hAnsi="Times New Roman;sans-serif"/>
          <w:b w:val="false"/>
          <w:color w:val="000000"/>
          <w:sz w:val="24"/>
        </w:rPr>
        <w:t>has the meaning specified in Section 2.5;</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1.29.</w:t>
      </w:r>
      <w:r>
        <w:rPr>
          <w:color w:val="000000"/>
        </w:rPr>
        <w:t>“</w:t>
      </w:r>
      <w:r>
        <w:rPr>
          <w:rFonts w:ascii="Times New Roman;sans-serif" w:hAnsi="Times New Roman;sans-serif"/>
          <w:b w:val="false"/>
          <w:color w:val="000000"/>
          <w:sz w:val="24"/>
          <w:u w:val="single"/>
        </w:rPr>
        <w:t>Equipment Agreement</w:t>
      </w:r>
      <w:r>
        <w:rPr>
          <w:color w:val="000000"/>
        </w:rPr>
        <w:t xml:space="preserve">” </w:t>
      </w:r>
      <w:r>
        <w:rPr>
          <w:rFonts w:ascii="Times New Roman;sans-serif" w:hAnsi="Times New Roman;sans-serif"/>
          <w:b w:val="false"/>
          <w:color w:val="000000"/>
          <w:sz w:val="24"/>
        </w:rPr>
        <w:t>has the meaning specified in Section 2.5;</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1.30.</w:t>
      </w:r>
      <w:r>
        <w:rPr>
          <w:color w:val="000000"/>
        </w:rPr>
        <w:t>“</w:t>
      </w:r>
      <w:r>
        <w:rPr>
          <w:rFonts w:ascii="Times New Roman;sans-serif" w:hAnsi="Times New Roman;sans-serif"/>
          <w:b w:val="false"/>
          <w:color w:val="000000"/>
          <w:sz w:val="24"/>
          <w:u w:val="single"/>
        </w:rPr>
        <w:t>Fault</w:t>
      </w:r>
      <w:r>
        <w:rPr>
          <w:color w:val="000000"/>
        </w:rPr>
        <w:t xml:space="preserve">” </w:t>
      </w:r>
      <w:r>
        <w:rPr>
          <w:rFonts w:ascii="Times New Roman;sans-serif" w:hAnsi="Times New Roman;sans-serif"/>
          <w:b w:val="false"/>
          <w:color w:val="000000"/>
          <w:sz w:val="24"/>
        </w:rPr>
        <w:t>means a Party’s (a) [***], (b) [***] or (c)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1.31.</w:t>
      </w:r>
      <w:r>
        <w:rPr>
          <w:color w:val="000000"/>
        </w:rPr>
        <w:t>“</w:t>
      </w:r>
      <w:r>
        <w:rPr>
          <w:rFonts w:ascii="Times New Roman;sans-serif" w:hAnsi="Times New Roman;sans-serif"/>
          <w:b w:val="false"/>
          <w:color w:val="000000"/>
          <w:sz w:val="24"/>
          <w:u w:val="single"/>
        </w:rPr>
        <w:t>FDA</w:t>
      </w:r>
      <w:r>
        <w:rPr>
          <w:color w:val="000000"/>
        </w:rPr>
        <w:t xml:space="preserve">” </w:t>
      </w:r>
      <w:r>
        <w:rPr>
          <w:rFonts w:ascii="Times New Roman;sans-serif" w:hAnsi="Times New Roman;sans-serif"/>
          <w:b w:val="false"/>
          <w:color w:val="000000"/>
          <w:sz w:val="24"/>
        </w:rPr>
        <w:t xml:space="preserve">means the United States Food and Drug Administration;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1.32.</w:t>
      </w:r>
      <w:r>
        <w:rPr>
          <w:color w:val="000000"/>
        </w:rPr>
        <w:t>“</w:t>
      </w:r>
      <w:r>
        <w:rPr>
          <w:rFonts w:ascii="Times New Roman;sans-serif" w:hAnsi="Times New Roman;sans-serif"/>
          <w:b w:val="false"/>
          <w:color w:val="000000"/>
          <w:sz w:val="24"/>
          <w:u w:val="single"/>
        </w:rPr>
        <w:t>FFDCA</w:t>
      </w:r>
      <w:r>
        <w:rPr>
          <w:color w:val="000000"/>
        </w:rPr>
        <w:t xml:space="preserve">” </w:t>
      </w:r>
      <w:r>
        <w:rPr>
          <w:rFonts w:ascii="Times New Roman;sans-serif" w:hAnsi="Times New Roman;sans-serif"/>
          <w:b w:val="false"/>
          <w:color w:val="000000"/>
          <w:sz w:val="24"/>
        </w:rPr>
        <w:t xml:space="preserve">means the United States Federal Food, Drug, and Cosmetic Act, 21 USC §§ 301 et seq.;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1.33.</w:t>
      </w:r>
      <w:r>
        <w:rPr>
          <w:color w:val="000000"/>
        </w:rPr>
        <w:t>“</w:t>
      </w:r>
      <w:r>
        <w:rPr>
          <w:rFonts w:ascii="Times New Roman;sans-serif" w:hAnsi="Times New Roman;sans-serif"/>
          <w:b w:val="false"/>
          <w:color w:val="000000"/>
          <w:sz w:val="24"/>
          <w:u w:val="single"/>
        </w:rPr>
        <w:t>Final Invoice</w:t>
      </w:r>
      <w:r>
        <w:rPr>
          <w:color w:val="000000"/>
        </w:rPr>
        <w:t xml:space="preserve">” </w:t>
      </w:r>
      <w:r>
        <w:rPr>
          <w:rFonts w:ascii="Times New Roman;sans-serif" w:hAnsi="Times New Roman;sans-serif"/>
          <w:b w:val="false"/>
          <w:color w:val="000000"/>
          <w:sz w:val="24"/>
        </w:rPr>
        <w:t>has the meaning specified in Section 8.3.2;</w:t>
      </w:r>
    </w:p>
    <w:p>
      <w:pPr>
        <w:pStyle w:val="TextBody"/>
        <w:bidi w:val="0"/>
        <w:spacing w:before="120" w:after="24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4" name="Frame8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1.34.</w:t>
      </w:r>
      <w:r>
        <w:rPr>
          <w:color w:val="000000"/>
        </w:rPr>
        <w:t>“</w:t>
      </w:r>
      <w:r>
        <w:rPr>
          <w:rFonts w:ascii="Times New Roman;sans-serif" w:hAnsi="Times New Roman;sans-serif"/>
          <w:b w:val="false"/>
          <w:color w:val="000000"/>
          <w:sz w:val="24"/>
          <w:u w:val="single"/>
        </w:rPr>
        <w:t>Firm Order</w:t>
      </w:r>
      <w:r>
        <w:rPr>
          <w:color w:val="000000"/>
        </w:rPr>
        <w:t xml:space="preserve">” </w:t>
      </w:r>
      <w:r>
        <w:rPr>
          <w:rFonts w:ascii="Times New Roman;sans-serif" w:hAnsi="Times New Roman;sans-serif"/>
          <w:b w:val="false"/>
          <w:color w:val="000000"/>
          <w:sz w:val="24"/>
        </w:rPr>
        <w:t>has the meaning specified in Section 5.3;</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1.35.</w:t>
      </w:r>
      <w:r>
        <w:rPr>
          <w:color w:val="000000"/>
        </w:rPr>
        <w:t>“</w:t>
      </w:r>
      <w:r>
        <w:rPr>
          <w:rFonts w:ascii="Times New Roman;sans-serif" w:hAnsi="Times New Roman;sans-serif"/>
          <w:b w:val="false"/>
          <w:color w:val="000000"/>
          <w:sz w:val="24"/>
          <w:u w:val="single"/>
        </w:rPr>
        <w:t>Forecast</w:t>
      </w:r>
      <w:r>
        <w:rPr>
          <w:color w:val="000000"/>
        </w:rPr>
        <w:t xml:space="preserve">” </w:t>
      </w:r>
      <w:r>
        <w:rPr>
          <w:rFonts w:ascii="Times New Roman;sans-serif" w:hAnsi="Times New Roman;sans-serif"/>
          <w:b w:val="false"/>
          <w:color w:val="000000"/>
          <w:sz w:val="24"/>
        </w:rPr>
        <w:t>has the meaning specified in Section 5.1;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1.36.</w:t>
      </w:r>
      <w:r>
        <w:rPr>
          <w:color w:val="000000"/>
        </w:rPr>
        <w:t>“</w:t>
      </w:r>
      <w:r>
        <w:rPr>
          <w:rFonts w:ascii="Times New Roman;sans-serif" w:hAnsi="Times New Roman;sans-serif"/>
          <w:b w:val="false"/>
          <w:color w:val="000000"/>
          <w:sz w:val="24"/>
          <w:u w:val="single"/>
        </w:rPr>
        <w:t>Hovione Background IP</w:t>
      </w:r>
      <w:r>
        <w:rPr>
          <w:color w:val="000000"/>
        </w:rPr>
        <w:t xml:space="preserve">” </w:t>
      </w:r>
      <w:r>
        <w:rPr>
          <w:rFonts w:ascii="Times New Roman;sans-serif" w:hAnsi="Times New Roman;sans-serif"/>
          <w:b w:val="false"/>
          <w:color w:val="000000"/>
          <w:sz w:val="24"/>
        </w:rPr>
        <w:t>means Intellectual Property owned or controlled by Hovione and developed or obtained independently of this Agreement, whether before or after the Effective Date; for clarity, Hovione Background IP specifically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1.37.</w:t>
      </w:r>
      <w:r>
        <w:rPr>
          <w:color w:val="000000"/>
        </w:rPr>
        <w:t>“</w:t>
      </w:r>
      <w:r>
        <w:rPr>
          <w:rFonts w:ascii="Times New Roman;sans-serif" w:hAnsi="Times New Roman;sans-serif"/>
          <w:b w:val="false"/>
          <w:color w:val="000000"/>
          <w:sz w:val="24"/>
          <w:u w:val="single"/>
        </w:rPr>
        <w:t>Hovione Inventions</w:t>
      </w:r>
      <w:r>
        <w:rPr>
          <w:color w:val="000000"/>
        </w:rPr>
        <w:t xml:space="preserve">” </w:t>
      </w:r>
      <w:r>
        <w:rPr>
          <w:rFonts w:ascii="Times New Roman;sans-serif" w:hAnsi="Times New Roman;sans-serif"/>
          <w:b w:val="false"/>
          <w:color w:val="000000"/>
          <w:sz w:val="24"/>
        </w:rPr>
        <w:t>has the meaning specified in Section 13.4;</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1.38.</w:t>
      </w:r>
      <w:r>
        <w:rPr>
          <w:color w:val="000000"/>
        </w:rPr>
        <w:t>“</w:t>
      </w:r>
      <w:r>
        <w:rPr>
          <w:rFonts w:ascii="Times New Roman;sans-serif" w:hAnsi="Times New Roman;sans-serif"/>
          <w:b w:val="false"/>
          <w:color w:val="000000"/>
          <w:sz w:val="24"/>
          <w:u w:val="single"/>
        </w:rPr>
        <w:t>Hovione Release</w:t>
      </w:r>
      <w:r>
        <w:rPr>
          <w:color w:val="000000"/>
        </w:rPr>
        <w:t xml:space="preserve">” </w:t>
      </w:r>
      <w:r>
        <w:rPr>
          <w:rFonts w:ascii="Times New Roman;sans-serif" w:hAnsi="Times New Roman;sans-serif"/>
          <w:b w:val="false"/>
          <w:color w:val="000000"/>
          <w:sz w:val="24"/>
        </w:rPr>
        <w:t>has the meaning specified in Section 5.5;</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1.39.</w:t>
      </w:r>
      <w:r>
        <w:rPr>
          <w:color w:val="000000"/>
        </w:rPr>
        <w:t>“</w:t>
      </w:r>
      <w:r>
        <w:rPr>
          <w:rFonts w:ascii="Times New Roman;sans-serif" w:hAnsi="Times New Roman;sans-serif"/>
          <w:b w:val="false"/>
          <w:color w:val="000000"/>
          <w:sz w:val="24"/>
          <w:u w:val="single"/>
        </w:rPr>
        <w:t>Indemnitee</w:t>
      </w:r>
      <w:r>
        <w:rPr>
          <w:color w:val="000000"/>
        </w:rPr>
        <w:t xml:space="preserve">” </w:t>
      </w:r>
      <w:r>
        <w:rPr>
          <w:rFonts w:ascii="Times New Roman;sans-serif" w:hAnsi="Times New Roman;sans-serif"/>
          <w:b w:val="false"/>
          <w:color w:val="000000"/>
          <w:sz w:val="24"/>
        </w:rPr>
        <w:t xml:space="preserve">has the meaning specified in Section 11.3;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1.40.</w:t>
      </w:r>
      <w:r>
        <w:rPr>
          <w:color w:val="000000"/>
        </w:rPr>
        <w:t>“</w:t>
      </w:r>
      <w:r>
        <w:rPr>
          <w:rFonts w:ascii="Times New Roman;sans-serif" w:hAnsi="Times New Roman;sans-serif"/>
          <w:b w:val="false"/>
          <w:color w:val="000000"/>
          <w:sz w:val="24"/>
          <w:u w:val="single"/>
        </w:rPr>
        <w:t>Indemnitor</w:t>
      </w:r>
      <w:r>
        <w:rPr>
          <w:color w:val="000000"/>
        </w:rPr>
        <w:t xml:space="preserve">” </w:t>
      </w:r>
      <w:r>
        <w:rPr>
          <w:rFonts w:ascii="Times New Roman;sans-serif" w:hAnsi="Times New Roman;sans-serif"/>
          <w:b w:val="false"/>
          <w:color w:val="000000"/>
          <w:sz w:val="24"/>
        </w:rPr>
        <w:t>has the meaning specified in Section 11.3;</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1.41.</w:t>
      </w:r>
      <w:r>
        <w:rPr>
          <w:color w:val="000000"/>
        </w:rPr>
        <w:t>“</w:t>
      </w:r>
      <w:r>
        <w:rPr>
          <w:rFonts w:ascii="Times New Roman;sans-serif" w:hAnsi="Times New Roman;sans-serif"/>
          <w:b w:val="false"/>
          <w:color w:val="000000"/>
          <w:sz w:val="24"/>
          <w:u w:val="single"/>
        </w:rPr>
        <w:t>Initial Term</w:t>
      </w:r>
      <w:r>
        <w:rPr>
          <w:color w:val="000000"/>
        </w:rPr>
        <w:t xml:space="preserve">” </w:t>
      </w:r>
      <w:r>
        <w:rPr>
          <w:rFonts w:ascii="Times New Roman;sans-serif" w:hAnsi="Times New Roman;sans-serif"/>
          <w:b w:val="false"/>
          <w:color w:val="000000"/>
          <w:sz w:val="24"/>
        </w:rPr>
        <w:t>has the meaning specified in Section 8.1;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1.42.</w:t>
      </w:r>
      <w:r>
        <w:rPr>
          <w:color w:val="000000"/>
        </w:rPr>
        <w:t>“</w:t>
      </w:r>
      <w:r>
        <w:rPr>
          <w:rFonts w:ascii="Times New Roman;sans-serif" w:hAnsi="Times New Roman;sans-serif"/>
          <w:b w:val="false"/>
          <w:color w:val="000000"/>
          <w:sz w:val="24"/>
          <w:u w:val="single"/>
        </w:rPr>
        <w:t>Intellectual Property</w:t>
      </w:r>
      <w:r>
        <w:rPr>
          <w:color w:val="000000"/>
        </w:rPr>
        <w:t xml:space="preserve">” </w:t>
      </w:r>
      <w:r>
        <w:rPr>
          <w:rFonts w:ascii="Times New Roman;sans-serif" w:hAnsi="Times New Roman;sans-serif"/>
          <w:b w:val="false"/>
          <w:color w:val="000000"/>
          <w:sz w:val="24"/>
        </w:rPr>
        <w:t xml:space="preserve">means any rights in patents, patent applications, formulae, trademarks, trademark applications, trade-names, Inventions, copyrights, industrial designs, trade secrets, and know how;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1.43.</w:t>
      </w:r>
      <w:r>
        <w:rPr>
          <w:color w:val="000000"/>
        </w:rPr>
        <w:t>“</w:t>
      </w:r>
      <w:r>
        <w:rPr>
          <w:rFonts w:ascii="Times New Roman;sans-serif" w:hAnsi="Times New Roman;sans-serif"/>
          <w:b w:val="false"/>
          <w:color w:val="000000"/>
          <w:sz w:val="24"/>
          <w:u w:val="single"/>
        </w:rPr>
        <w:t>Invention</w:t>
      </w:r>
      <w:r>
        <w:rPr>
          <w:color w:val="000000"/>
        </w:rPr>
        <w:t xml:space="preserve">” </w:t>
      </w:r>
      <w:r>
        <w:rPr>
          <w:rFonts w:ascii="Times New Roman;sans-serif" w:hAnsi="Times New Roman;sans-serif"/>
          <w:b w:val="false"/>
          <w:color w:val="000000"/>
          <w:sz w:val="24"/>
        </w:rPr>
        <w:t xml:space="preserve">means any innovation, improvement, development, discovery, computer program, device, trade secret, method, process, technique or the like, whether or not written or otherwise fixed in any form or medium, regardless of the media on which it is contained and whether or not patentable or copyrightable;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1.44.</w:t>
      </w:r>
      <w:r>
        <w:rPr>
          <w:color w:val="000000"/>
        </w:rPr>
        <w:t>“</w:t>
      </w:r>
      <w:r>
        <w:rPr>
          <w:rFonts w:ascii="Times New Roman;sans-serif" w:hAnsi="Times New Roman;sans-serif"/>
          <w:b w:val="false"/>
          <w:color w:val="000000"/>
          <w:sz w:val="24"/>
          <w:u w:val="single"/>
        </w:rPr>
        <w:t>Inventory</w:t>
      </w:r>
      <w:r>
        <w:rPr>
          <w:color w:val="000000"/>
        </w:rPr>
        <w:t xml:space="preserve">” </w:t>
      </w:r>
      <w:r>
        <w:rPr>
          <w:rFonts w:ascii="Times New Roman;sans-serif" w:hAnsi="Times New Roman;sans-serif"/>
          <w:b w:val="false"/>
          <w:color w:val="000000"/>
          <w:sz w:val="24"/>
        </w:rPr>
        <w:t>means, at a point in time, all inventories under Hovione’s care or control of Product, API, Components, intermediates used for the manufacture of Product and work-in-process;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1.45.</w:t>
      </w:r>
      <w:r>
        <w:rPr>
          <w:color w:val="000000"/>
        </w:rPr>
        <w:t>“</w:t>
      </w:r>
      <w:r>
        <w:rPr>
          <w:rFonts w:ascii="Times New Roman;sans-serif" w:hAnsi="Times New Roman;sans-serif"/>
          <w:b w:val="false"/>
          <w:color w:val="000000"/>
          <w:sz w:val="24"/>
        </w:rPr>
        <w:t>[***]” has the meaning specified in Section 6.2;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1.46.</w:t>
      </w:r>
      <w:r>
        <w:rPr>
          <w:color w:val="000000"/>
        </w:rPr>
        <w:t>“</w:t>
      </w:r>
      <w:r>
        <w:rPr>
          <w:rFonts w:ascii="Times New Roman;sans-serif" w:hAnsi="Times New Roman;sans-serif"/>
          <w:b w:val="false"/>
          <w:color w:val="000000"/>
          <w:sz w:val="24"/>
          <w:u w:val="single"/>
        </w:rPr>
        <w:t>Laws</w:t>
      </w:r>
      <w:r>
        <w:rPr>
          <w:color w:val="000000"/>
        </w:rPr>
        <w:t xml:space="preserve">” </w:t>
      </w:r>
      <w:r>
        <w:rPr>
          <w:rFonts w:ascii="Times New Roman;sans-serif" w:hAnsi="Times New Roman;sans-serif"/>
          <w:b w:val="false"/>
          <w:color w:val="000000"/>
          <w:sz w:val="24"/>
        </w:rPr>
        <w:t>means all laws (including common law), statutes, ordinances, regulations, rules, by-laws, judgments, decrees or orders of any Regulatory Authority;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1.47.</w:t>
      </w:r>
      <w:r>
        <w:rPr>
          <w:color w:val="000000"/>
        </w:rPr>
        <w:t>“</w:t>
      </w:r>
      <w:r>
        <w:rPr>
          <w:rFonts w:ascii="Times New Roman;sans-serif" w:hAnsi="Times New Roman;sans-serif"/>
          <w:b w:val="false"/>
          <w:color w:val="000000"/>
          <w:sz w:val="24"/>
          <w:u w:val="single"/>
        </w:rPr>
        <w:t>Licensees</w:t>
      </w:r>
      <w:r>
        <w:rPr>
          <w:color w:val="000000"/>
        </w:rPr>
        <w:t xml:space="preserve">” </w:t>
      </w:r>
      <w:r>
        <w:rPr>
          <w:rFonts w:ascii="Times New Roman;sans-serif" w:hAnsi="Times New Roman;sans-serif"/>
          <w:b w:val="false"/>
          <w:color w:val="000000"/>
          <w:sz w:val="24"/>
        </w:rPr>
        <w:t>means any person to whom Ardelyx has entered into a license agreement for the marketing, sale or distribution of the Product in any form;</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1.48.</w:t>
      </w:r>
      <w:r>
        <w:rPr>
          <w:color w:val="000000"/>
        </w:rPr>
        <w:t>“</w:t>
      </w:r>
      <w:r>
        <w:rPr>
          <w:rFonts w:ascii="Times New Roman;sans-serif" w:hAnsi="Times New Roman;sans-serif"/>
          <w:b w:val="false"/>
          <w:color w:val="000000"/>
          <w:sz w:val="24"/>
          <w:u w:val="single"/>
        </w:rPr>
        <w:t>Losses</w:t>
      </w:r>
      <w:r>
        <w:rPr>
          <w:color w:val="000000"/>
        </w:rPr>
        <w:t xml:space="preserve">” </w:t>
      </w:r>
      <w:r>
        <w:rPr>
          <w:rFonts w:ascii="Times New Roman;sans-serif" w:hAnsi="Times New Roman;sans-serif"/>
          <w:b w:val="false"/>
          <w:color w:val="000000"/>
          <w:sz w:val="24"/>
        </w:rPr>
        <w:t>has the meaning specified in Section 11.1;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1.49.</w:t>
      </w:r>
      <w:r>
        <w:rPr>
          <w:color w:val="000000"/>
        </w:rPr>
        <w:t>“</w:t>
      </w:r>
      <w:r>
        <w:rPr>
          <w:rFonts w:ascii="Times New Roman;sans-serif" w:hAnsi="Times New Roman;sans-serif"/>
          <w:b w:val="false"/>
          <w:color w:val="000000"/>
          <w:sz w:val="24"/>
          <w:u w:val="single"/>
        </w:rPr>
        <w:t>Manufacturing Records</w:t>
      </w:r>
      <w:r>
        <w:rPr>
          <w:color w:val="000000"/>
        </w:rPr>
        <w:t xml:space="preserve">” </w:t>
      </w:r>
      <w:r>
        <w:rPr>
          <w:rFonts w:ascii="Times New Roman;sans-serif" w:hAnsi="Times New Roman;sans-serif"/>
          <w:b w:val="false"/>
          <w:color w:val="000000"/>
          <w:sz w:val="24"/>
        </w:rPr>
        <w:t>means, for a shipment of Product, the Batch records, certificate of analysis, certificate of conformity, BSE/TSE certificate and any other documents Specified in Appendix D of the Quality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1.50.</w:t>
      </w:r>
      <w:r>
        <w:rPr>
          <w:color w:val="000000"/>
        </w:rPr>
        <w:t>“</w:t>
      </w:r>
      <w:r>
        <w:rPr>
          <w:rFonts w:ascii="Times New Roman;sans-serif" w:hAnsi="Times New Roman;sans-serif"/>
          <w:b w:val="false"/>
          <w:color w:val="000000"/>
          <w:sz w:val="24"/>
          <w:u w:val="single"/>
        </w:rPr>
        <w:t>Manufacture</w:t>
      </w:r>
      <w:r>
        <w:rPr>
          <w:color w:val="000000"/>
        </w:rPr>
        <w:t xml:space="preserve">” </w:t>
      </w:r>
      <w:r>
        <w:rPr>
          <w:rFonts w:ascii="Times New Roman;sans-serif" w:hAnsi="Times New Roman;sans-serif"/>
          <w:b w:val="false"/>
          <w:color w:val="000000"/>
          <w:sz w:val="24"/>
        </w:rPr>
        <w:t>means performance of any Manufacturing Services.</w:t>
      </w:r>
    </w:p>
    <w:p>
      <w:pPr>
        <w:pStyle w:val="TextBody"/>
        <w:bidi w:val="0"/>
        <w:spacing w:before="120" w:after="24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5" name="Frame8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4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4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1.51.</w:t>
      </w:r>
      <w:r>
        <w:rPr>
          <w:color w:val="000000"/>
        </w:rPr>
        <w:t>“</w:t>
      </w:r>
      <w:r>
        <w:rPr>
          <w:rFonts w:ascii="Times New Roman;sans-serif" w:hAnsi="Times New Roman;sans-serif"/>
          <w:b w:val="false"/>
          <w:color w:val="000000"/>
          <w:sz w:val="24"/>
          <w:u w:val="single"/>
        </w:rPr>
        <w:t>Manufacturing Services</w:t>
      </w:r>
      <w:r>
        <w:rPr>
          <w:color w:val="000000"/>
        </w:rPr>
        <w:t xml:space="preserve">” </w:t>
      </w:r>
      <w:r>
        <w:rPr>
          <w:rFonts w:ascii="Times New Roman;sans-serif" w:hAnsi="Times New Roman;sans-serif"/>
          <w:b w:val="false"/>
          <w:color w:val="000000"/>
          <w:sz w:val="24"/>
        </w:rPr>
        <w:t>means the spray-drying and quality control, quality assurance, stability testing, packaging, and related services for the manufacture of Product;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1.52.</w:t>
      </w:r>
      <w:r>
        <w:rPr>
          <w:color w:val="000000"/>
        </w:rPr>
        <w:t>“</w:t>
      </w:r>
      <w:r>
        <w:rPr>
          <w:rFonts w:ascii="Times New Roman;sans-serif" w:hAnsi="Times New Roman;sans-serif"/>
          <w:b w:val="false"/>
          <w:color w:val="000000"/>
          <w:sz w:val="24"/>
          <w:u w:val="single"/>
        </w:rPr>
        <w:t>Manufacturing Site</w:t>
      </w:r>
      <w:r>
        <w:rPr>
          <w:color w:val="000000"/>
        </w:rPr>
        <w:t xml:space="preserve">” </w:t>
      </w:r>
      <w:r>
        <w:rPr>
          <w:rFonts w:ascii="Times New Roman;sans-serif" w:hAnsi="Times New Roman;sans-serif"/>
          <w:b w:val="false"/>
          <w:color w:val="000000"/>
          <w:sz w:val="24"/>
        </w:rPr>
        <w:t>means the facilities located in Loures, Portugal (the “</w:t>
      </w:r>
      <w:r>
        <w:rPr>
          <w:rFonts w:ascii="Times New Roman;sans-serif" w:hAnsi="Times New Roman;sans-serif"/>
          <w:b w:val="false"/>
          <w:color w:val="000000"/>
          <w:sz w:val="24"/>
          <w:u w:val="single"/>
        </w:rPr>
        <w:t>Original Manufacturing Site</w:t>
      </w:r>
      <w:r>
        <w:rPr>
          <w:color w:val="000000"/>
        </w:rPr>
        <w:t>”</w:t>
      </w:r>
      <w:r>
        <w:rPr>
          <w:rFonts w:ascii="Times New Roman;sans-serif" w:hAnsi="Times New Roman;sans-serif"/>
          <w:b w:val="false"/>
          <w:color w:val="000000"/>
          <w:sz w:val="24"/>
        </w:rPr>
        <w:t>), and East Windsor, New Jersey, U.S.A. (the “</w:t>
      </w:r>
      <w:r>
        <w:rPr>
          <w:rFonts w:ascii="Times New Roman;sans-serif" w:hAnsi="Times New Roman;sans-serif"/>
          <w:b w:val="false"/>
          <w:color w:val="000000"/>
          <w:sz w:val="24"/>
          <w:u w:val="single"/>
        </w:rPr>
        <w:t>New Jersey Site</w:t>
      </w:r>
      <w:r>
        <w:rPr>
          <w:color w:val="000000"/>
        </w:rPr>
        <w:t>”</w:t>
      </w:r>
      <w:r>
        <w:rPr>
          <w:rFonts w:ascii="Times New Roman;sans-serif" w:hAnsi="Times New Roman;sans-serif"/>
          <w:b w:val="false"/>
          <w:color w:val="000000"/>
          <w:sz w:val="24"/>
        </w:rPr>
        <w:t xml:space="preserve">), and any other Hovione site where the Parties agree that Manufacturing Services will be performed;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1.53.</w:t>
      </w:r>
      <w:r>
        <w:rPr>
          <w:color w:val="000000"/>
        </w:rPr>
        <w:t>“</w:t>
      </w:r>
      <w:r>
        <w:rPr>
          <w:rFonts w:ascii="Times New Roman;sans-serif" w:hAnsi="Times New Roman;sans-serif"/>
          <w:b w:val="false"/>
          <w:color w:val="000000"/>
          <w:sz w:val="24"/>
        </w:rPr>
        <w:t>[***]” has the meaning specified in Section 3.3(d);</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1.54.</w:t>
      </w:r>
      <w:r>
        <w:rPr>
          <w:color w:val="000000"/>
        </w:rPr>
        <w:t>“</w:t>
      </w:r>
      <w:r>
        <w:rPr>
          <w:rFonts w:ascii="Times New Roman;sans-serif" w:hAnsi="Times New Roman;sans-serif"/>
          <w:b w:val="false"/>
          <w:color w:val="000000"/>
          <w:sz w:val="24"/>
          <w:u w:val="single"/>
        </w:rPr>
        <w:t>Notice of Termination</w:t>
      </w:r>
      <w:r>
        <w:rPr>
          <w:color w:val="000000"/>
        </w:rPr>
        <w:t xml:space="preserve">” </w:t>
      </w:r>
      <w:r>
        <w:rPr>
          <w:rFonts w:ascii="Times New Roman;sans-serif" w:hAnsi="Times New Roman;sans-serif"/>
          <w:b w:val="false"/>
          <w:color w:val="000000"/>
          <w:sz w:val="24"/>
        </w:rPr>
        <w:t>has the meaning specified in Section 8.1;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1.55.</w:t>
      </w:r>
      <w:r>
        <w:rPr>
          <w:color w:val="000000"/>
        </w:rPr>
        <w:t>“</w:t>
      </w:r>
      <w:r>
        <w:rPr>
          <w:rFonts w:ascii="Times New Roman;sans-serif" w:hAnsi="Times New Roman;sans-serif"/>
          <w:b w:val="false"/>
          <w:color w:val="000000"/>
          <w:sz w:val="24"/>
          <w:u w:val="single"/>
        </w:rPr>
        <w:t>Price</w:t>
      </w:r>
      <w:r>
        <w:rPr>
          <w:color w:val="000000"/>
        </w:rPr>
        <w:t xml:space="preserve">” </w:t>
      </w:r>
      <w:r>
        <w:rPr>
          <w:rFonts w:ascii="Times New Roman;sans-serif" w:hAnsi="Times New Roman;sans-serif"/>
          <w:b w:val="false"/>
          <w:color w:val="000000"/>
          <w:sz w:val="24"/>
        </w:rPr>
        <w:t xml:space="preserve">means, as applicable, (a) the price per kilogram of Manufactured Product delivered to Ardelyx as set out in </w:t>
      </w:r>
      <w:r>
        <w:rPr>
          <w:rFonts w:ascii="Times New Roman;sans-serif" w:hAnsi="Times New Roman;sans-serif"/>
          <w:b w:val="false"/>
          <w:color w:val="000000"/>
          <w:sz w:val="24"/>
          <w:u w:val="single"/>
        </w:rPr>
        <w:t>Appendix 1</w:t>
      </w:r>
      <w:r>
        <w:rPr>
          <w:rFonts w:ascii="Times New Roman;sans-serif" w:hAnsi="Times New Roman;sans-serif"/>
          <w:b w:val="false"/>
          <w:color w:val="000000"/>
          <w:sz w:val="24"/>
        </w:rPr>
        <w:t>; and (b) the separate costs and fees for services requested by Ardelyx and specifically excluded from the cost of the Product, as may be subject to an additional written work order or written agreement that is expressly made subject to the terms and conditions of this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1.56.</w:t>
      </w:r>
      <w:r>
        <w:rPr>
          <w:color w:val="000000"/>
        </w:rPr>
        <w:t>“</w:t>
      </w:r>
      <w:r>
        <w:rPr>
          <w:rFonts w:ascii="Times New Roman;sans-serif" w:hAnsi="Times New Roman;sans-serif"/>
          <w:b w:val="false"/>
          <w:color w:val="000000"/>
          <w:sz w:val="24"/>
          <w:u w:val="single"/>
        </w:rPr>
        <w:t>Process</w:t>
      </w:r>
      <w:r>
        <w:rPr>
          <w:color w:val="000000"/>
        </w:rPr>
        <w:t xml:space="preserve">” </w:t>
      </w:r>
      <w:r>
        <w:rPr>
          <w:rFonts w:ascii="Times New Roman;sans-serif" w:hAnsi="Times New Roman;sans-serif"/>
          <w:b w:val="false"/>
          <w:color w:val="000000"/>
          <w:sz w:val="24"/>
        </w:rPr>
        <w:t>means the process for Manufacture of the Product as reflected in the Processing Instructions, Specifications and Manufacturing Records.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1.57.</w:t>
      </w:r>
      <w:r>
        <w:rPr>
          <w:color w:val="000000"/>
        </w:rPr>
        <w:t>“</w:t>
      </w:r>
      <w:r>
        <w:rPr>
          <w:rFonts w:ascii="Times New Roman;sans-serif" w:hAnsi="Times New Roman;sans-serif"/>
          <w:b w:val="false"/>
          <w:color w:val="000000"/>
          <w:sz w:val="24"/>
          <w:u w:val="single"/>
        </w:rPr>
        <w:t>Processing Instructions</w:t>
      </w:r>
      <w:r>
        <w:rPr>
          <w:color w:val="000000"/>
        </w:rPr>
        <w:t xml:space="preserve">” </w:t>
      </w:r>
      <w:r>
        <w:rPr>
          <w:rFonts w:ascii="Times New Roman;sans-serif" w:hAnsi="Times New Roman;sans-serif"/>
          <w:b w:val="false"/>
          <w:color w:val="000000"/>
          <w:sz w:val="24"/>
        </w:rPr>
        <w:t>means the documented parameters maintained by Hovione for the Manufacturing Services for the Product, each as updated from time to time in accordance with Section 3.2, which includes: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quality control testing methods for API and Components;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master Batch, production and control records, manufacturing instructions, directions, and processes;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any storage requirements for the API, Components, or Product; and</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(d)</w:t>
      </w:r>
      <w:r>
        <w:rPr>
          <w:rFonts w:ascii="Times New Roman;sans-serif" w:hAnsi="Times New Roman;sans-serif"/>
          <w:b w:val="false"/>
          <w:color w:val="000000"/>
          <w:sz w:val="24"/>
        </w:rPr>
        <w:t xml:space="preserve">the Product quality control testing methods, packaging instructions and shipping requirements for the Product;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1.58.</w:t>
      </w:r>
      <w:r>
        <w:rPr>
          <w:color w:val="000000"/>
        </w:rPr>
        <w:t>“</w:t>
      </w:r>
      <w:r>
        <w:rPr>
          <w:rFonts w:ascii="Times New Roman;sans-serif" w:hAnsi="Times New Roman;sans-serif"/>
          <w:b w:val="false"/>
          <w:color w:val="000000"/>
          <w:sz w:val="24"/>
          <w:u w:val="single"/>
        </w:rPr>
        <w:t>Product</w:t>
      </w:r>
      <w:r>
        <w:rPr>
          <w:color w:val="000000"/>
        </w:rPr>
        <w:t xml:space="preserve">” </w:t>
      </w:r>
      <w:r>
        <w:rPr>
          <w:rFonts w:ascii="Times New Roman;sans-serif" w:hAnsi="Times New Roman;sans-serif"/>
          <w:b w:val="false"/>
          <w:color w:val="000000"/>
          <w:sz w:val="24"/>
        </w:rPr>
        <w:t>means the spray-dried form of API manufactured pursuant to this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1.59.</w:t>
      </w:r>
      <w:r>
        <w:rPr>
          <w:color w:val="000000"/>
        </w:rPr>
        <w:t>“</w:t>
      </w:r>
      <w:r>
        <w:rPr>
          <w:rFonts w:ascii="Times New Roman;sans-serif" w:hAnsi="Times New Roman;sans-serif"/>
          <w:b w:val="false"/>
          <w:color w:val="000000"/>
          <w:sz w:val="24"/>
          <w:u w:val="single"/>
        </w:rPr>
        <w:t>Product Change Control Request</w:t>
      </w:r>
      <w:r>
        <w:rPr>
          <w:color w:val="000000"/>
        </w:rPr>
        <w:t xml:space="preserve">” </w:t>
      </w:r>
      <w:r>
        <w:rPr>
          <w:rFonts w:ascii="Times New Roman;sans-serif" w:hAnsi="Times New Roman;sans-serif"/>
          <w:b w:val="false"/>
          <w:color w:val="000000"/>
          <w:sz w:val="24"/>
        </w:rPr>
        <w:t>has the meaning specified in Section 3.2;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1.60.</w:t>
      </w:r>
      <w:r>
        <w:rPr>
          <w:color w:val="000000"/>
        </w:rPr>
        <w:t>“</w:t>
      </w:r>
      <w:r>
        <w:rPr>
          <w:rFonts w:ascii="Times New Roman;sans-serif" w:hAnsi="Times New Roman;sans-serif"/>
          <w:b w:val="false"/>
          <w:color w:val="000000"/>
          <w:sz w:val="24"/>
          <w:u w:val="single"/>
        </w:rPr>
        <w:t>Product Rejection</w:t>
      </w:r>
      <w:r>
        <w:rPr>
          <w:color w:val="000000"/>
        </w:rPr>
        <w:t xml:space="preserve">” </w:t>
      </w:r>
      <w:r>
        <w:rPr>
          <w:rFonts w:ascii="Times New Roman;sans-serif" w:hAnsi="Times New Roman;sans-serif"/>
          <w:b w:val="false"/>
          <w:color w:val="000000"/>
          <w:sz w:val="24"/>
        </w:rPr>
        <w:t>has the meaning specified in Section 6.2;</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1.61.</w:t>
      </w:r>
      <w:r>
        <w:rPr>
          <w:color w:val="000000"/>
        </w:rPr>
        <w:t>“</w:t>
      </w:r>
      <w:r>
        <w:rPr>
          <w:rFonts w:ascii="Times New Roman;sans-serif" w:hAnsi="Times New Roman;sans-serif"/>
          <w:b w:val="false"/>
          <w:color w:val="000000"/>
          <w:sz w:val="24"/>
          <w:u w:val="single"/>
        </w:rPr>
        <w:t>Product Yield</w:t>
      </w:r>
      <w:r>
        <w:rPr>
          <w:color w:val="000000"/>
        </w:rPr>
        <w:t xml:space="preserve">” </w:t>
      </w:r>
      <w:r>
        <w:rPr>
          <w:rFonts w:ascii="Times New Roman;sans-serif" w:hAnsi="Times New Roman;sans-serif"/>
          <w:b w:val="false"/>
          <w:color w:val="000000"/>
          <w:sz w:val="24"/>
        </w:rPr>
        <w:t>has the meaning specified in Section 3.3(d);</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1.62.</w:t>
      </w:r>
      <w:r>
        <w:rPr>
          <w:color w:val="000000"/>
        </w:rPr>
        <w:t>“</w:t>
      </w:r>
      <w:r>
        <w:rPr>
          <w:rFonts w:ascii="Times New Roman;sans-serif" w:hAnsi="Times New Roman;sans-serif"/>
          <w:b w:val="false"/>
          <w:color w:val="000000"/>
          <w:sz w:val="24"/>
          <w:u w:val="single"/>
        </w:rPr>
        <w:t>Purchase Order</w:t>
      </w:r>
      <w:r>
        <w:rPr>
          <w:color w:val="000000"/>
        </w:rPr>
        <w:t xml:space="preserve">” </w:t>
      </w:r>
      <w:r>
        <w:rPr>
          <w:rFonts w:ascii="Times New Roman;sans-serif" w:hAnsi="Times New Roman;sans-serif"/>
          <w:b w:val="false"/>
          <w:color w:val="000000"/>
          <w:sz w:val="24"/>
        </w:rPr>
        <w:t xml:space="preserve">has the meaning specified in Section 5.2; </w:t>
      </w:r>
    </w:p>
    <w:p>
      <w:pPr>
        <w:pStyle w:val="TextBody"/>
        <w:bidi w:val="0"/>
        <w:spacing w:before="120" w:after="24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6" name="Frame8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5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5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1.63.</w:t>
      </w:r>
      <w:r>
        <w:rPr>
          <w:color w:val="000000"/>
        </w:rPr>
        <w:t>“</w:t>
      </w:r>
      <w:r>
        <w:rPr>
          <w:rFonts w:ascii="Times New Roman;sans-serif" w:hAnsi="Times New Roman;sans-serif"/>
          <w:b w:val="false"/>
          <w:color w:val="000000"/>
          <w:sz w:val="24"/>
          <w:u w:val="single"/>
        </w:rPr>
        <w:t>Quality Agreement</w:t>
      </w:r>
      <w:r>
        <w:rPr>
          <w:color w:val="000000"/>
        </w:rPr>
        <w:t xml:space="preserve">” </w:t>
      </w:r>
      <w:r>
        <w:rPr>
          <w:rFonts w:ascii="Times New Roman;sans-serif" w:hAnsi="Times New Roman;sans-serif"/>
          <w:b w:val="false"/>
          <w:color w:val="000000"/>
          <w:sz w:val="24"/>
        </w:rPr>
        <w:t>means the Quality Agreement between Ardelyx and Hovione Portugal, dated November 16, 2018, as amended from time to time;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1.64.</w:t>
      </w:r>
      <w:r>
        <w:rPr>
          <w:color w:val="000000"/>
        </w:rPr>
        <w:t>“</w:t>
      </w:r>
      <w:r>
        <w:rPr>
          <w:rFonts w:ascii="Times New Roman;sans-serif" w:hAnsi="Times New Roman;sans-serif"/>
          <w:b w:val="false"/>
          <w:color w:val="000000"/>
          <w:sz w:val="24"/>
          <w:u w:val="single"/>
        </w:rPr>
        <w:t>Recall</w:t>
      </w:r>
      <w:r>
        <w:rPr>
          <w:color w:val="000000"/>
        </w:rPr>
        <w:t xml:space="preserve">” </w:t>
      </w:r>
      <w:r>
        <w:rPr>
          <w:rFonts w:ascii="Times New Roman;sans-serif" w:hAnsi="Times New Roman;sans-serif"/>
          <w:b w:val="false"/>
          <w:color w:val="000000"/>
          <w:sz w:val="24"/>
        </w:rPr>
        <w:t>has the meaning specified in Section 6.7;</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1.65.</w:t>
      </w:r>
      <w:r>
        <w:rPr>
          <w:color w:val="000000"/>
        </w:rPr>
        <w:t>“</w:t>
      </w:r>
      <w:r>
        <w:rPr>
          <w:rFonts w:ascii="Times New Roman;sans-serif" w:hAnsi="Times New Roman;sans-serif"/>
          <w:b w:val="false"/>
          <w:color w:val="000000"/>
          <w:sz w:val="24"/>
          <w:u w:val="single"/>
        </w:rPr>
        <w:t>Recipient</w:t>
      </w:r>
      <w:r>
        <w:rPr>
          <w:color w:val="000000"/>
        </w:rPr>
        <w:t xml:space="preserve">” </w:t>
      </w:r>
      <w:r>
        <w:rPr>
          <w:rFonts w:ascii="Times New Roman;sans-serif" w:hAnsi="Times New Roman;sans-serif"/>
          <w:b w:val="false"/>
          <w:color w:val="000000"/>
          <w:sz w:val="24"/>
        </w:rPr>
        <w:t>has the meaning specified in Section 12.1;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1.66.</w:t>
      </w:r>
      <w:r>
        <w:rPr>
          <w:color w:val="000000"/>
        </w:rPr>
        <w:t>“</w:t>
      </w:r>
      <w:r>
        <w:rPr>
          <w:rFonts w:ascii="Times New Roman;sans-serif" w:hAnsi="Times New Roman;sans-serif"/>
          <w:b w:val="false"/>
          <w:color w:val="000000"/>
          <w:sz w:val="24"/>
          <w:u w:val="single"/>
        </w:rPr>
        <w:t>Regulatory Approval</w:t>
      </w:r>
      <w:r>
        <w:rPr>
          <w:color w:val="000000"/>
        </w:rPr>
        <w:t xml:space="preserve">” </w:t>
      </w:r>
      <w:r>
        <w:rPr>
          <w:rFonts w:ascii="Times New Roman;sans-serif" w:hAnsi="Times New Roman;sans-serif"/>
          <w:b w:val="false"/>
          <w:color w:val="000000"/>
          <w:sz w:val="24"/>
        </w:rPr>
        <w:t>has the meaning specified in Section 7.6.1;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1.67.</w:t>
      </w:r>
      <w:r>
        <w:rPr>
          <w:color w:val="000000"/>
        </w:rPr>
        <w:t>“</w:t>
      </w:r>
      <w:r>
        <w:rPr>
          <w:rFonts w:ascii="Times New Roman;sans-serif" w:hAnsi="Times New Roman;sans-serif"/>
          <w:b w:val="false"/>
          <w:color w:val="000000"/>
          <w:sz w:val="24"/>
          <w:u w:val="single"/>
        </w:rPr>
        <w:t>Regulatory Authority</w:t>
      </w:r>
      <w:r>
        <w:rPr>
          <w:color w:val="000000"/>
        </w:rPr>
        <w:t xml:space="preserve">” </w:t>
      </w:r>
      <w:r>
        <w:rPr>
          <w:rFonts w:ascii="Times New Roman;sans-serif" w:hAnsi="Times New Roman;sans-serif"/>
          <w:b w:val="false"/>
          <w:color w:val="000000"/>
          <w:sz w:val="24"/>
        </w:rPr>
        <w:t>means the FDA and any other foreign regulatory agencies competent to grant marketing approvals for pharmaceutical or biopharmaceutical products, including the Products, in the Territory;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1.68.</w:t>
      </w:r>
      <w:r>
        <w:rPr>
          <w:color w:val="000000"/>
        </w:rPr>
        <w:t>“</w:t>
      </w:r>
      <w:r>
        <w:rPr>
          <w:rFonts w:ascii="Times New Roman;sans-serif" w:hAnsi="Times New Roman;sans-serif"/>
          <w:b w:val="false"/>
          <w:color w:val="000000"/>
          <w:sz w:val="24"/>
          <w:u w:val="single"/>
        </w:rPr>
        <w:t>Representative</w:t>
      </w:r>
      <w:r>
        <w:rPr>
          <w:color w:val="000000"/>
        </w:rPr>
        <w:t xml:space="preserve">” </w:t>
      </w:r>
      <w:r>
        <w:rPr>
          <w:rFonts w:ascii="Times New Roman;sans-serif" w:hAnsi="Times New Roman;sans-serif"/>
          <w:b w:val="false"/>
          <w:color w:val="000000"/>
          <w:sz w:val="24"/>
        </w:rPr>
        <w:t>means a Party’s director, officer, employee, advisor, agent, consultant, subcontractor or service partner;</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1.69.</w:t>
      </w:r>
      <w:r>
        <w:rPr>
          <w:color w:val="000000"/>
        </w:rPr>
        <w:t>“</w:t>
      </w:r>
      <w:r>
        <w:rPr>
          <w:rFonts w:ascii="Times New Roman;sans-serif" w:hAnsi="Times New Roman;sans-serif"/>
          <w:b w:val="false"/>
          <w:color w:val="000000"/>
          <w:sz w:val="24"/>
          <w:u w:val="single"/>
        </w:rPr>
        <w:t>Scale-Up</w:t>
      </w:r>
      <w:r>
        <w:rPr>
          <w:color w:val="000000"/>
        </w:rPr>
        <w:t xml:space="preserve">” </w:t>
      </w:r>
      <w:r>
        <w:rPr>
          <w:rFonts w:ascii="Times New Roman;sans-serif" w:hAnsi="Times New Roman;sans-serif"/>
          <w:b w:val="false"/>
          <w:color w:val="000000"/>
          <w:sz w:val="24"/>
        </w:rPr>
        <w:t>has the meaning specified in Section 2.5;</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1.70.</w:t>
      </w:r>
      <w:r>
        <w:rPr>
          <w:color w:val="000000"/>
        </w:rPr>
        <w:t>“</w:t>
      </w:r>
      <w:r>
        <w:rPr>
          <w:rFonts w:ascii="Times New Roman;sans-serif" w:hAnsi="Times New Roman;sans-serif"/>
          <w:b w:val="false"/>
          <w:color w:val="000000"/>
          <w:sz w:val="24"/>
          <w:u w:val="single"/>
        </w:rPr>
        <w:t>Specifications</w:t>
      </w:r>
      <w:r>
        <w:rPr>
          <w:color w:val="000000"/>
        </w:rPr>
        <w:t xml:space="preserve">” </w:t>
      </w:r>
      <w:r>
        <w:rPr>
          <w:rFonts w:ascii="Times New Roman;sans-serif" w:hAnsi="Times New Roman;sans-serif"/>
          <w:b w:val="false"/>
          <w:color w:val="000000"/>
          <w:sz w:val="24"/>
        </w:rPr>
        <w:t>means the requirements and standards for the Product as set forth in Appendix B to the Quality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1.71.</w:t>
      </w:r>
      <w:r>
        <w:rPr>
          <w:color w:val="000000"/>
        </w:rPr>
        <w:t>“</w:t>
      </w:r>
      <w:r>
        <w:rPr>
          <w:rFonts w:ascii="Times New Roman;sans-serif" w:hAnsi="Times New Roman;sans-serif"/>
          <w:b w:val="false"/>
          <w:color w:val="000000"/>
          <w:sz w:val="24"/>
          <w:u w:val="single"/>
        </w:rPr>
        <w:t>Supply Failure</w:t>
      </w:r>
      <w:r>
        <w:rPr>
          <w:color w:val="000000"/>
        </w:rPr>
        <w:t xml:space="preserve">” </w:t>
      </w:r>
      <w:r>
        <w:rPr>
          <w:rFonts w:ascii="Times New Roman;sans-serif" w:hAnsi="Times New Roman;sans-serif"/>
          <w:b w:val="false"/>
          <w:color w:val="000000"/>
          <w:sz w:val="24"/>
        </w:rPr>
        <w:t xml:space="preserve">means (a) Hovione’s Manufacture of [***] Batches of Deficient Product, or (b) with respect to Product scheduled for Delivery pursuant to Firm Orders during [***], a failure by Hovione to deliver to Ardelyx or its designee at least [***] within [***] of the applicable scheduled Delivery Dates, absent [***],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in the case of [***]. A Supply Failure may result from [***]. The Parties acknowledge that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1.72.</w:t>
      </w:r>
      <w:r>
        <w:rPr>
          <w:color w:val="000000"/>
        </w:rPr>
        <w:t>“</w:t>
      </w:r>
      <w:r>
        <w:rPr>
          <w:rFonts w:ascii="Times New Roman;sans-serif" w:hAnsi="Times New Roman;sans-serif"/>
          <w:b w:val="false"/>
          <w:color w:val="000000"/>
          <w:sz w:val="24"/>
          <w:u w:val="single"/>
        </w:rPr>
        <w:t>Term</w:t>
      </w:r>
      <w:r>
        <w:rPr>
          <w:color w:val="000000"/>
        </w:rPr>
        <w:t xml:space="preserve">” </w:t>
      </w:r>
      <w:r>
        <w:rPr>
          <w:rFonts w:ascii="Times New Roman;sans-serif" w:hAnsi="Times New Roman;sans-serif"/>
          <w:b w:val="false"/>
          <w:color w:val="000000"/>
          <w:sz w:val="24"/>
        </w:rPr>
        <w:t xml:space="preserve">means the Initial Term and any and all renewal terms applicable under Section 8.1;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1.73.</w:t>
      </w:r>
      <w:r>
        <w:rPr>
          <w:color w:val="000000"/>
        </w:rPr>
        <w:t>“</w:t>
      </w:r>
      <w:r>
        <w:rPr>
          <w:rFonts w:ascii="Times New Roman;sans-serif" w:hAnsi="Times New Roman;sans-serif"/>
          <w:b w:val="false"/>
          <w:color w:val="000000"/>
          <w:sz w:val="24"/>
          <w:u w:val="single"/>
        </w:rPr>
        <w:t>Territory</w:t>
      </w:r>
      <w:r>
        <w:rPr>
          <w:color w:val="000000"/>
        </w:rPr>
        <w:t xml:space="preserve">” </w:t>
      </w:r>
      <w:r>
        <w:rPr>
          <w:rFonts w:ascii="Times New Roman;sans-serif" w:hAnsi="Times New Roman;sans-serif"/>
          <w:b w:val="false"/>
          <w:color w:val="000000"/>
          <w:sz w:val="24"/>
        </w:rPr>
        <w:t xml:space="preserve">means [***];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1.74.</w:t>
      </w:r>
      <w:r>
        <w:rPr>
          <w:color w:val="000000"/>
        </w:rPr>
        <w:t>“</w:t>
      </w:r>
      <w:r>
        <w:rPr>
          <w:rFonts w:ascii="Times New Roman;sans-serif" w:hAnsi="Times New Roman;sans-serif"/>
          <w:b w:val="false"/>
          <w:color w:val="000000"/>
          <w:sz w:val="24"/>
          <w:u w:val="single"/>
        </w:rPr>
        <w:t>Third Party Claim</w:t>
      </w:r>
      <w:r>
        <w:rPr>
          <w:color w:val="000000"/>
        </w:rPr>
        <w:t xml:space="preserve">” </w:t>
      </w:r>
      <w:r>
        <w:rPr>
          <w:rFonts w:ascii="Times New Roman;sans-serif" w:hAnsi="Times New Roman;sans-serif"/>
          <w:b w:val="false"/>
          <w:color w:val="000000"/>
          <w:sz w:val="24"/>
        </w:rPr>
        <w:t>has the meaning specified in Section 11.1;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1.75.</w:t>
      </w:r>
      <w:r>
        <w:rPr>
          <w:color w:val="000000"/>
        </w:rPr>
        <w:t>“</w:t>
      </w:r>
      <w:r>
        <w:rPr>
          <w:rFonts w:ascii="Times New Roman;sans-serif" w:hAnsi="Times New Roman;sans-serif"/>
          <w:b w:val="false"/>
          <w:color w:val="000000"/>
          <w:sz w:val="24"/>
          <w:u w:val="single"/>
        </w:rPr>
        <w:t>Third Party Subcontractors</w:t>
      </w:r>
      <w:r>
        <w:rPr>
          <w:color w:val="000000"/>
        </w:rPr>
        <w:t xml:space="preserve">” </w:t>
      </w:r>
      <w:r>
        <w:rPr>
          <w:rFonts w:ascii="Times New Roman;sans-serif" w:hAnsi="Times New Roman;sans-serif"/>
          <w:b w:val="false"/>
          <w:color w:val="000000"/>
          <w:sz w:val="24"/>
        </w:rPr>
        <w:t>has the meaning specified in Section 2.8;</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1.76.</w:t>
      </w:r>
      <w:r>
        <w:rPr>
          <w:color w:val="000000"/>
        </w:rPr>
        <w:t>“</w:t>
      </w:r>
      <w:r>
        <w:rPr>
          <w:rFonts w:ascii="Times New Roman;sans-serif" w:hAnsi="Times New Roman;sans-serif"/>
          <w:b w:val="false"/>
          <w:color w:val="000000"/>
          <w:sz w:val="24"/>
          <w:u w:val="single"/>
        </w:rPr>
        <w:t>Third Party Rights</w:t>
      </w:r>
      <w:r>
        <w:rPr>
          <w:color w:val="000000"/>
        </w:rPr>
        <w:t xml:space="preserve">” </w:t>
      </w:r>
      <w:r>
        <w:rPr>
          <w:rFonts w:ascii="Times New Roman;sans-serif" w:hAnsi="Times New Roman;sans-serif"/>
          <w:b w:val="false"/>
          <w:color w:val="000000"/>
          <w:sz w:val="24"/>
        </w:rPr>
        <w:t xml:space="preserve">means the Intellectual Property of any third party;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1.77.</w:t>
      </w:r>
      <w:r>
        <w:rPr>
          <w:color w:val="000000"/>
        </w:rPr>
        <w:t>“</w:t>
      </w:r>
      <w:r>
        <w:rPr>
          <w:rFonts w:ascii="Times New Roman;sans-serif" w:hAnsi="Times New Roman;sans-serif"/>
          <w:b w:val="false"/>
          <w:color w:val="000000"/>
          <w:sz w:val="24"/>
          <w:u w:val="single"/>
        </w:rPr>
        <w:t>Work Order</w:t>
      </w:r>
      <w:r>
        <w:rPr>
          <w:color w:val="000000"/>
        </w:rPr>
        <w:t xml:space="preserve">” </w:t>
      </w:r>
      <w:r>
        <w:rPr>
          <w:rFonts w:ascii="Times New Roman;sans-serif" w:hAnsi="Times New Roman;sans-serif"/>
          <w:b w:val="false"/>
          <w:color w:val="000000"/>
          <w:sz w:val="24"/>
        </w:rPr>
        <w:t xml:space="preserve">has the meaning set forth in Section 3.1 and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1.78.</w:t>
      </w:r>
      <w:r>
        <w:rPr>
          <w:color w:val="000000"/>
        </w:rPr>
        <w:t>“</w:t>
      </w:r>
      <w:r>
        <w:rPr>
          <w:rFonts w:ascii="Times New Roman;sans-serif" w:hAnsi="Times New Roman;sans-serif"/>
          <w:b w:val="false"/>
          <w:color w:val="000000"/>
          <w:sz w:val="24"/>
          <w:u w:val="single"/>
        </w:rPr>
        <w:t>Year</w:t>
      </w:r>
      <w:r>
        <w:rPr>
          <w:color w:val="000000"/>
        </w:rPr>
        <w:t xml:space="preserve">” </w:t>
      </w:r>
      <w:r>
        <w:rPr>
          <w:rFonts w:ascii="Times New Roman;sans-serif" w:hAnsi="Times New Roman;sans-serif"/>
          <w:b w:val="false"/>
          <w:color w:val="000000"/>
          <w:sz w:val="24"/>
        </w:rPr>
        <w:t xml:space="preserve">means in the first year of this Agreement, the time from the Effective Date up to and including December 31 of the same calendar year, and after that will mean a calendar year, except for in the case of the calendar year in which this Agreement is terminated or expires, in which case the Year will be the date beginning on January 1 of that Year and ending on the date of the effective termination of this Agreement. </w:t>
      </w:r>
    </w:p>
    <w:p>
      <w:pPr>
        <w:pStyle w:val="TextBody"/>
        <w:bidi w:val="0"/>
        <w:spacing w:before="120" w:after="24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7" name="Frame8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6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6 of 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color w:val="000000"/>
          <w:sz w:val="24"/>
        </w:rPr>
        <w:t>2.</w:t>
      </w:r>
      <w:r>
        <w:rPr>
          <w:rFonts w:ascii="Times New Roman;sans-serif" w:hAnsi="Times New Roman;sans-serif"/>
          <w:b/>
          <w:color w:val="000000"/>
          <w:sz w:val="24"/>
        </w:rPr>
        <w:t>Manufacturing Services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Performance Standard</w:t>
      </w:r>
      <w:r>
        <w:rPr>
          <w:rFonts w:ascii="Times New Roman;sans-serif" w:hAnsi="Times New Roman;sans-serif"/>
          <w:b w:val="false"/>
          <w:color w:val="000000"/>
          <w:sz w:val="24"/>
        </w:rPr>
        <w:t xml:space="preserve">. Hovione shall perform the Manufacturing Services in accordance with the Processing Instructions and supply Product manufactured in accordance with the Specifications, for the Price, in accordance with the material provisions of the Quality Agreement, Applicable Law, cGMP and the prevailing industry standards and practices for the performance of similar services. Subject to the preceding sentence, Hovione will convert API and Components into Product, and provide supportive Manufacturing Services such as quality assurance (for example quality controls, analytical testing, and stability programs). From time to time during the Term and by mutual agreement between the Parties, Ardelyx may request any other related Manufacturing Services, excluding any Development Services which shall be subject to the Development Agreement, and such additional Manufacturing Services shall be charged separately as may be agreed by and between the Parties.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Annual Commitment</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Conditional upon Ardelyx’s timely payments as required in accordance with the Equipment Agreement and beginning in Year 2024, subject to Sections 6.3 and 6.5 and the other terms of this Agreement, Ardelyx will place Purchase Orders (as defined below) in accordance with Section 5.2 for, and Hovione will manufacture for Ardelyx, Product for delivery by the scheduled Delivery Dates specified in the accepted Purchase Order in accordance with this Agreement, in the following minimum quantities (the “</w:t>
      </w:r>
      <w:r>
        <w:rPr>
          <w:rFonts w:ascii="Times New Roman;sans-serif" w:hAnsi="Times New Roman;sans-serif"/>
          <w:b w:val="false"/>
          <w:color w:val="000000"/>
          <w:sz w:val="24"/>
          <w:u w:val="single"/>
        </w:rPr>
        <w:t>Annual Commitment</w:t>
      </w:r>
      <w:r>
        <w:rPr>
          <w:color w:val="000000"/>
        </w:rPr>
        <w:t>”</w:t>
      </w:r>
      <w:r>
        <w:rPr>
          <w:rFonts w:ascii="Times New Roman;sans-serif" w:hAnsi="Times New Roman;sans-serif"/>
          <w:b w:val="false"/>
          <w:color w:val="000000"/>
          <w:sz w:val="24"/>
        </w:rPr>
        <w:t>):</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2024                [***]</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2025                [***]</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2026                [***]</w:t>
      </w:r>
    </w:p>
    <w:p>
      <w:pPr>
        <w:pStyle w:val="TextBody"/>
        <w:bidi w:val="0"/>
        <w:spacing w:lineRule="auto" w:line="288" w:before="0" w:after="120"/>
        <w:jc w:val="left"/>
        <w:rPr>
          <w:rFonts w:ascii="Times New Roman;sans-serif" w:hAnsi="Times New Roman;sans-serif"/>
          <w:b w:val="false"/>
          <w:color w:val="000000"/>
          <w:sz w:val="24"/>
        </w:rPr>
      </w:pPr>
      <w:r>
        <w:rPr>
          <w:rFonts w:ascii="Times New Roman;sans-serif" w:hAnsi="Times New Roman;sans-serif"/>
          <w:b w:val="false"/>
          <w:color w:val="000000"/>
          <w:sz w:val="24"/>
        </w:rPr>
        <w:t>2027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2028 to end of the Term    [***]</w:t>
      </w:r>
    </w:p>
    <w:p>
      <w:pPr>
        <w:pStyle w:val="TextBody"/>
        <w:bidi w:val="0"/>
        <w:spacing w:lineRule="auto" w:line="288" w:before="0" w:after="240"/>
        <w:ind w:left="0" w:right="0" w:firstLine="567"/>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Delivery Dates set out in the relevant Purchase Orders shall be the applicable dates for determination of Ardelyx’s satisfaction of the Annual Commitment.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The Annual Commitment may be adjusted by mutual agreement of the Parties pursuant to Section 2.6 below. For clarity, in the event of failure to order the Annual Commitment absent Supply Failure, Adverse Supply Events (subject to the applicable limitations of Section 6.5.3), or mutually agreed Manufacturing reductions, Hovione may on December 31st of the relevant Year charge Ardelyx the respective shortfall between the Annual Commitment for such Year and the orders for Product actually placed by Ardelyx and with the Delivery Dates (set out in the relevant Purchase Orders) in such Year.</w:t>
      </w:r>
    </w:p>
    <w:p>
      <w:pPr>
        <w:pStyle w:val="TextBody"/>
        <w:bidi w:val="0"/>
        <w:spacing w:before="120" w:after="24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8" name="Frame8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7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7 of 38</w:t>
                      </w:r>
                    </w:p>
                  </w:txbxContent>
                </v:textbox>
                <w10:wrap type="none"/>
              </v:rect>
            </w:pict>
          </mc:Fallback>
        </mc:AlternateConten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Subject to the terms of the Equipment Agreement, until the Scale-Up (defined below) is completed, and notwithstanding anything to the contrary herein, the Parties’ Annual Commitment obligation shall remain at [***] until completion of Scale-Up, at which time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Existing Orders</w:t>
      </w:r>
      <w:r>
        <w:rPr>
          <w:rFonts w:ascii="Times New Roman;sans-serif" w:hAnsi="Times New Roman;sans-serif"/>
          <w:b w:val="false"/>
          <w:color w:val="000000"/>
          <w:sz w:val="24"/>
        </w:rPr>
        <w:t>. For the Year 2024, the Parties acknowledge that all orders for Product Manufacturing have been placed and accepted pursuant to the Development Agreement. The Development Agreement shall govern the Manufacture of all Product delivered prior to the Effective Date, provided that following Hovione release pursuant to the Quality Agreement, the terms of this Agreement shall govern the use, integrity and remedies associated with of the Product itself, including without limitation the Product Warranties set forth in Section 9.2.3. Thereafter, this Agreement shall govern any such order for Product Manufacturing placed and not yet delivered for the Year 2024.</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rPr>
        <w:t xml:space="preserve">[***]. So long as Ardelyx is otherwise in substantial compliance with the terms of this Agreement, including without limitation, the Annual Commitment obligations hereunder, Hovione will not at any time during the Term [***], without the express written consent of Ardelyx. Hovione acknowledges and agrees that Ardelyx may grant or withhold its consent [***].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Scale-Up</w:t>
      </w:r>
      <w:r>
        <w:rPr>
          <w:rFonts w:ascii="Times New Roman;sans-serif" w:hAnsi="Times New Roman;sans-serif"/>
          <w:b w:val="false"/>
          <w:color w:val="000000"/>
          <w:sz w:val="24"/>
        </w:rPr>
        <w:t>. The Parties acknowledge that, beginning in Year 2027, the Annual Commitment will exceed [***]. Therefore parties have entered into an [***] pursuant to which Hovione shall purchase, install, validate and qualify certain [***] equipment for [***] (the “</w:t>
      </w:r>
      <w:r>
        <w:rPr>
          <w:rFonts w:ascii="Times New Roman;sans-serif" w:hAnsi="Times New Roman;sans-serif"/>
          <w:b w:val="false"/>
          <w:color w:val="000000"/>
          <w:sz w:val="24"/>
          <w:u w:val="single"/>
        </w:rPr>
        <w:t>Equipment</w:t>
      </w:r>
      <w:r>
        <w:rPr>
          <w:color w:val="000000"/>
        </w:rPr>
        <w:t>”</w:t>
      </w:r>
      <w:r>
        <w:rPr>
          <w:rFonts w:ascii="Times New Roman;sans-serif" w:hAnsi="Times New Roman;sans-serif"/>
          <w:b w:val="false"/>
          <w:color w:val="000000"/>
          <w:sz w:val="24"/>
        </w:rPr>
        <w:t>) [***] (“</w:t>
      </w:r>
      <w:r>
        <w:rPr>
          <w:rFonts w:ascii="Times New Roman;sans-serif" w:hAnsi="Times New Roman;sans-serif"/>
          <w:b w:val="false"/>
          <w:color w:val="000000"/>
          <w:sz w:val="24"/>
          <w:u w:val="single"/>
        </w:rPr>
        <w:t>Equipment Agreement</w:t>
      </w:r>
      <w:r>
        <w:rPr>
          <w:color w:val="000000"/>
        </w:rPr>
        <w:t>”</w:t>
      </w:r>
      <w:r>
        <w:rPr>
          <w:rFonts w:ascii="Times New Roman;sans-serif" w:hAnsi="Times New Roman;sans-serif"/>
          <w:b w:val="false"/>
          <w:color w:val="000000"/>
          <w:sz w:val="24"/>
        </w:rPr>
        <w:t>), and reference is made to relevant terms thereunder whereby Ardelyx’s agrees to deliver upfront payments and success fees to Hovione totaling up to [***] dollars (US $[***]) in consideration of timely validation and qualification of commercial Product [***] (the “</w:t>
      </w:r>
      <w:r>
        <w:rPr>
          <w:rFonts w:ascii="Times New Roman;sans-serif" w:hAnsi="Times New Roman;sans-serif"/>
          <w:b w:val="false"/>
          <w:color w:val="000000"/>
          <w:sz w:val="24"/>
          <w:u w:val="single"/>
        </w:rPr>
        <w:t>Scale Up</w:t>
      </w:r>
      <w:r>
        <w:rPr>
          <w:color w:val="000000"/>
        </w:rPr>
        <w:t>”</w:t>
      </w:r>
      <w:r>
        <w:rPr>
          <w:rFonts w:ascii="Times New Roman;sans-serif" w:hAnsi="Times New Roman;sans-serif"/>
          <w:b w:val="false"/>
          <w:color w:val="000000"/>
          <w:sz w:val="24"/>
        </w:rPr>
        <w:t xml:space="preserve">). For clarity, any validation or qualifications batches (including any such batches required for Scale Up) shall be subject to the Development Agreement (or other service agreement as may be agreed between the Parties) and do not count towards Supply Failures.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Continuity of Supply</w:t>
      </w:r>
      <w:r>
        <w:rPr>
          <w:rFonts w:ascii="Times New Roman;sans-serif" w:hAnsi="Times New Roman;sans-serif"/>
          <w:b w:val="false"/>
          <w:color w:val="000000"/>
          <w:sz w:val="24"/>
        </w:rPr>
        <w:t xml:space="preserve">. After Scale Up, [***]. Notwithstanding the foregoing, at the request of Ardelyx, Hovione shall continue to supply (i) [***] of the Annual Commitment (unless otherwise agreed by the Parties) from Hovione Portugal until Ardelyx’s Licensees have received regulatory approval for Hovione NJ, and thereafter (ii) mutually agreed volumes of Product from Hovione Portugal, at least sufficient to retain the Hovione Portugal facility as an alternative supplier’s site in the applicable regulatory filing for Product. Ardelyx shall use Commercially Reasonable Efforts to [***]. Ardelyx and Hovione shall cooperate to facilitate delivery of information required for such licensee Regulatory Approvals. For clarity, following Regulatory Approval of Hovione NJ by all Ardelyx licensees, clause (i) above shall expire and only clause (ii) shall apply.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No Sole Source</w:t>
      </w:r>
      <w:r>
        <w:rPr>
          <w:rFonts w:ascii="Times New Roman;sans-serif" w:hAnsi="Times New Roman;sans-serif"/>
          <w:b w:val="false"/>
          <w:color w:val="000000"/>
          <w:sz w:val="24"/>
        </w:rPr>
        <w:t xml:space="preserve">. Subject to Section 2.2, nothing in this Agreement will prohibit Ardelyx from purchasing tenapanor products and services from a third party, </w:t>
      </w:r>
    </w:p>
    <w:p>
      <w:pPr>
        <w:pStyle w:val="TextBody"/>
        <w:bidi w:val="0"/>
        <w:spacing w:before="120" w:after="24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89" name="Frame8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8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8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entering into any contract with any third party for the supply of such products and services, manufacturing its own products, or qualifying additional facilities for supply of products.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2.8.</w:t>
      </w:r>
      <w:r>
        <w:rPr>
          <w:rFonts w:ascii="Times New Roman;sans-serif" w:hAnsi="Times New Roman;sans-serif"/>
          <w:b w:val="false"/>
          <w:color w:val="000000"/>
          <w:sz w:val="24"/>
          <w:u w:val="single"/>
        </w:rPr>
        <w:t>Subcontracting</w:t>
      </w:r>
      <w:r>
        <w:rPr>
          <w:rFonts w:ascii="Times New Roman;sans-serif" w:hAnsi="Times New Roman;sans-serif"/>
          <w:b w:val="false"/>
          <w:color w:val="000000"/>
          <w:sz w:val="24"/>
        </w:rPr>
        <w:t>. Subject to compliance with the Quality Agreement, Hovione may engage third parties to perform services ancillary to the Manufacturing Services with the written consent of Ardelyx (except for the subcontracting of analytical testing or stability storage services, which will require no written consent) (“</w:t>
      </w:r>
      <w:r>
        <w:rPr>
          <w:rFonts w:ascii="Times New Roman;sans-serif" w:hAnsi="Times New Roman;sans-serif"/>
          <w:b w:val="false"/>
          <w:color w:val="000000"/>
          <w:sz w:val="24"/>
          <w:u w:val="single"/>
        </w:rPr>
        <w:t>Third Party Subcontractors</w:t>
      </w:r>
      <w:r>
        <w:rPr>
          <w:color w:val="000000"/>
        </w:rPr>
        <w:t>”</w:t>
      </w:r>
      <w:r>
        <w:rPr>
          <w:rFonts w:ascii="Times New Roman;sans-serif" w:hAnsi="Times New Roman;sans-serif"/>
          <w:b w:val="false"/>
          <w:color w:val="000000"/>
          <w:sz w:val="24"/>
        </w:rPr>
        <w:t>), provided that each such Third Party Subcontractor complies with all applicable obligations of this Agreement and, if applicable, the Quality Agreement. Hovione will be liable to Ardelyx for the breach of this Agreement (or, if applicable, the Quality Agreement) by any Third Party Subcontractor, or failure of any Third Party Subcontractor to perform any part of the subcontracted services, as if Hovione had breached, performed or failed to perform the subcontracted services directly.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2.9.</w:t>
      </w:r>
      <w:r>
        <w:rPr>
          <w:rFonts w:ascii="Times New Roman;sans-serif" w:hAnsi="Times New Roman;sans-serif"/>
          <w:b w:val="false"/>
          <w:color w:val="000000"/>
          <w:sz w:val="24"/>
          <w:u w:val="single"/>
        </w:rPr>
        <w:t>Facilities</w:t>
      </w:r>
      <w:r>
        <w:rPr>
          <w:rFonts w:ascii="Times New Roman;sans-serif" w:hAnsi="Times New Roman;sans-serif"/>
          <w:b w:val="false"/>
          <w:color w:val="000000"/>
          <w:sz w:val="24"/>
        </w:rPr>
        <w:t xml:space="preserve">. Hovione, at no cost to Ardelyx, will qualify (and thereafter will maintain qualification of) each Manufacturing Site as required under Applicable Laws and cGMP. Hovione will not change the Manufacturing Site without first obtaining Ardelyx’s written consent. Except for [***], if any changes to the Manufacturing Site are proposed by Hovione and agreed by Ardelyx regarding the Manufacturing Site at which the Manufacturing Services are to be performed, (a) if such changes are specific to Ardelyx or its Product Processing, then Parties shall negotiate in good faith the costs of any validation activities required for this change and the respective allocation of benefits arising therefrom, to the extent the proposed changes improve the cost and/or efficiency of Manufacturing Services and (b) [***]. Hovione will not undertake or permit any modifications to the Manufacturing Site that materially affect the Product or implement any changes in the Process, including, without limitation, the Processing Instructions or equipment used to manufacture the Product without Ardelyx’s prior written consent, not to be unreasonably withheld.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2.10.</w:t>
      </w:r>
      <w:r>
        <w:rPr>
          <w:rFonts w:ascii="Times New Roman;sans-serif" w:hAnsi="Times New Roman;sans-serif"/>
          <w:b w:val="false"/>
          <w:color w:val="000000"/>
          <w:sz w:val="24"/>
          <w:u w:val="single"/>
        </w:rPr>
        <w:t>Inventory Reporting</w:t>
      </w:r>
      <w:r>
        <w:rPr>
          <w:rFonts w:ascii="Times New Roman;sans-serif" w:hAnsi="Times New Roman;sans-serif"/>
          <w:b w:val="false"/>
          <w:color w:val="000000"/>
          <w:sz w:val="24"/>
        </w:rPr>
        <w:t>. Hovione will provide to Ardelyx, on a monthly basis (at a minimum) and otherwise upon receipt of a written request and within a reasonable timeframe, a written report of Inventory, in each case in the form generated by Hovione’s electronic inventory management platform, and/or a written cycle count report. In addition, once annually at mutually agreed times, Hovione shall give Ardelyx reasonable access to the locations where all Inventory and related records are kept, and to the personnel that regularly manage such Inventory and records, to permit Ardelyx to conduct a physical count of all Inventory in Hovione’s possession or control. Hovione will use Commercially Reasonable Efforts to ensure that its Third Party Contractors permit Ardelyx similar access. Hovione will promptly advise Ardelyx if it encounters Component supply problems, including delays or delivery of non-conforming Components. In the event that any Component becomes subject to purchase lead time beyond the Binding Forecast time frame, or Hovione is otherwise unable to obtain, in a timely manner, a particular Component necessary for Manufacturing, the Parties will negotiate in good faith an appropriate amendment to this Agreement and will cooperate to reduce or eliminate any supply problems from the suppliers.</w:t>
      </w:r>
    </w:p>
    <w:p>
      <w:pPr>
        <w:pStyle w:val="TextBody"/>
        <w:bidi w:val="0"/>
        <w:spacing w:before="120" w:after="24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0" name="Frame8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9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9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2.11.</w:t>
      </w:r>
      <w:r>
        <w:rPr>
          <w:rFonts w:ascii="Times New Roman;sans-serif" w:hAnsi="Times New Roman;sans-serif"/>
          <w:b w:val="false"/>
          <w:color w:val="000000"/>
          <w:sz w:val="24"/>
          <w:u w:val="single"/>
        </w:rPr>
        <w:t>Packaging</w:t>
      </w:r>
      <w:r>
        <w:rPr>
          <w:rFonts w:ascii="Times New Roman;sans-serif" w:hAnsi="Times New Roman;sans-serif"/>
          <w:b w:val="false"/>
          <w:color w:val="000000"/>
          <w:sz w:val="24"/>
        </w:rPr>
        <w:t>. Hovione will make arrangements for and implement the imprinting of lot numbers and expiration dates on the packaging drums of each Product shipped. These lot numbers and expiration dates will be affixed on the shipping container of each Product as is required by Applicable Laws, cGMP (if applicable) and consistent with the Specifications. If applicable, electronic on-line verification of lot number/expiration date and serialization will be performed by Hovione. If Hovione places an internal lot number on a shipping container that is different from the Ardelyx lot number referenced in any Purchase Order for that Batch of Product, Hovione will provide a cross-reference for the Ardelyx lot number on all documents associated with that Batch of Product.</w:t>
      </w:r>
    </w:p>
    <w:p>
      <w:pPr>
        <w:pStyle w:val="TextBody"/>
        <w:bidi w:val="0"/>
        <w:spacing w:lineRule="auto" w:line="288" w:before="0" w:after="240"/>
        <w:jc w:val="both"/>
        <w:rPr/>
      </w:pPr>
      <w:r>
        <w:rPr>
          <w:rFonts w:ascii="Times New Roman;sans-serif" w:hAnsi="Times New Roman;sans-serif"/>
          <w:b/>
          <w:color w:val="000000"/>
          <w:sz w:val="24"/>
        </w:rPr>
        <w:t>3.</w:t>
      </w:r>
      <w:r>
        <w:rPr>
          <w:rFonts w:ascii="Times New Roman;sans-serif" w:hAnsi="Times New Roman;sans-serif"/>
          <w:b/>
          <w:color w:val="000000"/>
          <w:sz w:val="24"/>
        </w:rPr>
        <w:t>Ardelyx’s Obligations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Payment</w:t>
      </w:r>
      <w:r>
        <w:rPr>
          <w:rFonts w:ascii="Times New Roman;sans-serif" w:hAnsi="Times New Roman;sans-serif"/>
          <w:b w:val="false"/>
          <w:color w:val="000000"/>
          <w:sz w:val="24"/>
        </w:rPr>
        <w:t>. As full consideration for the Manufacturing Services, Ardelyx will pay Hovione the applicable Price in accordance with Section 4. From time to time during the Term and by mutual agreement between the Parties, Ardelyx may request that Hovione provide additional services which are not included in Price to support the Manufacture of Product, excluding any Development Services which shall be subject to the Development Agreement (“</w:t>
      </w:r>
      <w:r>
        <w:rPr>
          <w:rFonts w:ascii="Times New Roman;sans-serif" w:hAnsi="Times New Roman;sans-serif"/>
          <w:b w:val="false"/>
          <w:color w:val="000000"/>
          <w:sz w:val="24"/>
          <w:u w:val="single"/>
        </w:rPr>
        <w:t>Additional Services</w:t>
      </w:r>
      <w:r>
        <w:rPr>
          <w:color w:val="000000"/>
        </w:rPr>
        <w:t>”</w:t>
      </w:r>
      <w:r>
        <w:rPr>
          <w:rFonts w:ascii="Times New Roman;sans-serif" w:hAnsi="Times New Roman;sans-serif"/>
          <w:b w:val="false"/>
          <w:color w:val="000000"/>
          <w:sz w:val="24"/>
        </w:rPr>
        <w:t>), as specified in a written work order signed by duly authorized representatives from both Parties and detailing the specific services to be performed and any deliverables to be provided by Hovione (each, a “</w:t>
      </w:r>
      <w:r>
        <w:rPr>
          <w:rFonts w:ascii="Times New Roman;sans-serif" w:hAnsi="Times New Roman;sans-serif"/>
          <w:b w:val="false"/>
          <w:color w:val="000000"/>
          <w:sz w:val="24"/>
          <w:u w:val="single"/>
        </w:rPr>
        <w:t>Work Order</w:t>
      </w:r>
      <w:r>
        <w:rPr>
          <w:color w:val="000000"/>
        </w:rPr>
        <w:t>”</w:t>
      </w:r>
      <w:r>
        <w:rPr>
          <w:rFonts w:ascii="Times New Roman;sans-serif" w:hAnsi="Times New Roman;sans-serif"/>
          <w:b w:val="false"/>
          <w:color w:val="000000"/>
          <w:sz w:val="24"/>
        </w:rPr>
        <w:t>). Hovione will perform the Additional Services in accordance with the terms of this Agreement (including any deviations of applicable terms and conditions as may be contained on any such Work Order) and such Additional Services shall be charged separately as may be agreed by and between the Parties on such Work Order.</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Change Control Requests</w:t>
      </w:r>
      <w:r>
        <w:rPr>
          <w:rFonts w:ascii="Times New Roman;sans-serif" w:hAnsi="Times New Roman;sans-serif"/>
          <w:b w:val="false"/>
          <w:color w:val="000000"/>
          <w:sz w:val="24"/>
        </w:rPr>
        <w:t>. Ardelyx and Hovione will cooperate on any requested changes to the Processing Instructions, Specifications or accompanying documents (a “</w:t>
      </w:r>
      <w:r>
        <w:rPr>
          <w:rFonts w:ascii="Times New Roman;sans-serif" w:hAnsi="Times New Roman;sans-serif"/>
          <w:b w:val="false"/>
          <w:color w:val="000000"/>
          <w:sz w:val="24"/>
          <w:u w:val="single"/>
        </w:rPr>
        <w:t>Product Change Control Request</w:t>
      </w:r>
      <w:r>
        <w:rPr>
          <w:color w:val="000000"/>
        </w:rPr>
        <w:t>”</w:t>
      </w:r>
      <w:r>
        <w:rPr>
          <w:rFonts w:ascii="Times New Roman;sans-serif" w:hAnsi="Times New Roman;sans-serif"/>
          <w:b w:val="false"/>
          <w:color w:val="000000"/>
          <w:sz w:val="24"/>
        </w:rPr>
        <w:t>) in accordance with the change control process set forth in the Quality Agreement. Upon acceptance of the Product Change Control Request by the relevant persons identified in the Quality Agreement, Hovione will give Ardelyx a signed and dated receipt indicating Hovione’s acceptance. At Hovione’s request, Ardelyx will provide evidence of the executed original documents submitted by or on behalf of Ardelyx to the Regulatory Authority. Hovione will respond promptly to any Product Change Control Request and use commercially reasonable, good faith efforts to agree to the terms of the requested changes in a timely manner (including any changes in Price), and the Parties will execute a change order reflecting such changes in Manufacturing Services and Price (a “</w:t>
      </w:r>
      <w:r>
        <w:rPr>
          <w:rFonts w:ascii="Times New Roman;sans-serif" w:hAnsi="Times New Roman;sans-serif"/>
          <w:b w:val="false"/>
          <w:color w:val="000000"/>
          <w:sz w:val="24"/>
          <w:u w:val="single"/>
        </w:rPr>
        <w:t>Change Order</w:t>
      </w:r>
      <w:r>
        <w:rPr>
          <w:color w:val="000000"/>
        </w:rPr>
        <w:t>”</w:t>
      </w:r>
      <w:r>
        <w:rPr>
          <w:rFonts w:ascii="Times New Roman;sans-serif" w:hAnsi="Times New Roman;sans-serif"/>
          <w:b w:val="false"/>
          <w:color w:val="000000"/>
          <w:sz w:val="24"/>
        </w:rPr>
        <w:t xml:space="preserve">). Hovione agrees that any changes mandated by a Regulatory Authority will be considered and acted upon expeditiously and with due diligence.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API Supply</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 xml:space="preserve">Lead Time. </w:t>
      </w:r>
      <w:r>
        <w:rPr>
          <w:rFonts w:ascii="Times New Roman;sans-serif" w:hAnsi="Times New Roman;sans-serif"/>
          <w:b w:val="false"/>
          <w:color w:val="000000"/>
          <w:sz w:val="24"/>
        </w:rPr>
        <w:t xml:space="preserve">Ardelyx will at its sole cost and expense deliver the API to the Manufacturing Site [***]. [***]’s obligation will include obtaining the release of the API from the applicable customs agency and Regulatory Authority. Unless otherwise agreed in </w:t>
      </w:r>
    </w:p>
    <w:p>
      <w:pPr>
        <w:pStyle w:val="TextBody"/>
        <w:bidi w:val="0"/>
        <w:spacing w:before="120" w:after="24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1" name="Frame9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10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10 of 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writing, Ardelyx or Ardelyx’s designated broker will be the “Importer” or “Importer of Record” (or equivalent, as understood under Applicable Laws to Ardelyx) for API imported to the Manufacturing Site, and Ardelyx is responsible for compliance with Applicable Laws to Ardelyx (and the cost of compliance) relating to that role. Ardelyx shall deliver the API to the Manufacturing Site at least [***] before the scheduled manufacture date for Product covered by a Firm Order, in sufficient quantity to enable Hovione to manufacture the agreed quantities of Product for that Firm Order. If delays in performance of the Manufacturing Services are caused by Ardelyx’s failure to supply Hovione with API with the lead time as set forth in the preceding sentence (“</w:t>
      </w:r>
      <w:r>
        <w:rPr>
          <w:rFonts w:ascii="Times New Roman;sans-serif" w:hAnsi="Times New Roman;sans-serif"/>
          <w:b w:val="false"/>
          <w:color w:val="000000"/>
          <w:sz w:val="24"/>
          <w:u w:val="single"/>
        </w:rPr>
        <w:t>API Delay</w:t>
      </w:r>
      <w:r>
        <w:rPr>
          <w:color w:val="000000"/>
        </w:rPr>
        <w:t>”</w:t>
      </w:r>
      <w:r>
        <w:rPr>
          <w:rFonts w:ascii="Times New Roman;sans-serif" w:hAnsi="Times New Roman;sans-serif"/>
          <w:b w:val="false"/>
          <w:color w:val="000000"/>
          <w:sz w:val="24"/>
        </w:rPr>
        <w:t xml:space="preserve">), then Hovione will be entitled, after conferring in good faith with Ardelyx to ensure minimal disruption to both Parties’ operations, to either: (a) (i) reallocate resources otherwise reserved for the performance of such Manufacturing and reschedule such Manufacturing based on available capacity planning at the applicable Manufacturing Site and (ii) use Commercially Reasonable Efforts to fill any idle capacity resulting from such API Delay, and (iii) with respect to any remaining idle capacity caused by such API Delay, charge Ardelyx the amount due for any such rescheduled Manufacturing as compensation for such idle capacity at the applicable Manufacturing Site, or (b) extend the timelines for delivery of Product, provided that Parties agree on adequate compensation (if applicable) for any idle time in the allocated resources in the applicable Manufacturing Site. If any such delay lasts for [***] or more, the Parties will meet to discuss how to resolve the situation including, if appropriate, the impact of cost and timeline.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Storage</w:t>
      </w:r>
      <w:r>
        <w:rPr>
          <w:rFonts w:ascii="Times New Roman;sans-serif" w:hAnsi="Times New Roman;sans-serif"/>
          <w:b w:val="false"/>
          <w:color w:val="000000"/>
          <w:sz w:val="24"/>
        </w:rPr>
        <w:t>. Hovione will handle, store and Manufacture the API in accordance with all environmental, health and safety information for the Product included within the material safety data sheets. Hovione will control the unloading of API arriving at the Manufacturing Site and will store such API at the Manufacturing Site or other mutually agreed storage facility (subject to any qualification of such facility required by Ardelyx) for up to [***] free of charge. The API will be held by Hovione on behalf of Ardelyx in accordance with this Agreement and any written instructions provided in connection with the API including as applicable any safety data sheets, safe handling instructions and health and environmental information associated therewith. The API will at all times remain the property of Ardelyx. Any API received by Hovione will only be used by Hovione to perform the Manufacturing Services for Ardelyx. Hovione will collect samples of API and deliver them to a third party designated by Ardelyx for testing in accordance with the Processing Instructions.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Risk of Loss</w:t>
      </w:r>
      <w:r>
        <w:rPr>
          <w:rFonts w:ascii="Times New Roman;sans-serif" w:hAnsi="Times New Roman;sans-serif"/>
          <w:b w:val="false"/>
          <w:color w:val="000000"/>
          <w:sz w:val="24"/>
        </w:rPr>
        <w:t xml:space="preserve">. Risk of loss of the API will at all times remain with Ardelyx while not in Hovione’s custody. [***]. Notwithstanding the foregoing: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 xml:space="preserve">Hovione will use Commercially Reasonable Efforts to keep secure and account for all API, Components and Product;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Risk of loss to Product will transfer to Ardelyx as set forth in Section 5.5.</w:t>
      </w:r>
    </w:p>
    <w:p>
      <w:pPr>
        <w:pStyle w:val="TextBody"/>
        <w:bidi w:val="0"/>
        <w:spacing w:before="120" w:after="24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2" name="Frame9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11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11 of 38</w:t>
                      </w:r>
                    </w:p>
                  </w:txbxContent>
                </v:textbox>
                <w10:wrap type="none"/>
              </v:rect>
            </w:pict>
          </mc:Fallback>
        </mc:AlternateConten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Hovione’s liability for API wasted as a result of Deficient Product Manufacturing shall be as set forth in Section 6;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rPr>
        <w:t>API loss resulting from [***] shall be mitigated in accordance with the Banking System described in Section 3.3(d);</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(v)</w:t>
      </w:r>
      <w:r>
        <w:rPr>
          <w:rFonts w:ascii="Times New Roman;sans-serif" w:hAnsi="Times New Roman;sans-serif"/>
          <w:b w:val="false"/>
          <w:color w:val="000000"/>
          <w:sz w:val="24"/>
        </w:rPr>
        <w:t xml:space="preserve">Except as provided in clauses (iii) and (iv) above relating to Deficient Product and low Product Yields, respectively, and subject to the terms of Section 10 and any adjustments resulting from the application of 3.3(d), Hovione agrees to reimburse Ardelyx in accordance with the API Reimbursement Price for any other quantities of API lost or destroyed while in the custody of Hovione if [***]; and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rPr>
        <w:t>If requested, Ardelyx will provide Hovione’s insurer with reasonable support for the cost of the lost or destroyed API.</w:t>
      </w:r>
    </w:p>
    <w:p>
      <w:pPr>
        <w:pStyle w:val="TextBody"/>
        <w:bidi w:val="0"/>
        <w:spacing w:lineRule="auto" w:line="288" w:before="0" w:after="240"/>
        <w:ind w:left="0" w:right="0" w:firstLine="1080"/>
        <w:jc w:val="both"/>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Yield Bank</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w:t>
      </w:r>
      <w:r>
        <w:rPr>
          <w:rFonts w:ascii="Times New Roman;sans-serif" w:hAnsi="Times New Roman;sans-serif"/>
          <w:b w:val="false"/>
          <w:color w:val="000000"/>
          <w:sz w:val="24"/>
        </w:rPr>
        <w:t>With respect to each Manufacturing Site, after the first ten (10) Batches of Product have been manufactured and released to Ardelyx in accordance with the Quality Agreement, the Parties shall agree in good faith on the actual Product per API ratio (“</w:t>
      </w:r>
      <w:r>
        <w:rPr>
          <w:rFonts w:ascii="Times New Roman;sans-serif" w:hAnsi="Times New Roman;sans-serif"/>
          <w:b w:val="false"/>
          <w:color w:val="000000"/>
          <w:sz w:val="24"/>
          <w:u w:val="single"/>
        </w:rPr>
        <w:t>Product Yield</w:t>
      </w:r>
      <w:r>
        <w:rPr>
          <w:color w:val="000000"/>
        </w:rPr>
        <w:t>”</w:t>
      </w:r>
      <w:r>
        <w:rPr>
          <w:rFonts w:ascii="Times New Roman;sans-serif" w:hAnsi="Times New Roman;sans-serif"/>
          <w:b w:val="false"/>
          <w:color w:val="000000"/>
          <w:sz w:val="24"/>
        </w:rPr>
        <w:t>) achieved from such ten (10) Batches. Thereafter, Hovione shall ensure that, on an annual basis, the Product Yield complies with [***] (the “[***]”). Parties acknowledge and agree that the [***] shall contain an allowed statistical deviation, as agreed by the Parties, which may change during the Term as more Batches of Product are manufactured and additional data are gathered from such manufacturing. The parties agree that as of the Effective Date, the Product Yield for Hovione Portugal is [***]% and the [***] for Hovione Portugal is [***]%. The [***] shall be revised yearly concurrently with updated annual Pricing pursuant to Section 4.2 to incorporate data from additional Batches of Product Manufactured and released to Ardelyx under this Agreement. For clarity, the Parties agree that the [***] and annual revision calculation shall be based only on Batches of Product released to Ardelyx in accordance with the Quality Agreement and shall not include Batches containing Deficient Product, whether or not the Deficient Product was released to Ardelyx.</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rPr>
        <w:t>Hovione shall have the right to credit yields in excess of the [***] to offset yields below the [***] or to offset losses due to Deficient Product prior to any compensation to Ardelyx (the “</w:t>
      </w:r>
      <w:r>
        <w:rPr>
          <w:rFonts w:ascii="Times New Roman;sans-serif" w:hAnsi="Times New Roman;sans-serif"/>
          <w:b w:val="false"/>
          <w:color w:val="000000"/>
          <w:sz w:val="24"/>
          <w:u w:val="single"/>
        </w:rPr>
        <w:t>Banking System</w:t>
      </w:r>
      <w:r>
        <w:rPr>
          <w:color w:val="000000"/>
        </w:rPr>
        <w:t>”</w:t>
      </w:r>
      <w:r>
        <w:rPr>
          <w:rFonts w:ascii="Times New Roman;sans-serif" w:hAnsi="Times New Roman;sans-serif"/>
          <w:b w:val="false"/>
          <w:color w:val="000000"/>
          <w:sz w:val="24"/>
        </w:rPr>
        <w:t xml:space="preserve">). If the [***] is not met with respect to a Batch, Hovione shall apply losses to the Banking System.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rPr>
        <w:t xml:space="preserve">Within ninety (90) days after the end of each calendar year, Hovione will prepare an annual reconciliation of actual annual Product Yield against the [***], considering the credits and debits applied to the Banking System. Should the annual Product Yield for such calendar year be less than [***], then Hovione will [***]. Should the actual Product Yield be higher than the [***], such excess shall be carried forward as a </w:t>
      </w:r>
    </w:p>
    <w:p>
      <w:pPr>
        <w:pStyle w:val="TextBody"/>
        <w:bidi w:val="0"/>
        <w:spacing w:before="120" w:after="24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3" name="Frame9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12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12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credit in the Banking System for the following year to be used to offset a future shortfall of Product Yield or losses due to Deficient Product during the Term.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 xml:space="preserve">3.5. </w:t>
      </w:r>
      <w:r>
        <w:rPr>
          <w:rFonts w:ascii="Times New Roman;sans-serif" w:hAnsi="Times New Roman;sans-serif"/>
          <w:b w:val="false"/>
          <w:color w:val="000000"/>
          <w:sz w:val="24"/>
          <w:u w:val="single"/>
        </w:rPr>
        <w:t>Information.</w:t>
      </w:r>
      <w:r>
        <w:rPr>
          <w:color w:val="000000"/>
        </w:rPr>
        <w:t xml:space="preserve"> </w:t>
      </w:r>
      <w:r>
        <w:rPr>
          <w:rFonts w:ascii="Times New Roman;sans-serif" w:hAnsi="Times New Roman;sans-serif"/>
          <w:b w:val="false"/>
          <w:color w:val="000000"/>
          <w:sz w:val="24"/>
        </w:rPr>
        <w:t>Upon reasonable request Ardelyx will provide information to Hovione as reasonably requested by Hovione in connection with its performance of Manufacturing of Product and its other obligations under this Agreement in compliance with Applicable Law.</w:t>
      </w:r>
    </w:p>
    <w:p>
      <w:pPr>
        <w:pStyle w:val="TextBody"/>
        <w:bidi w:val="0"/>
        <w:spacing w:lineRule="auto" w:line="288" w:before="0" w:after="240"/>
        <w:jc w:val="both"/>
        <w:rPr/>
      </w:pPr>
      <w:r>
        <w:rPr>
          <w:rFonts w:ascii="Times New Roman;sans-serif" w:hAnsi="Times New Roman;sans-serif"/>
          <w:b/>
          <w:color w:val="000000"/>
          <w:sz w:val="24"/>
        </w:rPr>
        <w:t>4.</w:t>
      </w:r>
      <w:r>
        <w:rPr>
          <w:rFonts w:ascii="Times New Roman;sans-serif" w:hAnsi="Times New Roman;sans-serif"/>
          <w:b/>
          <w:color w:val="000000"/>
          <w:sz w:val="24"/>
        </w:rPr>
        <w:t>Price and Price Adjustments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 xml:space="preserve">4.1. </w:t>
      </w:r>
      <w:r>
        <w:rPr>
          <w:rFonts w:ascii="Times New Roman;sans-serif" w:hAnsi="Times New Roman;sans-serif"/>
          <w:b w:val="false"/>
          <w:color w:val="000000"/>
          <w:sz w:val="24"/>
          <w:u w:val="single"/>
        </w:rPr>
        <w:t>Pricing</w:t>
      </w:r>
      <w:r>
        <w:rPr>
          <w:rFonts w:ascii="Times New Roman;sans-serif" w:hAnsi="Times New Roman;sans-serif"/>
          <w:b w:val="false"/>
          <w:color w:val="000000"/>
          <w:sz w:val="24"/>
        </w:rPr>
        <w:t xml:space="preserve">. The Pricing for manufacture and release of Product from the Original Manufacturing Site shall be as set forth on </w:t>
      </w:r>
      <w:r>
        <w:rPr>
          <w:rFonts w:ascii="Times New Roman;sans-serif" w:hAnsi="Times New Roman;sans-serif"/>
          <w:b w:val="false"/>
          <w:color w:val="000000"/>
          <w:sz w:val="24"/>
          <w:u w:val="single"/>
        </w:rPr>
        <w:t>Appendix 1</w:t>
      </w:r>
      <w:r>
        <w:rPr>
          <w:rFonts w:ascii="Times New Roman;sans-serif" w:hAnsi="Times New Roman;sans-serif"/>
          <w:b w:val="false"/>
          <w:color w:val="000000"/>
          <w:sz w:val="24"/>
        </w:rPr>
        <w:t xml:space="preserve">, subject to adjustment in accordance with this Section 4. All payments hereunder to be made in US Dollars. With respect to Fees for Manufacturing performed at Hovione Portugal, if the exchange rate between USD and Euro varies by [***]% or more beyond the Reference Exchange Rate (as defined in Appendix 2), then Parties agree to redefine the value of the Fees in accordance with the terms and conditions of Appendix 2.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 xml:space="preserve">4.2. </w:t>
      </w:r>
      <w:r>
        <w:rPr>
          <w:rFonts w:ascii="Times New Roman;sans-serif" w:hAnsi="Times New Roman;sans-serif"/>
          <w:b w:val="false"/>
          <w:color w:val="000000"/>
          <w:sz w:val="24"/>
          <w:u w:val="single"/>
        </w:rPr>
        <w:t>Annual Price Adjustments</w:t>
      </w:r>
      <w:r>
        <w:rPr>
          <w:rFonts w:ascii="Times New Roman;sans-serif" w:hAnsi="Times New Roman;sans-serif"/>
          <w:b w:val="false"/>
          <w:color w:val="000000"/>
          <w:sz w:val="24"/>
        </w:rPr>
        <w:t>. Hovione may adjust the Price effective January 1st of each Year following the first full Year, in an amount reflecting the greater of (a) [***] or (b) [***]. For all Price adjustments under this Section 4.2, Hovione will deliver to Ardelyx [***] a letter stating the adjusted Pricing to be effective for Product ordered on or after January 1 of the next Year together with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 xml:space="preserve">4.3. </w:t>
      </w:r>
      <w:r>
        <w:rPr>
          <w:rFonts w:ascii="Times New Roman;sans-serif" w:hAnsi="Times New Roman;sans-serif"/>
          <w:b w:val="false"/>
          <w:color w:val="000000"/>
          <w:sz w:val="24"/>
          <w:u w:val="single"/>
        </w:rPr>
        <w:t>Changes</w:t>
      </w:r>
      <w:r>
        <w:rPr>
          <w:rFonts w:ascii="Times New Roman;sans-serif" w:hAnsi="Times New Roman;sans-serif"/>
          <w:b w:val="false"/>
          <w:color w:val="000000"/>
          <w:sz w:val="24"/>
        </w:rPr>
        <w:t>. If Ardelyx requests any change to the scope of the Manufacturing Services as set forth in Section 3.2, the corresponding Change Order will set forth any adjustments to the Prices that are necessitated by the changes, which shall become effective upon execution of such Change Order.</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 xml:space="preserve">4.4. </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Any use, sales, excise, or value added tax, duty, custom, inspection or testing fee, or any other tax, fee or charge of any nature whatsoever imposed by any governmental authority on or measured by the transactions contemplated hereunder between Hovione and Ardelyx (other than Hovione’s income tax), will be paid by Ardelyx in addition to the Price. In the event Hovione is required to pay any such tax, fee, or charge: (a) Hovione will make such payment timely and in accordance with Applicable Laws, (b) Hovione will invoice Ardelyx for such payment including a copy of the applicable evidence of payment, and (c) Ardelyx will reimburse Hovione for such payment. In lieu of such payment, Ardelyx may provide Hovione at the time an order is submitted an exemption certificate or other document acceptable to the authority imposing the tax, fee or charge.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 xml:space="preserve">4.5. </w:t>
      </w:r>
      <w:r>
        <w:rPr>
          <w:rFonts w:ascii="Times New Roman;sans-serif" w:hAnsi="Times New Roman;sans-serif"/>
          <w:b w:val="false"/>
          <w:color w:val="000000"/>
          <w:sz w:val="24"/>
          <w:u w:val="single"/>
        </w:rPr>
        <w:t>Efforts to Achieve Price Reductions</w:t>
      </w:r>
      <w:r>
        <w:rPr>
          <w:rFonts w:ascii="Times New Roman;sans-serif" w:hAnsi="Times New Roman;sans-serif"/>
          <w:b w:val="false"/>
          <w:color w:val="000000"/>
          <w:sz w:val="24"/>
        </w:rPr>
        <w:t xml:space="preserve">. During the Term, Hovione and Ardelyx agree to use Commercially Reasonable Efforts to jointly develop a program aimed at [***] but this program will not involve capital or other extraordinary costs being incurred by any party without the prior written consent of the other party. To the extent successful, the </w:t>
      </w:r>
    </w:p>
    <w:p>
      <w:pPr>
        <w:pStyle w:val="TextBody"/>
        <w:bidi w:val="0"/>
        <w:spacing w:before="120" w:after="24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4"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13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13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parties shall discuss and negotiate in good faith the allocation of costs savings resulting from this cost reduction program. </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5.Purchasing Product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5.1.</w:t>
      </w:r>
      <w:r>
        <w:rPr>
          <w:rFonts w:ascii="Times New Roman;sans-serif" w:hAnsi="Times New Roman;sans-serif"/>
          <w:b w:val="false"/>
          <w:color w:val="000000"/>
          <w:sz w:val="24"/>
          <w:u w:val="single"/>
        </w:rPr>
        <w:t>Forecasts</w:t>
      </w:r>
      <w:r>
        <w:rPr>
          <w:rFonts w:ascii="Times New Roman;sans-serif" w:hAnsi="Times New Roman;sans-serif"/>
          <w:b w:val="false"/>
          <w:color w:val="000000"/>
          <w:sz w:val="24"/>
        </w:rPr>
        <w:t>. Within thirty (30) days after the Effective Date, Ardelyx will deliver to Hovione a written forecast of the volume of Product that Ardelyx expects to order from Hovione in each of the next [***] (the “</w:t>
      </w:r>
      <w:r>
        <w:rPr>
          <w:rFonts w:ascii="Times New Roman;sans-serif" w:hAnsi="Times New Roman;sans-serif"/>
          <w:b w:val="false"/>
          <w:color w:val="000000"/>
          <w:sz w:val="24"/>
          <w:u w:val="single"/>
        </w:rPr>
        <w:t>Forecast</w:t>
      </w:r>
      <w:r>
        <w:rPr>
          <w:color w:val="000000"/>
        </w:rPr>
        <w:t>”</w:t>
      </w:r>
      <w:r>
        <w:rPr>
          <w:rFonts w:ascii="Times New Roman;sans-serif" w:hAnsi="Times New Roman;sans-serif"/>
          <w:b w:val="false"/>
          <w:color w:val="000000"/>
          <w:sz w:val="24"/>
        </w:rPr>
        <w:t>). The first [***] of each Forecast will be binding on the Parties (the “</w:t>
      </w:r>
      <w:r>
        <w:rPr>
          <w:rFonts w:ascii="Times New Roman;sans-serif" w:hAnsi="Times New Roman;sans-serif"/>
          <w:b w:val="false"/>
          <w:color w:val="000000"/>
          <w:sz w:val="24"/>
          <w:u w:val="single"/>
        </w:rPr>
        <w:t>Binding Forecast</w:t>
      </w:r>
      <w:r>
        <w:rPr>
          <w:color w:val="000000"/>
        </w:rPr>
        <w:t>”</w:t>
      </w:r>
      <w:r>
        <w:rPr>
          <w:rFonts w:ascii="Times New Roman;sans-serif" w:hAnsi="Times New Roman;sans-serif"/>
          <w:b w:val="false"/>
          <w:color w:val="000000"/>
          <w:sz w:val="24"/>
        </w:rPr>
        <w:t>) and the remaining [***] will be [***], good faith estimates that may be increased or decreased by no more than [***] percent ([***]%) during the entire period from such month’s first appearance on the Forecast until such month becomes part of the Binding Forecast or as otherwise agreed by the Parties (the “</w:t>
      </w:r>
      <w:r>
        <w:rPr>
          <w:rFonts w:ascii="Times New Roman;sans-serif" w:hAnsi="Times New Roman;sans-serif"/>
          <w:b w:val="false"/>
          <w:color w:val="000000"/>
          <w:sz w:val="24"/>
          <w:u w:val="single"/>
        </w:rPr>
        <w:t>Non-binding Forecast</w:t>
      </w:r>
      <w:r>
        <w:rPr>
          <w:color w:val="000000"/>
        </w:rPr>
        <w:t>”</w:t>
      </w:r>
      <w:r>
        <w:rPr>
          <w:rFonts w:ascii="Times New Roman;sans-serif" w:hAnsi="Times New Roman;sans-serif"/>
          <w:b w:val="false"/>
          <w:color w:val="000000"/>
          <w:sz w:val="24"/>
        </w:rPr>
        <w:t>). Ardelyx will provide an updated Forecast at least quarterly. To the extent that any updated portion of a Forecast exceeds the Annual Commitment, Hovione will consider in good faith and make all reasonable efforts to accommodate such excess, subject to Hovione’s then binding capacity commitments to other customers. Within [***] after receipt of each Forecast, Hovione shall accept or reject such Forecast in writing, provided that [***]. If Hovione rejects a Forecast, it shall deliver written notice to Ardelyx of [***]. In the absence of such notice,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5.2.</w:t>
      </w:r>
      <w:r>
        <w:rPr>
          <w:rFonts w:ascii="Times New Roman;sans-serif" w:hAnsi="Times New Roman;sans-serif"/>
          <w:b w:val="false"/>
          <w:color w:val="000000"/>
          <w:sz w:val="24"/>
          <w:u w:val="single"/>
        </w:rPr>
        <w:t>Capacity; Order Placement</w:t>
      </w:r>
      <w:r>
        <w:rPr>
          <w:rFonts w:ascii="Times New Roman;sans-serif" w:hAnsi="Times New Roman;sans-serif"/>
          <w:b w:val="false"/>
          <w:color w:val="000000"/>
          <w:sz w:val="24"/>
        </w:rPr>
        <w:t>. In respect of Year 2025, and each Year throughout the remainder of the Term, Ardelyx shall deliver purchase orders quarterly that specify the order quantities and requested delivery dates for the Product in accordance with this Agreement (each a “</w:t>
      </w:r>
      <w:r>
        <w:rPr>
          <w:rFonts w:ascii="Times New Roman;sans-serif" w:hAnsi="Times New Roman;sans-serif"/>
          <w:b w:val="false"/>
          <w:color w:val="000000"/>
          <w:sz w:val="24"/>
          <w:u w:val="single"/>
        </w:rPr>
        <w:t>Purchase Order</w:t>
      </w:r>
      <w:r>
        <w:rPr>
          <w:color w:val="000000"/>
        </w:rPr>
        <w:t>”</w:t>
      </w:r>
      <w:r>
        <w:rPr>
          <w:rFonts w:ascii="Times New Roman;sans-serif" w:hAnsi="Times New Roman;sans-serif"/>
          <w:b w:val="false"/>
          <w:color w:val="000000"/>
          <w:sz w:val="24"/>
        </w:rPr>
        <w:t>). Ardelyx shall purchase Product in an amount at least equal to the Annual Commitment for each Year and otherwise consistent with the Binding Forecast. Hovione shall use Commercially Reasonable Efforts to accommodate any Ardelyx requests to manufacture and deliver volumes of Product which exceed the Binding Forecast (“</w:t>
      </w:r>
      <w:r>
        <w:rPr>
          <w:rFonts w:ascii="Times New Roman;sans-serif" w:hAnsi="Times New Roman;sans-serif"/>
          <w:b w:val="false"/>
          <w:color w:val="000000"/>
          <w:sz w:val="24"/>
          <w:u w:val="single"/>
        </w:rPr>
        <w:t>Excess Product</w:t>
      </w:r>
      <w:r>
        <w:rPr>
          <w:color w:val="000000"/>
        </w:rPr>
        <w:t>”</w:t>
      </w:r>
      <w:r>
        <w:rPr>
          <w:rFonts w:ascii="Times New Roman;sans-serif" w:hAnsi="Times New Roman;sans-serif"/>
          <w:b w:val="false"/>
          <w:color w:val="000000"/>
          <w:sz w:val="24"/>
        </w:rPr>
        <w:t>), but Hovione expressly reserves the right to accept or reject any requests to supply Excess Product. Unless otherwise expressly agreed between the Parties, Ardelyx agrees that it has no right of reservation over the Equipment or any other equipment of Hovione. Each Purchase Order shall (i) specify order quantities consistent with the then current Forecast, (ii) meet the Annual Commitment, and (iii) specify the Purchase Order number and requested Delivery Dates for the Product (not less than [***] from the date of the relevant Purchase Order, and otherwise in accordance with the minimum number of Batches per Hovione Release as set forth in Section 5.5). All Purchase Orders for Product submitted by Ardelyx during the Term will be subject to and will comply with the terms of this Agreement even if the Purchase Order does not expressly make reference to this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5.3.</w:t>
      </w:r>
      <w:r>
        <w:rPr>
          <w:rFonts w:ascii="Times New Roman;sans-serif" w:hAnsi="Times New Roman;sans-serif"/>
          <w:b w:val="false"/>
          <w:color w:val="000000"/>
          <w:sz w:val="24"/>
          <w:u w:val="single"/>
        </w:rPr>
        <w:t>Acceptance of Purchase Orders</w:t>
      </w:r>
      <w:r>
        <w:rPr>
          <w:rFonts w:ascii="Times New Roman;sans-serif" w:hAnsi="Times New Roman;sans-serif"/>
          <w:b w:val="false"/>
          <w:color w:val="000000"/>
          <w:sz w:val="24"/>
        </w:rPr>
        <w:t xml:space="preserve">. Hovione shall accept any Purchase Order which does not exceed the Binding Forecast and is properly submitted by Ardelyx in accordance with this Agreement, including in respect of the Delivery Dates stipulated in the relevant Purchase Order, and otherwise in compliance with Section 5.1 and Section 5.2 herein. Hovione may not reject a Purchase Order unless for reasons constituting Force Majeure or [***]. A Purchase Order submitted by Ardelyx and not properly rejected by </w:t>
      </w:r>
    </w:p>
    <w:p>
      <w:pPr>
        <w:pStyle w:val="TextBody"/>
        <w:bidi w:val="0"/>
        <w:spacing w:before="120" w:after="24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5" name="Frame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14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14 of 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Hovione within [***] will be binding on the parties (a “</w:t>
      </w:r>
      <w:r>
        <w:rPr>
          <w:rFonts w:ascii="Times New Roman;sans-serif" w:hAnsi="Times New Roman;sans-serif"/>
          <w:b w:val="false"/>
          <w:color w:val="000000"/>
          <w:sz w:val="24"/>
          <w:u w:val="single"/>
        </w:rPr>
        <w:t>Firm Order</w:t>
      </w:r>
      <w:r>
        <w:rPr>
          <w:color w:val="000000"/>
        </w:rPr>
        <w:t>”</w:t>
      </w:r>
      <w:r>
        <w:rPr>
          <w:rFonts w:ascii="Times New Roman;sans-serif" w:hAnsi="Times New Roman;sans-serif"/>
          <w:b w:val="false"/>
          <w:color w:val="000000"/>
          <w:sz w:val="24"/>
        </w:rPr>
        <w:t>). Promptly following acceptance of each Firm Order, Hovione will deliver to Ardelyx a copy of its campaign production schedule, after which either party may request a change to the Delivery Date in the Firm Order, and the parties will negotiate in good faith to agree on an alternative Delivery Date. If the parties cannot agree, the original Delivery Date set out in the relevant Firm Order will apply. The original Delivery Date shall in any event be the relevant date for purposes of KPI calculation described in Section 7.1.</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5.4.</w:t>
      </w:r>
      <w:r>
        <w:rPr>
          <w:rFonts w:ascii="Times New Roman;sans-serif" w:hAnsi="Times New Roman;sans-serif"/>
          <w:b w:val="false"/>
          <w:color w:val="000000"/>
          <w:sz w:val="24"/>
          <w:u w:val="single"/>
        </w:rPr>
        <w:t>Inventory Management</w:t>
      </w:r>
      <w:r>
        <w:rPr>
          <w:rFonts w:ascii="Times New Roman;sans-serif" w:hAnsi="Times New Roman;sans-serif"/>
          <w:b w:val="false"/>
          <w:color w:val="000000"/>
          <w:sz w:val="24"/>
        </w:rPr>
        <w:t>. Hovione will handle and store the Inventory in accordance with this Agreement, any safety data sheets, safe handling instructions and health and environmental information associated therewith and customary industry standards. If any Components have a shelf life or other expiry dating, Hovione will use the Components in manufacturing Product on a first-in, first-out basis to retain shelf life.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5.5.</w:t>
      </w:r>
      <w:r>
        <w:rPr>
          <w:rFonts w:ascii="Times New Roman;sans-serif" w:hAnsi="Times New Roman;sans-serif"/>
          <w:b w:val="false"/>
          <w:color w:val="000000"/>
          <w:sz w:val="24"/>
          <w:u w:val="single"/>
        </w:rPr>
        <w:t>Delivery, Shipping and Storage</w:t>
      </w:r>
      <w:r>
        <w:rPr>
          <w:rFonts w:ascii="Times New Roman;sans-serif" w:hAnsi="Times New Roman;sans-serif"/>
          <w:b w:val="false"/>
          <w:color w:val="000000"/>
          <w:sz w:val="24"/>
        </w:rPr>
        <w:t>. Hovione shall release Product together with its issuance of a Certificate of Analysis (as defined in the Quality Agreement) and the Manufacturing Records for the applicable Batch in writing. If Ardelyx identifies any deficiency with the Manufacturing Records it should provide prompt notice to Hovione which shall occur no later than [***] after receipt of the complete Certificate of Analysis and the completed Manufacturing Records. The [***] period set forth in the preceding sentence shall be tolled until Hovione has delivered the complete Manufacturing Records (</w:t>
      </w:r>
      <w:r>
        <w:rPr>
          <w:rFonts w:ascii="Times New Roman;sans-serif" w:hAnsi="Times New Roman;sans-serif"/>
          <w:b w:val="false"/>
          <w:i/>
          <w:color w:val="000000"/>
          <w:sz w:val="24"/>
        </w:rPr>
        <w:t>i.e.</w:t>
      </w:r>
      <w:r>
        <w:rPr>
          <w:color w:val="000000"/>
        </w:rPr>
        <w:t xml:space="preserve"> </w:t>
      </w:r>
      <w:r>
        <w:rPr>
          <w:rFonts w:ascii="Times New Roman;sans-serif" w:hAnsi="Times New Roman;sans-serif"/>
          <w:b w:val="false"/>
          <w:color w:val="000000"/>
          <w:sz w:val="24"/>
        </w:rPr>
        <w:t>the time between the notice from Ardelyx of a deficient Manufacturing Batch and the date of reissuance of the complete Manufacturing Records to Ardelyx will not be included in calculating the [***] period set forth above). Hovione shall retain copies of the Manufacturing Records for such period set forth in the Quality Agreement. Upon Ardelyx’s approval of the Manufacturing Records of at least [***] Batches, Hovione shall make available for Delivery the respective Batches of Product to Ardelyx or its designee in accordance with the Quality Agreement (“</w:t>
      </w:r>
      <w:r>
        <w:rPr>
          <w:rFonts w:ascii="Times New Roman;sans-serif" w:hAnsi="Times New Roman;sans-serif"/>
          <w:b w:val="false"/>
          <w:color w:val="000000"/>
          <w:sz w:val="24"/>
          <w:u w:val="single"/>
        </w:rPr>
        <w:t>Hovione Release</w:t>
      </w:r>
      <w:r>
        <w:rPr>
          <w:color w:val="000000"/>
        </w:rPr>
        <w:t>”</w:t>
      </w:r>
      <w:r>
        <w:rPr>
          <w:rFonts w:ascii="Times New Roman;sans-serif" w:hAnsi="Times New Roman;sans-serif"/>
          <w:b w:val="false"/>
          <w:color w:val="000000"/>
          <w:sz w:val="24"/>
        </w:rPr>
        <w:t>). For clarity Hovione Release shall only occur with multiple Batches with a minimum threshold of three (3) Batches as set forth above, unless Hovione in its absolute discretion decides to act otherwise. Delivery of Product and any other materials will be [***] from Hovione’s Manufacturing Site on the relevant Delivery Date. [***] is responsible for taking delivery of Product at Hovione’s Manufacturing Site with its carrier of choice. [***]. All shipping instructions of Ardelyx will be accompanied by the name and address of the recipient and the shipping date and any costs and insurance associated with shipping will be borne by Ardelyx. Ardelyx will arrange for insurance and will select the freight carrier used by Hovione to ship Product and may monitor Hovione’s shipping and freight activity under this Agreement. Should Ardelyx require special handling, packaging or services not set forth in the Specifications or Processing Instructions (other than for confirmatory testing required by downstream manufacturers), then the cost of such special handling, packaging or services will be borne entirely by Ardelyx at Hovione’s prevailing rates. Ardelyx will use Commercially Reasonable Efforts to take delivery of all Product within [***] after the Delivery Date. Thereafter, Hovione will store Product for up to [***], subject to storage fees at Hovione’s prevailing rates.</w:t>
      </w:r>
    </w:p>
    <w:p>
      <w:pPr>
        <w:pStyle w:val="TextBody"/>
        <w:bidi w:val="0"/>
        <w:spacing w:before="120" w:after="24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6" name="Frame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15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15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5.6.</w:t>
      </w:r>
      <w:r>
        <w:rPr>
          <w:rFonts w:ascii="Times New Roman;sans-serif" w:hAnsi="Times New Roman;sans-serif"/>
          <w:b w:val="false"/>
          <w:color w:val="000000"/>
          <w:sz w:val="24"/>
          <w:u w:val="single"/>
        </w:rPr>
        <w:t>Invoices and Payment</w:t>
      </w:r>
      <w:r>
        <w:rPr>
          <w:rFonts w:ascii="Times New Roman;sans-serif" w:hAnsi="Times New Roman;sans-serif"/>
          <w:b w:val="false"/>
          <w:color w:val="000000"/>
          <w:sz w:val="24"/>
        </w:rPr>
        <w:t>. Hovione will issue and deliver its invoice for each delivery of Product upon the applicable Hovione Release as set forth in Section 5.5, by email to [***]. Hovione will also submit to Ardelyx, with each shipment of Product, a duplicate copy of the invoice covering the shipment. Each invoice will, to the extent applicable, identify the applicable Ardelyx Purchase Order number, Product name and quantity, unit price, freight charges, and the total amount to be paid by Ardelyx. Ardelyx will pay all undisputed invoices within thirty (30) days of the delivery of the invoice. If any portion of an invoice is disputed, Ardelyx will pay Hovione for the undisputed amount and the parties will use good faith efforts to reconcile the disputed amount as soon as practicable. Hovione shall not suspend Manufacturing Services, withhold Product, or otherwise delay or stop providing services in connection with any such good faith dispute. In the event any undisputed payment is not made on time for three consecutive invoices, Hovione will be entitled, in addition to its other rights and remedies, to (a) charge interest on the unpaid amount at the rate of one and one half percent (1.5%) per month of the unpaid undisputed balance per month or the maximum amount allowed by law; and (b) if such non-payment persists for six consecutive undisputed invoices, to cease work and stop deliveries until such payment, including any interest, is made.</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6.Product Rejection and Recalls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Acceptance</w:t>
      </w:r>
      <w:r>
        <w:rPr>
          <w:rFonts w:ascii="Times New Roman;sans-serif" w:hAnsi="Times New Roman;sans-serif"/>
          <w:b w:val="false"/>
          <w:color w:val="000000"/>
          <w:sz w:val="24"/>
        </w:rPr>
        <w:t xml:space="preserve">. Within [***] following Ardelyx’s receipt of the Product and approved Manufacturing Records, Ardelyx shall provide Hovione with written notice of its acceptance or rejection of the Product. If Ardelyx fails to provide Hovione with written notice within such [***] period, the Product will be deemed to be accepted by Ardelyx.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Rejection</w:t>
      </w:r>
      <w:r>
        <w:rPr>
          <w:rFonts w:ascii="Times New Roman;sans-serif" w:hAnsi="Times New Roman;sans-serif"/>
          <w:b w:val="false"/>
          <w:color w:val="000000"/>
          <w:sz w:val="24"/>
        </w:rPr>
        <w:t>. Ardelyx may reject any Product (a “</w:t>
      </w:r>
      <w:r>
        <w:rPr>
          <w:rFonts w:ascii="Times New Roman;sans-serif" w:hAnsi="Times New Roman;sans-serif"/>
          <w:b w:val="false"/>
          <w:color w:val="000000"/>
          <w:sz w:val="24"/>
          <w:u w:val="single"/>
        </w:rPr>
        <w:t>Product Rejection</w:t>
      </w:r>
      <w:r>
        <w:rPr>
          <w:color w:val="000000"/>
        </w:rPr>
        <w:t>”</w:t>
      </w:r>
      <w:r>
        <w:rPr>
          <w:rFonts w:ascii="Times New Roman;sans-serif" w:hAnsi="Times New Roman;sans-serif"/>
          <w:b w:val="false"/>
          <w:color w:val="000000"/>
          <w:sz w:val="24"/>
        </w:rPr>
        <w:t>) for any portion of any Batch of Product for which Hovione did not [***] or where the Product otherwise fails to [***] (“</w:t>
      </w:r>
      <w:r>
        <w:rPr>
          <w:rFonts w:ascii="Times New Roman;sans-serif" w:hAnsi="Times New Roman;sans-serif"/>
          <w:b w:val="false"/>
          <w:color w:val="000000"/>
          <w:sz w:val="24"/>
          <w:u w:val="single"/>
        </w:rPr>
        <w:t>Deficient Product</w:t>
      </w:r>
      <w:r>
        <w:rPr>
          <w:color w:val="000000"/>
        </w:rPr>
        <w:t>”</w:t>
      </w:r>
      <w:r>
        <w:rPr>
          <w:rFonts w:ascii="Times New Roman;sans-serif" w:hAnsi="Times New Roman;sans-serif"/>
          <w:b w:val="false"/>
          <w:color w:val="000000"/>
          <w:sz w:val="24"/>
        </w:rPr>
        <w:t xml:space="preserve">). Any rejection notice issued shall state in reasonably sufficient detail the [***]. Ardelyx shall have the right to, and Hovione may require that Ardelyx, return any rejected Product to Hovione at [***]’s cost. With respect to Product Rejection relating to Deficient Product that (i) [***] (“[***]”), Ardelyx will in all cases give written notice within [***] after the Delivery Date of the Product. For clarity, Hovione shall only be liable for Product Rejection as expressly set forth in Section 6.4.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Determination of Deficiency</w:t>
      </w:r>
      <w:r>
        <w:rPr>
          <w:rFonts w:ascii="Times New Roman;sans-serif" w:hAnsi="Times New Roman;sans-serif"/>
          <w:b w:val="false"/>
          <w:color w:val="000000"/>
          <w:sz w:val="24"/>
        </w:rPr>
        <w:t>. The basis for a Product Rejection by Ardelyx shall be conclusive unless Hovione notifies Ardelyx via email or otherwise in writing within [***] of its receipt of the rejection notice that it disagrees with the basis for rejection. In the event Hovione and Ardelyx are unable to agree as to whether the Product has been appropriately rejected, [***]. The conclusion of such mutually [***] shall be binding for both Parties.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Replacement Product</w:t>
      </w:r>
      <w:r>
        <w:rPr>
          <w:rFonts w:ascii="Times New Roman;sans-serif" w:hAnsi="Times New Roman;sans-serif"/>
          <w:b w:val="false"/>
          <w:color w:val="000000"/>
          <w:sz w:val="24"/>
        </w:rPr>
        <w:t xml:space="preserve">. In the event that any Product is appropriately rejected and unless Hovione can show with sufficient evidence that (i) [***] (collectively “[***]”) or (ii) Deficient Product is otherwise due to Ardelyx’s Fault, then Hovione shall promptly [***]. If the Parties determine that replacement can not be done through reprocessing or </w:t>
      </w:r>
    </w:p>
    <w:p>
      <w:pPr>
        <w:pStyle w:val="TextBody"/>
        <w:bidi w:val="0"/>
        <w:spacing w:before="120" w:after="24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7" name="Frame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16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16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reworking, Hovione shall promptly, at Ardelyx’s election following good faith consultation with Hovione, either: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6.4.1.</w:t>
      </w:r>
      <w:r>
        <w:rPr>
          <w:rFonts w:ascii="Times New Roman;sans-serif" w:hAnsi="Times New Roman;sans-serif"/>
          <w:b w:val="false"/>
          <w:color w:val="000000"/>
          <w:sz w:val="24"/>
        </w:rPr>
        <w:t>Use Commercially Reasonable Efforts to replace such Deficient Product, if [***], provided that the acceptance procedures described above shall be repeated for any replacement Product. Costs for such replacement Product shall be as follows:</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6.4.1.1.</w:t>
      </w:r>
      <w:r>
        <w:rPr>
          <w:rFonts w:ascii="Times New Roman;sans-serif" w:hAnsi="Times New Roman;sans-serif"/>
          <w:b w:val="false"/>
          <w:color w:val="000000"/>
          <w:sz w:val="24"/>
          <w:u w:val="single"/>
        </w:rPr>
        <w:t>Manufacturing Services Costs</w:t>
      </w:r>
      <w:r>
        <w:rPr>
          <w:rFonts w:ascii="Times New Roman;sans-serif" w:hAnsi="Times New Roman;sans-serif"/>
          <w:b w:val="false"/>
          <w:color w:val="000000"/>
          <w:sz w:val="24"/>
        </w:rPr>
        <w:t>. Unless Hovione can show with sufficient evidence that (i) [***] or (ii) Deficient Product is otherwise due to Ardelyx’s Fault, Hovione will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6.4.1.2.</w:t>
      </w:r>
      <w:r>
        <w:rPr>
          <w:rFonts w:ascii="Times New Roman;sans-serif" w:hAnsi="Times New Roman;sans-serif"/>
          <w:b w:val="false"/>
          <w:color w:val="000000"/>
          <w:sz w:val="24"/>
          <w:u w:val="single"/>
        </w:rPr>
        <w:t>API Costs</w:t>
      </w:r>
      <w:r>
        <w:rPr>
          <w:rFonts w:ascii="Times New Roman;sans-serif" w:hAnsi="Times New Roman;sans-serif"/>
          <w:b w:val="false"/>
          <w:color w:val="000000"/>
          <w:sz w:val="24"/>
        </w:rPr>
        <w:t xml:space="preserve">. Unless Ardelyx can provide sufficient evidence that the failure in the Deficient Product is due to Hovione’s Fault, Ardelyx shall pay [***]; or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6.4.2.</w:t>
      </w:r>
      <w:r>
        <w:rPr>
          <w:rFonts w:ascii="Times New Roman;sans-serif" w:hAnsi="Times New Roman;sans-serif"/>
          <w:b w:val="false"/>
          <w:color w:val="000000"/>
          <w:sz w:val="24"/>
        </w:rPr>
        <w:t xml:space="preserve">Credit such amounts as follows: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6.4.2.1.</w:t>
      </w:r>
      <w:r>
        <w:rPr>
          <w:rFonts w:ascii="Times New Roman;sans-serif" w:hAnsi="Times New Roman;sans-serif"/>
          <w:b w:val="false"/>
          <w:color w:val="000000"/>
          <w:sz w:val="24"/>
          <w:u w:val="single"/>
        </w:rPr>
        <w:t>Manufacturing Services Costs</w:t>
      </w:r>
      <w:r>
        <w:rPr>
          <w:rFonts w:ascii="Times New Roman;sans-serif" w:hAnsi="Times New Roman;sans-serif"/>
          <w:b w:val="false"/>
          <w:color w:val="000000"/>
          <w:sz w:val="24"/>
        </w:rPr>
        <w:t>. Credit [***]% of [***] unless Hovione can show with sufficient evidence that the Deficient Product is due to [***]; and</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6.4.2.2.</w:t>
      </w:r>
      <w:r>
        <w:rPr>
          <w:rFonts w:ascii="Times New Roman;sans-serif" w:hAnsi="Times New Roman;sans-serif"/>
          <w:b w:val="false"/>
          <w:color w:val="000000"/>
          <w:sz w:val="24"/>
          <w:u w:val="single"/>
        </w:rPr>
        <w:t>API Costs</w:t>
      </w:r>
      <w:r>
        <w:rPr>
          <w:rFonts w:ascii="Times New Roman;sans-serif" w:hAnsi="Times New Roman;sans-serif"/>
          <w:b w:val="false"/>
          <w:color w:val="000000"/>
          <w:sz w:val="24"/>
        </w:rPr>
        <w:t xml:space="preserve">. If Ardelyx can provide sufficient evidence that the failure in the Deficient Product is due to Hovione Fault, credit [***]% of [***] in respect of such Deficient Product Batch(es).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6.4.3.</w:t>
      </w:r>
      <w:r>
        <w:rPr>
          <w:rFonts w:ascii="Times New Roman;sans-serif" w:hAnsi="Times New Roman;sans-serif"/>
          <w:b w:val="false"/>
          <w:color w:val="000000"/>
          <w:sz w:val="24"/>
        </w:rPr>
        <w:t>Subject to Section 10.3, the remedies set forth in Section 6.4.1 and Section 6.4.2 are Ardelyx’s sole remedies under this Agreement with respect to Deficient Product.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Supply Failure</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6.5.1.</w:t>
      </w:r>
      <w:r>
        <w:rPr>
          <w:rFonts w:ascii="Times New Roman;sans-serif" w:hAnsi="Times New Roman;sans-serif"/>
          <w:b w:val="false"/>
          <w:color w:val="000000"/>
          <w:sz w:val="24"/>
          <w:u w:val="single"/>
        </w:rPr>
        <w:t>Remedies for Supply Failure</w:t>
      </w:r>
      <w:r>
        <w:rPr>
          <w:rFonts w:ascii="Times New Roman;sans-serif" w:hAnsi="Times New Roman;sans-serif"/>
          <w:b w:val="false"/>
          <w:color w:val="000000"/>
          <w:sz w:val="24"/>
        </w:rPr>
        <w:t>. Hovione shall work diligently to avoid Supply Failure during the Term. In the event of a Supply Failure, Ardelyx may in its sole discretion do one or more of the following: (a) [***], (b) [***]. To the extent such Supply Failure was due to [***], for clarity excluding any Supply Failure resulting from Deficient Product to the extent Hovione is not liable for such Deficient Product under Section 6.2, and notwithstanding Section 5.1, Ardelyx may (i) adjust its Forecast as reasonably required by Ardelyx to account for the Supply Failure and its impact on forecasted market demands and (ii) adjust any outstanding Binding Forecast not yet Manufactured, including any payment obligations associated therewith, without any further liability on Ardelyx’s part, and (iii)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6.5.2.</w:t>
      </w:r>
      <w:r>
        <w:rPr>
          <w:rFonts w:ascii="Times New Roman;sans-serif" w:hAnsi="Times New Roman;sans-serif"/>
          <w:b w:val="false"/>
          <w:color w:val="000000"/>
          <w:sz w:val="24"/>
          <w:u w:val="single"/>
        </w:rPr>
        <w:t>Annual Commitment</w:t>
      </w:r>
      <w:r>
        <w:rPr>
          <w:rFonts w:ascii="Times New Roman;sans-serif" w:hAnsi="Times New Roman;sans-serif"/>
          <w:b w:val="false"/>
          <w:color w:val="000000"/>
          <w:sz w:val="24"/>
        </w:rPr>
        <w:t xml:space="preserve">. In addition to the remedies set forth in Section 6.5.1, if Hovione fails to deliver at least [***] percent ([***]%) of the total aggregate quantity of Product placed under all Firm Orders in any given Year (provide such quantities are equal or above the Annual Commitment), within [***] after the last Delivery Date </w:t>
      </w:r>
    </w:p>
    <w:p>
      <w:pPr>
        <w:pStyle w:val="TextBody"/>
        <w:bidi w:val="0"/>
        <w:spacing w:before="120" w:after="24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8" name="Frame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17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17 of 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scheduled for each respective Firm Order for [***] within the Term (“</w:t>
      </w:r>
      <w:r>
        <w:rPr>
          <w:rFonts w:ascii="Times New Roman;sans-serif" w:hAnsi="Times New Roman;sans-serif"/>
          <w:b w:val="false"/>
          <w:color w:val="000000"/>
          <w:sz w:val="24"/>
          <w:u w:val="single"/>
        </w:rPr>
        <w:t>Firm Order Failure</w:t>
      </w:r>
      <w:r>
        <w:rPr>
          <w:color w:val="000000"/>
        </w:rPr>
        <w:t>”</w:t>
      </w:r>
      <w:r>
        <w:rPr>
          <w:rFonts w:ascii="Times New Roman;sans-serif" w:hAnsi="Times New Roman;sans-serif"/>
          <w:b w:val="false"/>
          <w:color w:val="000000"/>
          <w:sz w:val="24"/>
        </w:rPr>
        <w:t>), then Ardelyx shall [***] until such time as Hovione has delivered at least [***], without Firm Order Failure, after which the [***]. The remedies contained in this Section 6.5 for a Supply Failure will be in addition to the rights of indemnification contained in Section 11.1 and any other rights and remedies available under this Agreement to Ardelyx.</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6.5.3.</w:t>
      </w:r>
      <w:r>
        <w:rPr>
          <w:rFonts w:ascii="Times New Roman;sans-serif" w:hAnsi="Times New Roman;sans-serif"/>
          <w:b w:val="false"/>
          <w:color w:val="000000"/>
          <w:sz w:val="24"/>
          <w:u w:val="single"/>
        </w:rPr>
        <w:t>Adverse Supply Events</w:t>
      </w:r>
      <w:r>
        <w:rPr>
          <w:rFonts w:ascii="Times New Roman;sans-serif" w:hAnsi="Times New Roman;sans-serif"/>
          <w:b w:val="false"/>
          <w:color w:val="000000"/>
          <w:sz w:val="24"/>
        </w:rPr>
        <w:t>. If there is an Adverse Supply Event that Hovione does not remediate so that it can perform the Manufacturing Services in accordance with the Processing Instructions and manufacture Product in accordance with this Agreement within [***], Ardelyx may [***]. To the extent such Adverse Supply Event was due to Hovione’s Fault, Ardelyx may in its discretion do any of the following (i) [***] or (ii) [***]. In the event an Adverse Supply Event is due to Hovione being unable to comply with a change in the Processing Instructions or Specifications that is required by the FDA or other United States Regulatory Agency, (a) the Parties shall discuss in good faith [***], and (b) [***]. The existence of an Adverse Supply Event will not exonerate or otherwise relieve either Party of any liability for breach of any independent obligation contained in this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Processing Holds and Cancellation Fees</w:t>
      </w:r>
      <w:r>
        <w:rPr>
          <w:rFonts w:ascii="Times New Roman;sans-serif" w:hAnsi="Times New Roman;sans-serif"/>
          <w:b w:val="false"/>
          <w:color w:val="000000"/>
          <w:sz w:val="24"/>
        </w:rPr>
        <w:t>. Notwithstanding anything to the contrary herein, Ardelyx may at any time instruct Hovione to suspend Manufacture of the Product on [***] days’ written notice following [***] (a “</w:t>
      </w:r>
      <w:r>
        <w:rPr>
          <w:rFonts w:ascii="Times New Roman;sans-serif" w:hAnsi="Times New Roman;sans-serif"/>
          <w:b w:val="false"/>
          <w:color w:val="000000"/>
          <w:sz w:val="24"/>
          <w:u w:val="single"/>
        </w:rPr>
        <w:t>Processing Hold</w:t>
      </w:r>
      <w:r>
        <w:rPr>
          <w:color w:val="000000"/>
        </w:rPr>
        <w:t>”</w:t>
      </w:r>
      <w:r>
        <w:rPr>
          <w:rFonts w:ascii="Times New Roman;sans-serif" w:hAnsi="Times New Roman;sans-serif"/>
          <w:b w:val="false"/>
          <w:color w:val="000000"/>
          <w:sz w:val="24"/>
        </w:rPr>
        <w:t>) so that the Parties can confer to discuss the underlying cause(s). Hovione shall not commence Processing during such notice period but may complete Batches that have already commenced Processing on the date such notice was delivered. Within [***] days after initiation of a Processing Hold, the Parties shall negotiate in good faith any changes or remedies appropriate under the circumstances in respect of the applicable Firm Order, impacted Forecast, Annual Commitment and/or Pricing. The Processing Hold shall expire upon execution of a written instrument reflecting the foregoing mutually agreed changes and/or remedies, provided that if the Parties fail to reach agreement within [***]) days after initiation of the Processing Hold, then: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6.6.1.</w:t>
      </w:r>
      <w:r>
        <w:rPr>
          <w:rFonts w:ascii="Times New Roman;sans-serif" w:hAnsi="Times New Roman;sans-serif"/>
          <w:b w:val="false"/>
          <w:color w:val="000000"/>
          <w:sz w:val="24"/>
        </w:rPr>
        <w:t>To the extent that Ardelyx instructs Hovione to remain in a Processing Hold, Ardelyx shall pay for Facility idle time (“</w:t>
      </w:r>
      <w:r>
        <w:rPr>
          <w:rFonts w:ascii="Times New Roman;sans-serif" w:hAnsi="Times New Roman;sans-serif"/>
          <w:b w:val="false"/>
          <w:color w:val="000000"/>
          <w:sz w:val="24"/>
          <w:u w:val="single"/>
        </w:rPr>
        <w:t>Idle Time</w:t>
      </w:r>
      <w:r>
        <w:rPr>
          <w:color w:val="000000"/>
        </w:rPr>
        <w:t>”</w:t>
      </w:r>
      <w:r>
        <w:rPr>
          <w:rFonts w:ascii="Times New Roman;sans-serif" w:hAnsi="Times New Roman;sans-serif"/>
          <w:b w:val="false"/>
          <w:color w:val="000000"/>
          <w:sz w:val="24"/>
        </w:rPr>
        <w:t>), including any Idle Time incurred within [***] after a Processing Hold, at an annualized rate of [***] during such period of Processing Hold;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6.6.2.</w:t>
      </w:r>
      <w:r>
        <w:rPr>
          <w:rFonts w:ascii="Times New Roman;sans-serif" w:hAnsi="Times New Roman;sans-serif"/>
          <w:b w:val="false"/>
          <w:color w:val="000000"/>
          <w:sz w:val="24"/>
        </w:rPr>
        <w:t xml:space="preserve">Ardelyx shall have a right to terminate this Agreement in the event of a Processing Hold, effective on the [***] anniversary of the notice of termination issued in accordance with this Section, subject to payment, at Ardelyx’s discretion, of one of the following: (A) Annual Commitment for the remainder of such truncated Term (or the reduced Annual Commitment in accordance with Section 6.5.1(iii) if applicable),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Hovione shall use Commercially Reasonable Efforts to reallocate any resources liberated in connection with such termination to other projects, and to the extent successful in reallocating the resources previously reserved for Ardelyx, reduce or waive any corresponding payment obligations of Ardelyx; or (B) non-refundable yearly fees for the </w:t>
      </w:r>
    </w:p>
    <w:p>
      <w:pPr>
        <w:pStyle w:val="TextBody"/>
        <w:bidi w:val="0"/>
        <w:spacing w:before="120" w:after="24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99" name="Frame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18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18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remainder of such truncated Term, but without further Annual Commitment obligations, as follows: (i) [***] percent ([***]%) of the Idle Time fees due for the period between the notice of termination and [***]; (ii) [***] percent ([***]%) of the Idle Time fees due for the period between [***] and [***]; and (iii) [***] percent ([***]%) of the Idle Time fees due for the period between [***] and [***]. Ardelyx shall determine in its notice of termination its choice between items (A) and (B) above;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6.6.3.</w:t>
      </w:r>
      <w:r>
        <w:rPr>
          <w:rFonts w:ascii="Times New Roman;sans-serif" w:hAnsi="Times New Roman;sans-serif"/>
          <w:b w:val="false"/>
          <w:color w:val="000000"/>
          <w:sz w:val="24"/>
        </w:rPr>
        <w:t>A Processing Hold may be lifted by mutual agreement following Ardelyx’s written notice to Hovione accompanied by an updated Forecast and a new Firm Order, subject to delivery of any Idle Time payments due in respect of such Processing Hold. Hovione shall agree to any such lifting of a Processing Hold unless it reasonably determines that further Processing would be unlawful or technically impossible. Commencing on the first Hovione Release of non-Deficient Product under such new Firm Order, (a) the Annual Commitment shall be reinstated to the level set forth in Section 2.2, prorated for the remainder of the applicable Year and (b) Ardelyx’s right of termination under Section 6.6.2 shall expire in respect of the lifted Processing Hold. For clarity, such termination right shall be available for any subsequent Processing Hold, subject to the terms of this Section 6.6.</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6.6.4.</w:t>
      </w:r>
      <w:r>
        <w:rPr>
          <w:rFonts w:ascii="Times New Roman;sans-serif" w:hAnsi="Times New Roman;sans-serif"/>
          <w:b w:val="false"/>
          <w:color w:val="000000"/>
          <w:sz w:val="24"/>
        </w:rPr>
        <w:t xml:space="preserve">In either option (A) or (B) as set forth in Section 6.6.2, starting from the receipt of a notice of termination following a Processing Hold in accordance with Section 6.6.2, Hovione shall have the right to reallocate resources liberated through any Processing Hold to other projects and in option (A) shall reduce or waive the respective fees as set forth in Section 6.6.2. Any credits or other payments due to Ardelyx under this Agreement shall be issued within [***].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6.7.</w:t>
      </w:r>
      <w:r>
        <w:rPr>
          <w:rFonts w:ascii="Times New Roman;sans-serif" w:hAnsi="Times New Roman;sans-serif"/>
          <w:b w:val="false"/>
          <w:color w:val="000000"/>
          <w:sz w:val="24"/>
          <w:u w:val="single"/>
        </w:rPr>
        <w:t>Product Recalls and Returns</w:t>
      </w:r>
      <w:r>
        <w:rPr>
          <w:rFonts w:ascii="Times New Roman;sans-serif" w:hAnsi="Times New Roman;sans-serif"/>
          <w:b w:val="false"/>
          <w:color w:val="000000"/>
          <w:sz w:val="24"/>
        </w:rPr>
        <w: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6.7.1.</w:t>
      </w:r>
      <w:r>
        <w:rPr>
          <w:rFonts w:ascii="Times New Roman;sans-serif" w:hAnsi="Times New Roman;sans-serif"/>
          <w:b w:val="false"/>
          <w:color w:val="000000"/>
          <w:sz w:val="24"/>
          <w:u w:val="single"/>
        </w:rPr>
        <w:t>Records and Notice</w:t>
      </w:r>
      <w:r>
        <w:rPr>
          <w:rFonts w:ascii="Times New Roman;sans-serif" w:hAnsi="Times New Roman;sans-serif"/>
          <w:b w:val="false"/>
          <w:color w:val="000000"/>
          <w:sz w:val="24"/>
        </w:rPr>
        <w:t>. The parties will each maintain records, in accordance with cGMP and each Party’s standard operating procedures, and otherwise as reasonably necessary to permit a Recall of any Product delivered to Ardelyx or customers of Ardelyx. Each party will promptly notify the other of any information which might affect the marketability, safety or effectiveness of the Product or which might result in the Recall or seizure of the Product in accordance with the Quality Agreement. The decision to initiate a Recall or to take some other corrective action, if any, will be [***]. “</w:t>
      </w:r>
      <w:r>
        <w:rPr>
          <w:rFonts w:ascii="Times New Roman;sans-serif" w:hAnsi="Times New Roman;sans-serif"/>
          <w:b w:val="false"/>
          <w:color w:val="000000"/>
          <w:sz w:val="24"/>
          <w:u w:val="single"/>
        </w:rPr>
        <w:t>Recall</w:t>
      </w:r>
      <w:r>
        <w:rPr>
          <w:color w:val="000000"/>
        </w:rPr>
        <w:t xml:space="preserve">” </w:t>
      </w:r>
      <w:r>
        <w:rPr>
          <w:rFonts w:ascii="Times New Roman;sans-serif" w:hAnsi="Times New Roman;sans-serif"/>
          <w:b w:val="false"/>
          <w:color w:val="000000"/>
          <w:sz w:val="24"/>
        </w:rPr>
        <w:t>will mean any action: (i) by Ardelyx to recover title to or possession of quantities of the Product sold or shipped to third parties (including, without limitation, the voluntary withdrawal of Product from the market); (ii) by any Regulatory Authority to detain or destroy any of the Product; or (iii) by either party to refrain from selling or shipping quantities of the Product to third parties which would be subject to a Recall if sold or shipped.</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6.7.2.</w:t>
      </w:r>
      <w:r>
        <w:rPr>
          <w:rFonts w:ascii="Times New Roman;sans-serif" w:hAnsi="Times New Roman;sans-serif"/>
          <w:b w:val="false"/>
          <w:color w:val="000000"/>
          <w:sz w:val="24"/>
          <w:u w:val="single"/>
        </w:rPr>
        <w:t>Recalls</w:t>
      </w:r>
      <w:r>
        <w:rPr>
          <w:rFonts w:ascii="Times New Roman;sans-serif" w:hAnsi="Times New Roman;sans-serif"/>
          <w:b w:val="false"/>
          <w:color w:val="000000"/>
          <w:sz w:val="24"/>
        </w:rPr>
        <w:t xml:space="preserve">. If: (i) any Regulatory Authority issues a directive, order or, following the issuance of a safety warning or alert about a Product, a written request that any Product be Recalled; or (ii) a court of competent jurisdiction orders a Recall; or (iii) Ardelyx determines that any Product should be Recalled, then Hovione will [***]. Ardelyx </w:t>
      </w:r>
    </w:p>
    <w:p>
      <w:pPr>
        <w:pStyle w:val="TextBody"/>
        <w:bidi w:val="0"/>
        <w:spacing w:before="120" w:after="24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100" name="Frame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19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19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will bear all expenses of any Recall and Hovione’s assistance unless and to the extent such Recall directly results from Hovione’s gross negligence or willful misconduct.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6.7.3.</w:t>
      </w:r>
      <w:r>
        <w:rPr>
          <w:rFonts w:ascii="Times New Roman;sans-serif" w:hAnsi="Times New Roman;sans-serif"/>
          <w:b w:val="false"/>
          <w:color w:val="000000"/>
          <w:sz w:val="24"/>
          <w:u w:val="single"/>
        </w:rPr>
        <w:t>Recalled Product</w:t>
      </w:r>
      <w:r>
        <w:rPr>
          <w:rFonts w:ascii="Times New Roman;sans-serif" w:hAnsi="Times New Roman;sans-serif"/>
          <w:b w:val="false"/>
          <w:color w:val="000000"/>
          <w:sz w:val="24"/>
        </w:rPr>
        <w:t xml:space="preserve">. To the extent that a Recall directly results from Hovione Hovione’s gross negligence or willful misconduct , Hovione will, subject to the limitations set forth in Section 10, be [***]. Ardelyx may adjust its Forecast as reasonably required by Ardelyx to account for the Recall and its impact on forecasted market demands.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6.8.</w:t>
      </w:r>
      <w:r>
        <w:rPr>
          <w:rFonts w:ascii="Times New Roman;sans-serif" w:hAnsi="Times New Roman;sans-serif"/>
          <w:b w:val="false"/>
          <w:color w:val="000000"/>
          <w:sz w:val="24"/>
          <w:u w:val="single"/>
        </w:rPr>
        <w:t>Disposition of Deficient Product</w:t>
      </w:r>
      <w:r>
        <w:rPr>
          <w:rFonts w:ascii="Times New Roman;sans-serif" w:hAnsi="Times New Roman;sans-serif"/>
          <w:b w:val="false"/>
          <w:color w:val="000000"/>
          <w:sz w:val="24"/>
        </w:rPr>
        <w:t>. Ardelyx will not dispose of any damaged, returned, or Deficient Product for which it intends to assert a Product Rejection against Hovione without Hovione’s prior written authorization to do so. Hovione may instruct Ardelyx to return the Product to Hovione. Hovione will [***].</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7.Co-operation and Regulatory Affairs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7.1.</w:t>
      </w:r>
      <w:r>
        <w:rPr>
          <w:rFonts w:ascii="Times New Roman;sans-serif" w:hAnsi="Times New Roman;sans-serif"/>
          <w:b w:val="false"/>
          <w:color w:val="000000"/>
          <w:sz w:val="24"/>
          <w:u w:val="single"/>
        </w:rPr>
        <w:t>Governance</w:t>
      </w:r>
      <w:r>
        <w:rPr>
          <w:rFonts w:ascii="Times New Roman;sans-serif" w:hAnsi="Times New Roman;sans-serif"/>
          <w:b w:val="false"/>
          <w:color w:val="000000"/>
          <w:sz w:val="24"/>
        </w:rPr>
        <w:t>. Each Party will without delay upon execution of this Agreement appoint one of its employees to be a relationship manager responsible for liaison between the Parties. The relationship managers will meet on a frequency agreed between the Parties to review the current status of the business relationship, including, but not limited to, review of key performance indicators such as API delivery, on-time delivery of Product, right first time, and satisfaction of the Annual Commitment (“</w:t>
      </w:r>
      <w:r>
        <w:rPr>
          <w:rFonts w:ascii="Times New Roman;sans-serif" w:hAnsi="Times New Roman;sans-serif"/>
          <w:b w:val="false"/>
          <w:color w:val="000000"/>
          <w:sz w:val="24"/>
          <w:u w:val="single"/>
        </w:rPr>
        <w:t>KPIs</w:t>
      </w:r>
      <w:r>
        <w:rPr>
          <w:color w:val="000000"/>
        </w:rPr>
        <w:t>”</w:t>
      </w:r>
      <w:r>
        <w:rPr>
          <w:rFonts w:ascii="Times New Roman;sans-serif" w:hAnsi="Times New Roman;sans-serif"/>
          <w:b w:val="false"/>
          <w:color w:val="000000"/>
          <w:sz w:val="24"/>
        </w:rPr>
        <w:t xml:space="preserve">), and manage any issues that have arisen.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7.2.</w:t>
      </w:r>
      <w:r>
        <w:rPr>
          <w:rFonts w:ascii="Times New Roman;sans-serif" w:hAnsi="Times New Roman;sans-serif"/>
          <w:b w:val="false"/>
          <w:color w:val="000000"/>
          <w:sz w:val="24"/>
          <w:u w:val="single"/>
        </w:rPr>
        <w:t>Governmental Agencies</w:t>
      </w:r>
      <w:r>
        <w:rPr>
          <w:rFonts w:ascii="Times New Roman;sans-serif" w:hAnsi="Times New Roman;sans-serif"/>
          <w:b w:val="false"/>
          <w:color w:val="000000"/>
          <w:sz w:val="24"/>
        </w:rPr>
        <w:t>. The Parties will consult each other in relation to regulatory communications directly relating to the Product in accordance with the Quality Agreement. To the fullest extent permitted under Applicable Laws (in relation to Ardelyx’s use of the Product) and cGMP, Ardelyx shall have sole authority and responsibility for communicating with any Regulatory Authority responsible for granting Regulatory Approval for the Product and any other relevant Authority regarding the Product. Hovione will provide to Ardelyx, its Affiliates and Licensees with reasonable assistance as Ardelyx may request in order to assist with obtaining Regulatory Approval for Products, subject to reimbursement of Hovione’s reasonable expenses incurred in connection therewith.</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7.3.</w:t>
      </w:r>
      <w:r>
        <w:rPr>
          <w:rFonts w:ascii="Times New Roman;sans-serif" w:hAnsi="Times New Roman;sans-serif"/>
          <w:b w:val="false"/>
          <w:color w:val="000000"/>
          <w:sz w:val="24"/>
          <w:u w:val="single"/>
        </w:rPr>
        <w:t>Governmental Inspections and Requests</w:t>
      </w:r>
      <w:r>
        <w:rPr>
          <w:rFonts w:ascii="Times New Roman;sans-serif" w:hAnsi="Times New Roman;sans-serif"/>
          <w:b w:val="false"/>
          <w:color w:val="000000"/>
          <w:sz w:val="24"/>
        </w:rPr>
        <w:t xml:space="preserve">. Hovione will promptly advise Ardelyx if an authorized agent of any Regulatory Authority intends to inspect a Manufacturing Site, to the extent such inspection is directly related to the Product or could reasonably be expected to impact the Manufacture of the Product. Hovione will promptly furnish Ardelyx a copy of any report or notice issued by the Regulatory Authority (including, without limitation, any Form 483s or warning letters) (redacted to the extent containing information that is not relevant to the Manufacturing Services or the Product). To the extent the inspection is announced and is directly related to the Product, Hovione will promptly inform Ardelyx and, to the extent permitted by the applicable Regulatory Authority, Parties will discuss in good faith an appropriate scope for Ardelyx agents and representatives to be present at the Manufacturing Site on the date and time of such Regulatory Authority inspection. Hovione shall in any event [***]. </w:t>
      </w:r>
    </w:p>
    <w:p>
      <w:pPr>
        <w:pStyle w:val="TextBody"/>
        <w:bidi w:val="0"/>
        <w:spacing w:before="120" w:after="24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1" name="Frame1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20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20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7.4.</w:t>
      </w:r>
      <w:r>
        <w:rPr>
          <w:rFonts w:ascii="Times New Roman;sans-serif" w:hAnsi="Times New Roman;sans-serif"/>
          <w:b w:val="false"/>
          <w:color w:val="000000"/>
          <w:sz w:val="24"/>
          <w:u w:val="single"/>
        </w:rPr>
        <w:t>Records</w:t>
      </w:r>
      <w:r>
        <w:rPr>
          <w:rFonts w:ascii="Times New Roman;sans-serif" w:hAnsi="Times New Roman;sans-serif"/>
          <w:b w:val="false"/>
          <w:color w:val="000000"/>
          <w:sz w:val="24"/>
        </w:rPr>
        <w:t xml:space="preserve">. Hovione will keep complete and accurate books, records, test and laboratory data, reports and other information relating to the manufacture, testing, and shipping of the Product (including, without limitation, all manufacturing and packaging Batch records), and retain samples of the Product as are necessary to comply with manufacturing regulatory requirements applicable to Hovione, Applicable Laws and cGMP. Copies of the records and samples will be retained as and for the period specified in the Quality Agreement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Hovione may exclude or redact from such Records any confidential or proprietary information of third parties or any Hovione Background IP that Hovione regards as trade secrets. The Parties acknowledge and agree that the Manufacturing Records constitute Confidential Information of Ardelyx.</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7.5.</w:t>
      </w:r>
      <w:r>
        <w:rPr>
          <w:rFonts w:ascii="Times New Roman;sans-serif" w:hAnsi="Times New Roman;sans-serif"/>
          <w:b w:val="false"/>
          <w:color w:val="000000"/>
          <w:sz w:val="24"/>
          <w:u w:val="single"/>
        </w:rPr>
        <w:t>Audits</w:t>
      </w:r>
      <w:r>
        <w:rPr>
          <w:rFonts w:ascii="Times New Roman;sans-serif" w:hAnsi="Times New Roman;sans-serif"/>
          <w:b w:val="false"/>
          <w:color w:val="000000"/>
          <w:sz w:val="24"/>
        </w:rPr>
        <w:t>. In accordance with the frequency and parameters set forth in the Quality Agreement ([***]), Hovione will give Ardelyx and its Licensees (if so requested by Ardelyx, and who cannot be competitors of Hovione and who are subject to confidentiality obligations no less restrictive than those set forth in this Agreement) reasonable access at agreed times to the areas of the Manufacturing Site in which the Product is manufactured, stored, handled, or shipped and to the personnel that regularly perform these activities, to permit Ardelyx and its Licensees to verify that the Manufacturing Services are being performed in accordance with the Processing Instructions, the Specifications, this Agreement, cGMPs and Applicable Laws. Ardelyx’s and its Licensees’ employees and representatives will at all times comply with Hovione’s rules, regulations and SOPs relating to inspections and visits to the Facility, and Ardelyx shall be responsible for compliance with this Agreement by its and its Licensees’ representatives on Hovione’s premises. Hovione will use Commercially Reasonable Efforts to enable that its Third Party Subcontractors permit Ardelyx and its Licensees similar audit rights to those set forth in this Section 7.5 and to the extent unsuccessful shall make its own audit reports for such Subcontractors available for review by Ardelyx and its Licensees in the course of an audit in accordance with this Section 7.5.</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7.6.</w:t>
      </w:r>
      <w:r>
        <w:rPr>
          <w:rFonts w:ascii="Times New Roman;sans-serif" w:hAnsi="Times New Roman;sans-serif"/>
          <w:b w:val="false"/>
          <w:color w:val="000000"/>
          <w:sz w:val="24"/>
          <w:u w:val="single"/>
        </w:rPr>
        <w:t>Regulatory Filings</w:t>
      </w:r>
      <w:r>
        <w:rPr>
          <w:rFonts w:ascii="Times New Roman;sans-serif" w:hAnsi="Times New Roman;sans-serif"/>
          <w:b w:val="false"/>
          <w:color w:val="000000"/>
          <w:sz w:val="24"/>
        </w:rPr>
        <w: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7.6.1.</w:t>
      </w:r>
      <w:r>
        <w:rPr>
          <w:rFonts w:ascii="Times New Roman;sans-serif" w:hAnsi="Times New Roman;sans-serif"/>
          <w:b w:val="false"/>
          <w:color w:val="000000"/>
          <w:sz w:val="24"/>
          <w:u w:val="single"/>
        </w:rPr>
        <w:t>Regulatory Authority Documentation</w:t>
      </w:r>
      <w:r>
        <w:rPr>
          <w:rFonts w:ascii="Times New Roman;sans-serif" w:hAnsi="Times New Roman;sans-serif"/>
          <w:b w:val="false"/>
          <w:color w:val="000000"/>
          <w:sz w:val="24"/>
        </w:rPr>
        <w:t>. Ardelyx will provide copies of all relevant documents relating to Regulatory Authority approval for the commercial manufacture of the Product (“</w:t>
      </w:r>
      <w:r>
        <w:rPr>
          <w:rFonts w:ascii="Times New Roman;sans-serif" w:hAnsi="Times New Roman;sans-serif"/>
          <w:b w:val="false"/>
          <w:color w:val="000000"/>
          <w:sz w:val="24"/>
          <w:u w:val="single"/>
        </w:rPr>
        <w:t>Regulatory Approval</w:t>
      </w:r>
      <w:r>
        <w:rPr>
          <w:color w:val="000000"/>
        </w:rPr>
        <w:t>”</w:t>
      </w:r>
      <w:r>
        <w:rPr>
          <w:rFonts w:ascii="Times New Roman;sans-serif" w:hAnsi="Times New Roman;sans-serif"/>
          <w:b w:val="false"/>
          <w:color w:val="000000"/>
          <w:sz w:val="24"/>
        </w:rPr>
        <w:t xml:space="preserve">) to Hovione on request. Hovione will review and verify the accuracy of these documents in accordance with the Quality Agreement. Ardelyx shall refrain from submitting Regulatory Approvals specifically referring to Hovione or its Affiliates or the Manufacturing Services until approved by Hovione (this approval not to be unreasonably withheld or delayed).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7.6.2.</w:t>
      </w:r>
      <w:r>
        <w:rPr>
          <w:rFonts w:ascii="Times New Roman;sans-serif" w:hAnsi="Times New Roman;sans-serif"/>
          <w:b w:val="false"/>
          <w:color w:val="000000"/>
          <w:sz w:val="24"/>
          <w:u w:val="single"/>
        </w:rPr>
        <w:t>Deficiencies</w:t>
      </w:r>
      <w:r>
        <w:rPr>
          <w:rFonts w:ascii="Times New Roman;sans-serif" w:hAnsi="Times New Roman;sans-serif"/>
          <w:b w:val="false"/>
          <w:color w:val="000000"/>
          <w:sz w:val="24"/>
        </w:rPr>
        <w:t>. If Hovione reasonably determines that any regulatory information pertaining to the Manufacturing Services or the Manufacturing Site given by Ardelyx is inaccurate or deficient in any manner whatsoever (the “</w:t>
      </w:r>
      <w:r>
        <w:rPr>
          <w:rFonts w:ascii="Times New Roman;sans-serif" w:hAnsi="Times New Roman;sans-serif"/>
          <w:b w:val="false"/>
          <w:color w:val="000000"/>
          <w:sz w:val="24"/>
          <w:u w:val="single"/>
        </w:rPr>
        <w:t>Deficiencies</w:t>
      </w:r>
      <w:r>
        <w:rPr>
          <w:color w:val="000000"/>
        </w:rPr>
        <w:t>”</w:t>
      </w:r>
      <w:r>
        <w:rPr>
          <w:rFonts w:ascii="Times New Roman;sans-serif" w:hAnsi="Times New Roman;sans-serif"/>
          <w:b w:val="false"/>
          <w:color w:val="000000"/>
          <w:sz w:val="24"/>
        </w:rPr>
        <w:t>), Hovione will notify Ardelyx promptly in writing of the Deficiencies. The Parties will each use commercially reasonable efforts and act in good faith to have the Deficiencies resolved prior to the date of filing of the relevant application and in any event before any pre-</w:t>
      </w:r>
    </w:p>
    <w:p>
      <w:pPr>
        <w:pStyle w:val="TextBody"/>
        <w:bidi w:val="0"/>
        <w:spacing w:before="120" w:after="24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2" name="Frame1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21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21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approval inspection or before the Product is placed on the market if a pre-approval inspection is not performed.</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7.6.3.</w:t>
      </w:r>
      <w:r>
        <w:rPr>
          <w:rFonts w:ascii="Times New Roman;sans-serif" w:hAnsi="Times New Roman;sans-serif"/>
          <w:b w:val="false"/>
          <w:color w:val="000000"/>
          <w:sz w:val="24"/>
          <w:u w:val="single"/>
        </w:rPr>
        <w:t>Pharmacovigilance</w:t>
      </w:r>
      <w:r>
        <w:rPr>
          <w:rFonts w:ascii="Times New Roman;sans-serif" w:hAnsi="Times New Roman;sans-serif"/>
          <w:b w:val="false"/>
          <w:color w:val="000000"/>
          <w:sz w:val="24"/>
        </w:rPr>
        <w:t>. If requested by either Party, Hovione and Ardelyx will use Commercially Reasonable Efforts to negotiate in good faith a process and procedure for sharing adverse event information received by Hovione. Hovione will provide Ardelyx with any information received by it regarding any adverse events and/or quality complaints in connection with the use of the Product to Ardelyx Pharmacovigilance within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7.7.</w:t>
      </w:r>
      <w:r>
        <w:rPr>
          <w:rFonts w:ascii="Times New Roman;sans-serif" w:hAnsi="Times New Roman;sans-serif"/>
          <w:b w:val="false"/>
          <w:color w:val="000000"/>
          <w:sz w:val="24"/>
          <w:u w:val="single"/>
        </w:rPr>
        <w:t>Release</w:t>
      </w:r>
      <w:r>
        <w:rPr>
          <w:rFonts w:ascii="Times New Roman;sans-serif" w:hAnsi="Times New Roman;sans-serif"/>
          <w:b w:val="false"/>
          <w:color w:val="000000"/>
          <w:sz w:val="24"/>
        </w:rPr>
        <w:t>. Nothing in this Agreement will remove or limit the authority of the relevant quality function (as specified by the Quality Agreement) to determine whether the Product will be released for sale or distribution.</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8.Term and Termination</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8.1.</w:t>
      </w:r>
      <w:r>
        <w:rPr>
          <w:rFonts w:ascii="Times New Roman;sans-serif" w:hAnsi="Times New Roman;sans-serif"/>
          <w:b w:val="false"/>
          <w:color w:val="000000"/>
          <w:sz w:val="24"/>
          <w:u w:val="single"/>
        </w:rPr>
        <w:t>Initial Term</w:t>
      </w:r>
      <w:r>
        <w:rPr>
          <w:rFonts w:ascii="Times New Roman;sans-serif" w:hAnsi="Times New Roman;sans-serif"/>
          <w:b w:val="false"/>
          <w:color w:val="000000"/>
          <w:sz w:val="24"/>
        </w:rPr>
        <w:t>. This Agreement will become effective as of the Effective Date and will continue until December 31, 2030 (the “</w:t>
      </w:r>
      <w:r>
        <w:rPr>
          <w:rFonts w:ascii="Times New Roman;sans-serif" w:hAnsi="Times New Roman;sans-serif"/>
          <w:b w:val="false"/>
          <w:color w:val="000000"/>
          <w:sz w:val="24"/>
          <w:u w:val="single"/>
        </w:rPr>
        <w:t>Initial Term</w:t>
      </w:r>
      <w:r>
        <w:rPr>
          <w:color w:val="000000"/>
        </w:rPr>
        <w:t>”</w:t>
      </w:r>
      <w:r>
        <w:rPr>
          <w:rFonts w:ascii="Times New Roman;sans-serif" w:hAnsi="Times New Roman;sans-serif"/>
          <w:b w:val="false"/>
          <w:color w:val="000000"/>
          <w:sz w:val="24"/>
        </w:rPr>
        <w:t>), unless terminated earlier by one of the Parties in accordance with this Agreement. Thereafter, this Agreement will automatically renew for successive terms of two Years until terminated in accordance with this Agreement. The Initial Term together with all successive renewal terms shall together be referred to herein as the “</w:t>
      </w:r>
      <w:r>
        <w:rPr>
          <w:rFonts w:ascii="Times New Roman;sans-serif" w:hAnsi="Times New Roman;sans-serif"/>
          <w:b w:val="false"/>
          <w:color w:val="000000"/>
          <w:sz w:val="24"/>
          <w:u w:val="single"/>
        </w:rPr>
        <w:t>Term</w:t>
      </w:r>
      <w:r>
        <w:rPr>
          <w:color w:val="000000"/>
        </w:rPr>
        <w:t>”</w:t>
      </w:r>
      <w:r>
        <w:rPr>
          <w:rFonts w:ascii="Times New Roman;sans-serif" w:hAnsi="Times New Roman;sans-serif"/>
          <w:b w:val="false"/>
          <w:color w:val="000000"/>
          <w:sz w:val="24"/>
        </w:rPr>
        <w:t>. In the event that a Party elects to exercise a right of termination afforded it in accordance with the provisions of Section 8.2, such Party shall provide the other Party with a written notice (a “</w:t>
      </w:r>
      <w:r>
        <w:rPr>
          <w:rFonts w:ascii="Times New Roman;sans-serif" w:hAnsi="Times New Roman;sans-serif"/>
          <w:b w:val="false"/>
          <w:color w:val="000000"/>
          <w:sz w:val="24"/>
          <w:u w:val="single"/>
        </w:rPr>
        <w:t>Notice of Termination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8.2.</w:t>
      </w:r>
      <w:r>
        <w:rPr>
          <w:rFonts w:ascii="Times New Roman;sans-serif" w:hAnsi="Times New Roman;sans-serif"/>
          <w:b w:val="false"/>
          <w:color w:val="000000"/>
          <w:sz w:val="24"/>
          <w:u w:val="single"/>
        </w:rPr>
        <w:t>Termination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8.2.1.</w:t>
      </w:r>
      <w:r>
        <w:rPr>
          <w:rFonts w:ascii="Times New Roman;sans-serif" w:hAnsi="Times New Roman;sans-serif"/>
          <w:b w:val="false"/>
          <w:color w:val="000000"/>
          <w:sz w:val="24"/>
          <w:u w:val="single"/>
        </w:rPr>
        <w:t xml:space="preserve">Termination due to Legitimate Business Needs.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8.2.1.1.</w:t>
      </w:r>
      <w:r>
        <w:rPr>
          <w:rFonts w:ascii="Times New Roman;sans-serif" w:hAnsi="Times New Roman;sans-serif"/>
          <w:b w:val="false"/>
          <w:color w:val="000000"/>
          <w:sz w:val="24"/>
          <w:u w:val="single"/>
        </w:rPr>
        <w:t>Initial Term</w:t>
      </w:r>
      <w:r>
        <w:rPr>
          <w:rFonts w:ascii="Times New Roman;sans-serif" w:hAnsi="Times New Roman;sans-serif"/>
          <w:b w:val="false"/>
          <w:color w:val="000000"/>
          <w:sz w:val="24"/>
        </w:rPr>
        <w:t xml:space="preserve">. No earlier than [***] years from Effective Date, Ardelyx may terminate this Agreement for Business Need effective during the Initial Term, provided that such notice shall not be effective until [***] months after delivery of the Notice of Termination and that Parties shall negotiate in good faith a winding down of Annual Commitment to release capacity from the Equipment. </w:t>
      </w:r>
    </w:p>
    <w:p>
      <w:pPr>
        <w:pStyle w:val="TextBody"/>
        <w:bidi w:val="0"/>
        <w:spacing w:lineRule="auto" w:line="288" w:before="0" w:after="240"/>
        <w:ind w:left="0" w:right="0" w:firstLine="1701"/>
        <w:jc w:val="both"/>
        <w:rPr/>
      </w:pPr>
      <w:r>
        <w:rPr>
          <w:rFonts w:ascii="Times New Roman;sans-serif" w:hAnsi="Times New Roman;sans-serif"/>
          <w:b w:val="false"/>
          <w:color w:val="000000"/>
          <w:sz w:val="24"/>
        </w:rPr>
        <w:t>8.2.1.2.</w:t>
      </w:r>
      <w:r>
        <w:rPr>
          <w:rFonts w:ascii="Times New Roman;sans-serif" w:hAnsi="Times New Roman;sans-serif"/>
          <w:b w:val="false"/>
          <w:color w:val="000000"/>
          <w:sz w:val="24"/>
          <w:u w:val="single"/>
        </w:rPr>
        <w:t>Renewal Term</w:t>
      </w:r>
      <w:r>
        <w:rPr>
          <w:rFonts w:ascii="Times New Roman;sans-serif" w:hAnsi="Times New Roman;sans-serif"/>
          <w:b w:val="false"/>
          <w:color w:val="000000"/>
          <w:sz w:val="24"/>
        </w:rPr>
        <w:t xml:space="preserve">. Either Party may terminate this Agreement for convenience effective after expiration of the Initial Term, provided that such termination shall be effective (i) [***] months after delivery of a Notice of Termination by Ardelyx, or (ii) [***] months after delivery of a Notice of Termination by Hovione.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8.2.2.</w:t>
      </w:r>
      <w:r>
        <w:rPr>
          <w:rFonts w:ascii="Times New Roman;sans-serif" w:hAnsi="Times New Roman;sans-serif"/>
          <w:b w:val="false"/>
          <w:color w:val="000000"/>
          <w:sz w:val="24"/>
          <w:u w:val="single"/>
        </w:rPr>
        <w:t>Termination for Cause</w:t>
      </w:r>
      <w:r>
        <w:rPr>
          <w:rFonts w:ascii="Times New Roman;sans-serif" w:hAnsi="Times New Roman;sans-serif"/>
          <w:b w:val="false"/>
          <w:color w:val="000000"/>
          <w:sz w:val="24"/>
        </w:rPr>
        <w:t>. Either Party may terminate this Agreement by providing a Notice of Termination for breach if the other Party has failed to remedy a material breach of this Agreement within [***] days (the “</w:t>
      </w:r>
      <w:r>
        <w:rPr>
          <w:rFonts w:ascii="Times New Roman;sans-serif" w:hAnsi="Times New Roman;sans-serif"/>
          <w:b w:val="false"/>
          <w:color w:val="000000"/>
          <w:sz w:val="24"/>
          <w:u w:val="single"/>
        </w:rPr>
        <w:t>Remediation Period</w:t>
      </w:r>
      <w:r>
        <w:rPr>
          <w:color w:val="000000"/>
        </w:rPr>
        <w:t>”</w:t>
      </w:r>
      <w:r>
        <w:rPr>
          <w:rFonts w:ascii="Times New Roman;sans-serif" w:hAnsi="Times New Roman;sans-serif"/>
          <w:b w:val="false"/>
          <w:color w:val="000000"/>
          <w:sz w:val="24"/>
        </w:rPr>
        <w:t>) following receipt of a written notice of the breach from the aggrieved Party that expressly states that it is a ‘notice of breach’ under this Section 8.2.2 (a “</w:t>
      </w:r>
      <w:r>
        <w:rPr>
          <w:rFonts w:ascii="Times New Roman;sans-serif" w:hAnsi="Times New Roman;sans-serif"/>
          <w:b w:val="false"/>
          <w:color w:val="000000"/>
          <w:sz w:val="24"/>
          <w:u w:val="single"/>
        </w:rPr>
        <w:t>Breach Notice</w:t>
      </w:r>
      <w:r>
        <w:rPr>
          <w:color w:val="000000"/>
        </w:rPr>
        <w:t>”</w:t>
      </w:r>
      <w:r>
        <w:rPr>
          <w:rFonts w:ascii="Times New Roman;sans-serif" w:hAnsi="Times New Roman;sans-serif"/>
          <w:b w:val="false"/>
          <w:color w:val="000000"/>
          <w:sz w:val="24"/>
        </w:rPr>
        <w:t xml:space="preserve">). Each Party will ensure that any Breach Notice delivered by it to the other Party will not contain any reference to a </w:t>
      </w:r>
    </w:p>
    <w:p>
      <w:pPr>
        <w:pStyle w:val="TextBody"/>
        <w:bidi w:val="0"/>
        <w:spacing w:before="120" w:after="24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3" name="Frame1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22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22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Notice of Termination, or otherwise express any intent to terminate this Agreement, until that Party may properly submit a Notice of Termination for breach in accordance with this Section 8.2.2. The aggrieved Party’s right to terminate this Agreement under this Section 8.2.2 may only be exercised for [***] days following the expiry of the Remediation Period (where the breach has not been remedied) and if the termination right is not exercised during this period then the aggrieved Party will be considered to have waived the breach described in the Breach Notice.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8.2.3.</w:t>
      </w:r>
      <w:r>
        <w:rPr>
          <w:rFonts w:ascii="Times New Roman;sans-serif" w:hAnsi="Times New Roman;sans-serif"/>
          <w:b w:val="false"/>
          <w:color w:val="000000"/>
          <w:sz w:val="24"/>
          <w:u w:val="single"/>
        </w:rPr>
        <w:t>Termination for Regulatory Action</w:t>
      </w:r>
      <w:r>
        <w:rPr>
          <w:rFonts w:ascii="Times New Roman;sans-serif" w:hAnsi="Times New Roman;sans-serif"/>
          <w:b w:val="false"/>
          <w:color w:val="000000"/>
          <w:sz w:val="24"/>
        </w:rPr>
        <w:t xml:space="preserve">. Ardelyx may terminate this Agreement effective [***] days after delivery of a Notice of Termination for regulatory action if any Regulatory Authority takes any legal action or procedure that prevents Ardelyx from selling the Product in the United States and such market interruption is reasonably expected to last at least [***].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8.2.4.</w:t>
      </w:r>
      <w:r>
        <w:rPr>
          <w:rFonts w:ascii="Times New Roman;sans-serif" w:hAnsi="Times New Roman;sans-serif"/>
          <w:b w:val="false"/>
          <w:color w:val="000000"/>
          <w:sz w:val="24"/>
          <w:u w:val="single"/>
        </w:rPr>
        <w:t>Termination for Product Issue</w:t>
      </w:r>
      <w:r>
        <w:rPr>
          <w:rFonts w:ascii="Times New Roman;sans-serif" w:hAnsi="Times New Roman;sans-serif"/>
          <w:b w:val="false"/>
          <w:color w:val="000000"/>
          <w:sz w:val="24"/>
        </w:rPr>
        <w:t>. Ardelyx may terminate this Agreement effective [***] days after delivery of a Notice of Termination for Product issue if a [***] notifies Hovione or Ardelyx [***] that there is a significant regulatory deficiency of Hovione related to the performance of the Manufacturing Services at the Manufacturing Site therefore resulting in an Adverse Supply Event in accordance with Section 1.1(ii) and Hovione is not able to satisfy its obligations under this Agreement through Manufacture at an alternative approved Manufacturing Site, and the deficiency is not remedied to the satisfaction of the Regulatory Authority within [***] days of the notice.</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8.2.5.</w:t>
      </w:r>
      <w:r>
        <w:rPr>
          <w:rFonts w:ascii="Times New Roman;sans-serif" w:hAnsi="Times New Roman;sans-serif"/>
          <w:b w:val="false"/>
          <w:color w:val="000000"/>
          <w:sz w:val="24"/>
          <w:u w:val="single"/>
        </w:rPr>
        <w:t>Supply Failure</w:t>
      </w:r>
      <w:r>
        <w:rPr>
          <w:rFonts w:ascii="Times New Roman;sans-serif" w:hAnsi="Times New Roman;sans-serif"/>
          <w:b w:val="false"/>
          <w:color w:val="000000"/>
          <w:sz w:val="24"/>
        </w:rPr>
        <w:t xml:space="preserve">. Ardelyx may terminate this Agreement effective [***] after the delivery of a Notice of Termination for Supply Failure arising due to Hovione’s Fault if there have been more than [***] Supply Failures in [***] or more than [***] Supply Failures in [***].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8.2.6.</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Either Party may terminate this Agreement under Section 14.5 (Force Majeure) in accordance with the terms thereof.</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8.3.</w:t>
      </w:r>
      <w:r>
        <w:rPr>
          <w:rFonts w:ascii="Times New Roman;sans-serif" w:hAnsi="Times New Roman;sans-serif"/>
          <w:b w:val="false"/>
          <w:color w:val="000000"/>
          <w:sz w:val="24"/>
          <w:u w:val="single"/>
        </w:rPr>
        <w:t>Obligations in Connection with Termination</w:t>
      </w:r>
      <w:r>
        <w:rPr>
          <w:rFonts w:ascii="Times New Roman;sans-serif" w:hAnsi="Times New Roman;sans-serif"/>
          <w:b w:val="false"/>
          <w:color w:val="000000"/>
          <w:sz w:val="24"/>
        </w:rPr>
        <w:t>. If this Agreement is terminated for any reason, then:</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8.3.1.</w:t>
      </w:r>
      <w:r>
        <w:rPr>
          <w:rFonts w:ascii="Times New Roman;sans-serif" w:hAnsi="Times New Roman;sans-serif"/>
          <w:b w:val="false"/>
          <w:color w:val="000000"/>
          <w:sz w:val="24"/>
          <w:u w:val="single"/>
        </w:rPr>
        <w:t>Firm Orders and Outstanding Credit</w:t>
      </w:r>
      <w:r>
        <w:rPr>
          <w:rFonts w:ascii="Times New Roman;sans-serif" w:hAnsi="Times New Roman;sans-serif"/>
          <w:b w:val="false"/>
          <w:color w:val="000000"/>
          <w:sz w:val="24"/>
        </w:rPr>
        <w:t xml:space="preserve">. Following the delivery of a Notice of Termination by either Party in accordance with the provisions of Section 8.2 of this Agreement (except in the case of a Notice of Termination delivered for cause by Hovione pursuant to Section 8.2.2 or 8.2.6), Hovione shall continue to supply Product in accordance with the Binding Forecast and any Firm Orders until the effective date of the termination set forth in the Notice of Termination unless unlawful. To the extent there is any outstanding credit or amounts due from Hovione to Ardelyx hereunder, including any credit due in accordance with Section 3.3(d) after termination of the Agreement and delivery of the final Batch of Product as set forth in this Section 8.2.1, Hovione shall reimburse such amounts to Ardelyx within [***] days after the effective date of termination. </w:t>
      </w:r>
    </w:p>
    <w:p>
      <w:pPr>
        <w:pStyle w:val="TextBody"/>
        <w:bidi w:val="0"/>
        <w:spacing w:before="120" w:after="24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50520"/>
                <wp:effectExtent l="0" t="0" r="0" b="0"/>
                <wp:wrapNone/>
                <wp:docPr id="104" name="Frame1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23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23 of 38</w:t>
                      </w:r>
                    </w:p>
                  </w:txbxContent>
                </v:textbox>
                <w10:wrap type="none"/>
              </v:rect>
            </w:pict>
          </mc:Fallback>
        </mc:AlternateConten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8.3.2.</w:t>
      </w:r>
      <w:r>
        <w:rPr>
          <w:rFonts w:ascii="Times New Roman;sans-serif" w:hAnsi="Times New Roman;sans-serif"/>
          <w:b w:val="false"/>
          <w:color w:val="000000"/>
          <w:sz w:val="24"/>
          <w:u w:val="single"/>
        </w:rPr>
        <w:t>Inventory; Payment</w:t>
      </w:r>
      <w:r>
        <w:rPr>
          <w:rFonts w:ascii="Times New Roman;sans-serif" w:hAnsi="Times New Roman;sans-serif"/>
          <w:b w:val="false"/>
          <w:color w:val="000000"/>
          <w:sz w:val="24"/>
        </w:rPr>
        <w:t>. At least [***] days prior to the effective date of termination or expiration of this Agreement, Hovione will deliver to Ardelyx a written accounting of all Inventory and any other moveable property owned by Ardelyx that is in Hovione’s possession or control (“</w:t>
      </w:r>
      <w:r>
        <w:rPr>
          <w:rFonts w:ascii="Times New Roman;sans-serif" w:hAnsi="Times New Roman;sans-serif"/>
          <w:b w:val="false"/>
          <w:color w:val="000000"/>
          <w:sz w:val="24"/>
          <w:u w:val="single"/>
        </w:rPr>
        <w:t>Ardelyx Property</w:t>
      </w:r>
      <w:r>
        <w:rPr>
          <w:color w:val="000000"/>
        </w:rPr>
        <w:t>”</w:t>
      </w:r>
      <w:r>
        <w:rPr>
          <w:rFonts w:ascii="Times New Roman;sans-serif" w:hAnsi="Times New Roman;sans-serif"/>
          <w:b w:val="false"/>
          <w:color w:val="000000"/>
          <w:sz w:val="24"/>
        </w:rPr>
        <w:t>), including quantities, identification information, location, and such other relevant information as may be reasonably requested by Ardelyx. The Parties shall cooperate in good faith to finalize such accounting, whereupon Ardelyx shall be entitled to take delivery of any Components that it desires to receive, and Hovione shall deliver to Ardelyx an invoice for (i) all undelivered Product Manufactured under a Firm Order (subject to the acceptance provisions of Section 6), at the Price in effect at the time the Firm Order was placed, (ii) all Components identified by Ardelyx for delivery, which shall be invoiced at Hovione’s cost plus a [***]% administration fee and without additional mark-up, and (iii) any Annual Commitment payment obligations due pursuant to Section 2.2(b) in respect of the Term, as truncated by such termination (the “</w:t>
      </w:r>
      <w:r>
        <w:rPr>
          <w:rFonts w:ascii="Times New Roman;sans-serif" w:hAnsi="Times New Roman;sans-serif"/>
          <w:b w:val="false"/>
          <w:color w:val="000000"/>
          <w:sz w:val="24"/>
          <w:u w:val="single"/>
        </w:rPr>
        <w:t>Final Invoice</w:t>
      </w:r>
      <w:r>
        <w:rPr>
          <w:color w:val="000000"/>
        </w:rPr>
        <w:t>”</w:t>
      </w:r>
      <w:r>
        <w:rPr>
          <w:rFonts w:ascii="Times New Roman;sans-serif" w:hAnsi="Times New Roman;sans-serif"/>
          <w:b w:val="false"/>
          <w:color w:val="000000"/>
          <w:sz w:val="24"/>
        </w:rPr>
        <w:t>). Subject to resolution of any disputed portion of the Final Invoice, Ardelyx shall pay the Final Invoice and take delivery of the Ardelyx Property within [***] days after receipt of the Final Invoice. If Ardelyx asks Hovione to destroy any Ardelyx Property, Hovione will arrange for such destruction, at Ardelyx’s cost, in accordance with Applicable Laws and cGMP. Hovione acknowledges and agrees that, following payment of the Final Invoice, Ardelyx shall have no further payment obligations under this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8.4.</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Except as otherwise set forth herein, the termination or expiration of this Agreement will not affect any prior outstanding obligations or payments due, nor will it prejudice any other rights or remedies that the Parties may have under this Agreement. The obligations and responsibilities of the Parties under Sections 6, 7, 8.3-8.4 and 10-14 shall survive any termination or expiration of this Agreement, as well as any other provisions that are by implication or otherwise intended to survive. Where Hovione has agreed to provide stability services beyond the final supply of Product, the relevant provisions of this Agreement related to stability services will survive for the agreed duration of those stability services.</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9.Representations, Warranties and Covenants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9.1.</w:t>
      </w:r>
      <w:r>
        <w:rPr>
          <w:rFonts w:ascii="Times New Roman;sans-serif" w:hAnsi="Times New Roman;sans-serif"/>
          <w:b w:val="false"/>
          <w:color w:val="000000"/>
          <w:sz w:val="24"/>
          <w:u w:val="single"/>
        </w:rPr>
        <w:t>Mutual Representations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9.1.1.</w:t>
      </w:r>
      <w:r>
        <w:rPr>
          <w:rFonts w:ascii="Times New Roman;sans-serif" w:hAnsi="Times New Roman;sans-serif"/>
          <w:b w:val="false"/>
          <w:color w:val="000000"/>
          <w:sz w:val="24"/>
          <w:u w:val="single"/>
        </w:rPr>
        <w:t>Authority</w:t>
      </w:r>
      <w:r>
        <w:rPr>
          <w:rFonts w:ascii="Times New Roman;sans-serif" w:hAnsi="Times New Roman;sans-serif"/>
          <w:b w:val="false"/>
          <w:color w:val="000000"/>
          <w:sz w:val="24"/>
        </w:rPr>
        <w:t xml:space="preserve">. Each party covenants, represents, and warrants that it has the full right and authority to enter into this Agreement and that it is not aware of any impediment that would inhibit its ability to perform its obligations under this Agreement.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9.1.2.</w:t>
      </w:r>
      <w:r>
        <w:rPr>
          <w:rFonts w:ascii="Times New Roman;sans-serif" w:hAnsi="Times New Roman;sans-serif"/>
          <w:b w:val="false"/>
          <w:color w:val="000000"/>
          <w:sz w:val="24"/>
          <w:u w:val="single"/>
        </w:rPr>
        <w:t>Sanctions</w:t>
      </w:r>
      <w:r>
        <w:rPr>
          <w:rFonts w:ascii="Times New Roman;sans-serif" w:hAnsi="Times New Roman;sans-serif"/>
          <w:b w:val="false"/>
          <w:color w:val="000000"/>
          <w:sz w:val="24"/>
        </w:rPr>
        <w:t xml:space="preserve">. Neither Ardelyx nor Hovione, nor any of their respective Affiliates, nor to the best knowledge of each Party, any of its directors, officers or representatives, is an individual or entity that is, or is owned or controlled by an individual or entity that is the subject of any sanctions administered or enforced by the U.S. Department of Treasury’s Office of Foreign Assets Control, the United Nations Security Council, the European Union, Her Majesty’s Treasury, or other relevant sanctions authority </w:t>
      </w:r>
    </w:p>
    <w:p>
      <w:pPr>
        <w:pStyle w:val="TextBody"/>
        <w:bidi w:val="0"/>
        <w:spacing w:before="120" w:after="24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50520"/>
                <wp:effectExtent l="0" t="0" r="0" b="0"/>
                <wp:wrapNone/>
                <wp:docPr id="105" name="Frame1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24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24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Territory. Breach of this Section 9.1.2 shall be considered a material breach of this Agreement and, notwithstanding anything to the contrary herein, to the extent either Party reasonably determines the breach by the other Party of this Section 9.1.2, the non-breaching Party shall be able to terminate this Agreement for cause and with immediate effect.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9.2.</w:t>
      </w:r>
      <w:r>
        <w:rPr>
          <w:rFonts w:ascii="Times New Roman;sans-serif" w:hAnsi="Times New Roman;sans-serif"/>
          <w:b w:val="false"/>
          <w:color w:val="000000"/>
          <w:sz w:val="24"/>
          <w:u w:val="single"/>
        </w:rPr>
        <w:t>Manufacturer Warranties</w:t>
      </w:r>
      <w:r>
        <w:rPr>
          <w:rFonts w:ascii="Times New Roman;sans-serif" w:hAnsi="Times New Roman;sans-serif"/>
          <w:b w:val="false"/>
          <w:color w:val="000000"/>
          <w:sz w:val="24"/>
        </w:rPr>
        <w:t>. Hovione covenants, represents, and warrants to Ardelyx as follows: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9.2.1.</w:t>
      </w:r>
      <w:r>
        <w:rPr>
          <w:rFonts w:ascii="Times New Roman;sans-serif" w:hAnsi="Times New Roman;sans-serif"/>
          <w:b w:val="false"/>
          <w:color w:val="000000"/>
          <w:sz w:val="24"/>
          <w:u w:val="single"/>
        </w:rPr>
        <w:t>Compliance</w:t>
      </w:r>
      <w:r>
        <w:rPr>
          <w:rFonts w:ascii="Times New Roman;sans-serif" w:hAnsi="Times New Roman;sans-serif"/>
          <w:b w:val="false"/>
          <w:color w:val="000000"/>
          <w:sz w:val="24"/>
        </w:rPr>
        <w:t xml:space="preserve">. Hovione will perform the Manufacturing Services in accordance with this Agreement, the Processing Instructions, cGMPs and Applicable Laws.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9.2.2.</w:t>
      </w:r>
      <w:r>
        <w:rPr>
          <w:rFonts w:ascii="Times New Roman;sans-serif" w:hAnsi="Times New Roman;sans-serif"/>
          <w:b w:val="false"/>
          <w:color w:val="000000"/>
          <w:sz w:val="24"/>
          <w:u w:val="single"/>
        </w:rPr>
        <w:t>Non-Infringement</w:t>
      </w:r>
      <w:r>
        <w:rPr>
          <w:rFonts w:ascii="Times New Roman;sans-serif" w:hAnsi="Times New Roman;sans-serif"/>
          <w:b w:val="false"/>
          <w:color w:val="000000"/>
          <w:sz w:val="24"/>
        </w:rPr>
        <w:t>. To the best of Hovione’s knowledge, the Hovione Intellectual Property used by Hovione to perform the Manufacturing Services (i) is Hovione’s or its Affiliate’s unencumbered property or is otherwise licensed to Hovione, (ii) may be lawfully used by Hovione, and (iii) does not infringe and will not infringe any Third Party Rights.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9.2.3.</w:t>
      </w:r>
      <w:r>
        <w:rPr>
          <w:rFonts w:ascii="Times New Roman;sans-serif" w:hAnsi="Times New Roman;sans-serif"/>
          <w:b w:val="false"/>
          <w:color w:val="000000"/>
          <w:sz w:val="24"/>
          <w:u w:val="single"/>
        </w:rPr>
        <w:t>Product</w:t>
      </w:r>
      <w:r>
        <w:rPr>
          <w:rFonts w:ascii="Times New Roman;sans-serif" w:hAnsi="Times New Roman;sans-serif"/>
          <w:b w:val="false"/>
          <w:color w:val="000000"/>
          <w:sz w:val="24"/>
        </w:rPr>
        <w:t>. Upon delivery to Ardelyx or its designee, the Product will: (i) have been manufactured in accordance with the Processing Instructions and all cGMPs, (ii) meet the Specifications and conform to the Manufacturing Records, and (iii) [***] (collectively, the “</w:t>
      </w:r>
      <w:r>
        <w:rPr>
          <w:rFonts w:ascii="Times New Roman;sans-serif" w:hAnsi="Times New Roman;sans-serif"/>
          <w:b w:val="false"/>
          <w:color w:val="000000"/>
          <w:sz w:val="24"/>
          <w:u w:val="single"/>
        </w:rPr>
        <w:t>Product Warranties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9.2.4.</w:t>
      </w:r>
      <w:r>
        <w:rPr>
          <w:rFonts w:ascii="Times New Roman;sans-serif" w:hAnsi="Times New Roman;sans-serif"/>
          <w:b w:val="false"/>
          <w:color w:val="000000"/>
          <w:sz w:val="24"/>
          <w:u w:val="single"/>
        </w:rPr>
        <w:t>Custody</w:t>
      </w:r>
      <w:r>
        <w:rPr>
          <w:rFonts w:ascii="Times New Roman;sans-serif" w:hAnsi="Times New Roman;sans-serif"/>
          <w:b w:val="false"/>
          <w:color w:val="000000"/>
          <w:sz w:val="24"/>
        </w:rPr>
        <w:t>. Hovione will at all times use commercially reasonable measures to protect all Inventory in its possession or control from theft, damage, loss or misuse.</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9.2.5.</w:t>
      </w:r>
      <w:r>
        <w:rPr>
          <w:rFonts w:ascii="Times New Roman;sans-serif" w:hAnsi="Times New Roman;sans-serif"/>
          <w:b w:val="false"/>
          <w:color w:val="000000"/>
          <w:sz w:val="24"/>
          <w:u w:val="single"/>
        </w:rPr>
        <w:t>No Debarment</w:t>
      </w:r>
      <w:r>
        <w:rPr>
          <w:rFonts w:ascii="Times New Roman;sans-serif" w:hAnsi="Times New Roman;sans-serif"/>
          <w:b w:val="false"/>
          <w:color w:val="000000"/>
          <w:sz w:val="24"/>
        </w:rPr>
        <w:t>. Hovione will not in the performance of its obligations under this Agreement, to the best of its knowledge, use the services of any person who is debarred or suspended under 21 U.S.C. §335. To the best of its knowledge, Hovione does not currently have, and it will not hire, as an officer or an employee any person who has been convicted of a felony under Applicable Laws.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9.2.6.</w:t>
      </w:r>
      <w:r>
        <w:rPr>
          <w:rFonts w:ascii="Times New Roman;sans-serif" w:hAnsi="Times New Roman;sans-serif"/>
          <w:b w:val="false"/>
          <w:color w:val="000000"/>
          <w:sz w:val="24"/>
          <w:u w:val="single"/>
        </w:rPr>
        <w:t>Notice</w:t>
      </w:r>
      <w:r>
        <w:rPr>
          <w:rFonts w:ascii="Times New Roman;sans-serif" w:hAnsi="Times New Roman;sans-serif"/>
          <w:b w:val="false"/>
          <w:color w:val="000000"/>
          <w:sz w:val="24"/>
        </w:rPr>
        <w:t>. Hovione will promptly notify Ardelyx if at any time during the Term if it becomes aware that any of the foregoing representations and warranties has been breached or is untrue.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9.3.</w:t>
      </w:r>
      <w:r>
        <w:rPr>
          <w:rFonts w:ascii="Times New Roman;sans-serif" w:hAnsi="Times New Roman;sans-serif"/>
          <w:b w:val="false"/>
          <w:color w:val="000000"/>
          <w:sz w:val="24"/>
          <w:u w:val="single"/>
        </w:rPr>
        <w:t>Ardelyx Warranties</w:t>
      </w:r>
      <w:r>
        <w:rPr>
          <w:rFonts w:ascii="Times New Roman;sans-serif" w:hAnsi="Times New Roman;sans-serif"/>
          <w:b w:val="false"/>
          <w:color w:val="000000"/>
          <w:sz w:val="24"/>
        </w:rPr>
        <w:t>. Ardelyx represents and warrants to Hovione that: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9.3.1.</w:t>
      </w:r>
      <w:r>
        <w:rPr>
          <w:rFonts w:ascii="Times New Roman;sans-serif" w:hAnsi="Times New Roman;sans-serif"/>
          <w:b w:val="false"/>
          <w:color w:val="000000"/>
          <w:sz w:val="24"/>
        </w:rPr>
        <w:t xml:space="preserve">To the best of Ardelyx’s knowledge, the use of Ardelyx Background IP (other than Background IP generated by Hovione in performance of the Development Agreement) as contemplated in the Manufacturing Services will not infringe the intellectual property rights of any Third Party and Ardelyx will promptly notify Hovione in writing should it become aware of any claims asserting such infringement. </w:t>
      </w:r>
    </w:p>
    <w:p>
      <w:pPr>
        <w:pStyle w:val="TextBody"/>
        <w:bidi w:val="0"/>
        <w:spacing w:before="120" w:after="24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50520"/>
                <wp:effectExtent l="0" t="0" r="0" b="0"/>
                <wp:wrapNone/>
                <wp:docPr id="106" name="Frame1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25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25 of 38</w:t>
                      </w:r>
                    </w:p>
                  </w:txbxContent>
                </v:textbox>
                <w10:wrap type="none"/>
              </v:rect>
            </w:pict>
          </mc:Fallback>
        </mc:AlternateConten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9.3.2.</w:t>
      </w:r>
      <w:r>
        <w:rPr>
          <w:rFonts w:ascii="Times New Roman;sans-serif" w:hAnsi="Times New Roman;sans-serif"/>
          <w:b w:val="false"/>
          <w:color w:val="000000"/>
          <w:sz w:val="24"/>
        </w:rPr>
        <w:t>Upon delivery to Hovione, the Ardelyx Materials will comply with the applicable specifications, and have been manufactured in accordance with cGMP (if applicable).</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9.3.3.</w:t>
      </w:r>
      <w:r>
        <w:rPr>
          <w:rFonts w:ascii="Times New Roman;sans-serif" w:hAnsi="Times New Roman;sans-serif"/>
          <w:b w:val="false"/>
          <w:color w:val="000000"/>
          <w:sz w:val="24"/>
        </w:rPr>
        <w:t>Ardelyx will comply with all Applicable Laws in its use of the Product.</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9.3.4.</w:t>
      </w:r>
      <w:r>
        <w:rPr>
          <w:color w:val="000000"/>
        </w:rPr>
        <w:t xml:space="preserve"> </w:t>
      </w:r>
      <w:r>
        <w:rPr>
          <w:rFonts w:ascii="Times New Roman;sans-serif" w:hAnsi="Times New Roman;sans-serif"/>
          <w:b w:val="false"/>
          <w:color w:val="000000"/>
          <w:sz w:val="24"/>
        </w:rPr>
        <w:t>Ardelyx will not release any Batch of Product for commercial sale if Ardelyx does not hold all necessary Regulatory Approvals to market and sell the Product.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9.4.</w:t>
      </w:r>
      <w:r>
        <w:rPr>
          <w:rFonts w:ascii="Times New Roman;sans-serif" w:hAnsi="Times New Roman;sans-serif"/>
          <w:b w:val="false"/>
          <w:color w:val="000000"/>
          <w:sz w:val="24"/>
          <w:u w:val="single"/>
        </w:rPr>
        <w:t>Disclaimer of Implied Warranties</w:t>
      </w:r>
      <w:r>
        <w:rPr>
          <w:rFonts w:ascii="Times New Roman;sans-serif" w:hAnsi="Times New Roman;sans-serif"/>
          <w:b w:val="false"/>
          <w:color w:val="000000"/>
          <w:sz w:val="24"/>
        </w:rPr>
        <w:t>. EXCEPT AS EXPRESSLY SET OUT IN THIS AGREEMENT, NEITHER PARTY MAKES ANY WARRANTY, REPRESENTATION OR CONDITION OF ANY KIND, EITHER EXPRESSED OR IMPLIED, BY FACT OR LAW.</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10.Limitations on Liability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10.1.</w:t>
      </w:r>
      <w:r>
        <w:rPr>
          <w:rFonts w:ascii="Times New Roman;sans-serif" w:hAnsi="Times New Roman;sans-serif"/>
          <w:b w:val="false"/>
          <w:color w:val="000000"/>
          <w:sz w:val="24"/>
          <w:u w:val="single"/>
        </w:rPr>
        <w:t>Product Rejection claims</w:t>
      </w:r>
      <w:r>
        <w:rPr>
          <w:rFonts w:ascii="Times New Roman;sans-serif" w:hAnsi="Times New Roman;sans-serif"/>
          <w:b w:val="false"/>
          <w:color w:val="000000"/>
          <w:sz w:val="24"/>
        </w:rPr>
        <w:t xml:space="preserve">. Subject to Section 10.3, and except for any claim for expenses related to a Recall under Section 6.7.1, the remedies described in Section 6.4 will be Ardelyx’s sole remedy for Deficient Product.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10.2.</w:t>
      </w:r>
      <w:r>
        <w:rPr>
          <w:rFonts w:ascii="Times New Roman;sans-serif" w:hAnsi="Times New Roman;sans-serif"/>
          <w:b w:val="false"/>
          <w:color w:val="000000"/>
          <w:sz w:val="24"/>
          <w:u w:val="single"/>
        </w:rPr>
        <w:t>Consequential Damages</w:t>
      </w:r>
      <w:r>
        <w:rPr>
          <w:rFonts w:ascii="Times New Roman;sans-serif" w:hAnsi="Times New Roman;sans-serif"/>
          <w:b w:val="false"/>
          <w:color w:val="000000"/>
          <w:sz w:val="24"/>
        </w:rPr>
        <w:t xml:space="preserve">. Subject to Section 10.3, under no circumstances whatsoever will either Party be liable to the other for any consequential, special, punitive or other indirect liability, damage, costs, penalty, or expense of any kind incurred by the other party of an indirect or consequential nature, regardless of any notice of the possibility of these damages PROVIDED, HOWEVER, THAT THIS LIMITATION WILL NOT APPLY TO DAMAGES RESULTING FROM BREACHES BY A PARTY OF ITS DUTY OF CONFIDENTIALITY AND NON-USE IMPOSED UNDER SECTION 12.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10.3.</w:t>
      </w:r>
      <w:r>
        <w:rPr>
          <w:rFonts w:ascii="Times New Roman;sans-serif" w:hAnsi="Times New Roman;sans-serif"/>
          <w:b w:val="false"/>
          <w:color w:val="000000"/>
          <w:sz w:val="24"/>
          <w:u w:val="single"/>
        </w:rPr>
        <w:t>Limitation of Liability</w:t>
      </w:r>
      <w:r>
        <w:rPr>
          <w:rFonts w:ascii="Times New Roman;sans-serif" w:hAnsi="Times New Roman;sans-serif"/>
          <w:b w:val="false"/>
          <w:color w:val="000000"/>
          <w:sz w:val="24"/>
        </w:rPr>
        <w:t>. Subject to Section 10.4, Hovione’s liability for Losses arising from any single event under this Agreement (including without limitation any such event arising from Manufacturing) will be limited to [***]; the total liability of Hovione for Losses under this Agreement during [***] is limited to the lesser of (i) [***] US Dollars ($[***]) or (ii) the amount paid by Ardelyx under this Agreement and/or the Development Agreement during [***]; and, in any case, the total aggregate liability of Hovione for Losses under this Agreement is limited to [***] US Dollars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10.4.</w:t>
      </w:r>
      <w:r>
        <w:rPr>
          <w:rFonts w:ascii="Times New Roman;sans-serif" w:hAnsi="Times New Roman;sans-serif"/>
          <w:b w:val="false"/>
          <w:color w:val="000000"/>
          <w:sz w:val="24"/>
          <w:u w:val="single"/>
        </w:rPr>
        <w:t>Exclusions</w:t>
      </w:r>
      <w:r>
        <w:rPr>
          <w:rFonts w:ascii="Times New Roman;sans-serif" w:hAnsi="Times New Roman;sans-serif"/>
          <w:b w:val="false"/>
          <w:color w:val="000000"/>
          <w:sz w:val="24"/>
        </w:rPr>
        <w:t xml:space="preserve">. Nothing contained in this Agreement will act to exclude or limit either Party’s (i) liabilities arising from failure to meet the confidentiality obligations under Section 12, (ii) liabilities arising from a Party’s gross negligence or willful misconduct, or (iii) liability for personal injury or death caused by the negligence of either party or fraudulent misrepresentation. In addition, nothing contained in this Agreement will act to limit or exclude Hovione’s or Ardelyx’s performance obligations or liabilities under Section 6.4.1.1. </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11.Indemnification.</w:t>
      </w:r>
    </w:p>
    <w:p>
      <w:pPr>
        <w:pStyle w:val="TextBody"/>
        <w:bidi w:val="0"/>
        <w:spacing w:before="120" w:after="24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50520"/>
                <wp:effectExtent l="0" t="0" r="0" b="0"/>
                <wp:wrapNone/>
                <wp:docPr id="107" name="Frame1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26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26 of 38</w:t>
                      </w:r>
                    </w:p>
                  </w:txbxContent>
                </v:textbox>
                <w10:wrap type="none"/>
              </v:rect>
            </w:pict>
          </mc:Fallback>
        </mc:AlternateConten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11.1.</w:t>
      </w:r>
      <w:r>
        <w:rPr>
          <w:rFonts w:ascii="Times New Roman;sans-serif" w:hAnsi="Times New Roman;sans-serif"/>
          <w:b w:val="false"/>
          <w:color w:val="000000"/>
          <w:sz w:val="24"/>
          <w:u w:val="single"/>
        </w:rPr>
        <w:t>Hovione Indemnity</w:t>
      </w:r>
      <w:r>
        <w:rPr>
          <w:rFonts w:ascii="Times New Roman;sans-serif" w:hAnsi="Times New Roman;sans-serif"/>
          <w:b w:val="false"/>
          <w:color w:val="000000"/>
          <w:sz w:val="24"/>
        </w:rPr>
        <w:t>. Hovione agrees to defend and indemnify Ardelyx, its officers and employees, against all losses, damages, costs, claims, demands, subpoenas, judgments and liability (“</w:t>
      </w:r>
      <w:r>
        <w:rPr>
          <w:rFonts w:ascii="Times New Roman;sans-serif" w:hAnsi="Times New Roman;sans-serif"/>
          <w:b w:val="false"/>
          <w:color w:val="000000"/>
          <w:sz w:val="24"/>
          <w:u w:val="single"/>
        </w:rPr>
        <w:t>Losses</w:t>
      </w:r>
      <w:r>
        <w:rPr>
          <w:color w:val="000000"/>
        </w:rPr>
        <w:t>”</w:t>
      </w:r>
      <w:r>
        <w:rPr>
          <w:rFonts w:ascii="Times New Roman;sans-serif" w:hAnsi="Times New Roman;sans-serif"/>
          <w:b w:val="false"/>
          <w:color w:val="000000"/>
          <w:sz w:val="24"/>
        </w:rPr>
        <w:t>) asserted against or incurred by them in connection with any legal action or claim brought by third parties (“</w:t>
      </w:r>
      <w:r>
        <w:rPr>
          <w:rFonts w:ascii="Times New Roman;sans-serif" w:hAnsi="Times New Roman;sans-serif"/>
          <w:b w:val="false"/>
          <w:color w:val="000000"/>
          <w:sz w:val="24"/>
          <w:u w:val="single"/>
        </w:rPr>
        <w:t>Third Party Claims</w:t>
      </w:r>
      <w:r>
        <w:rPr>
          <w:color w:val="000000"/>
        </w:rPr>
        <w:t>”</w:t>
      </w:r>
      <w:r>
        <w:rPr>
          <w:rFonts w:ascii="Times New Roman;sans-serif" w:hAnsi="Times New Roman;sans-serif"/>
          <w:b w:val="false"/>
          <w:color w:val="000000"/>
          <w:sz w:val="24"/>
        </w:rPr>
        <w:t xml:space="preserve">) to the extent the Third Party Claim is the direct result of (a) a breach of [***], or (b) Hovione’s [***] in performing this Agreement except, in each case, to the extent Ardelyx is obligated to indemnify Hovione under Section 11.2.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11.2.</w:t>
      </w:r>
      <w:r>
        <w:rPr>
          <w:rFonts w:ascii="Times New Roman;sans-serif" w:hAnsi="Times New Roman;sans-serif"/>
          <w:b w:val="false"/>
          <w:color w:val="000000"/>
          <w:sz w:val="24"/>
          <w:u w:val="single"/>
        </w:rPr>
        <w:t>Ardelyx Indemnity</w:t>
      </w:r>
      <w:r>
        <w:rPr>
          <w:rFonts w:ascii="Times New Roman;sans-serif" w:hAnsi="Times New Roman;sans-serif"/>
          <w:b w:val="false"/>
          <w:color w:val="000000"/>
          <w:sz w:val="24"/>
        </w:rPr>
        <w:t xml:space="preserve">. Ardelyx agrees to defend and indemnify Hovione, its officers and employees, against all Losses asserted against or incurred by them in connection with any Third Party Claim to the extent the Third Party Claim is the result of (a) the manufacturing (insofar as it relates to Ardelyx’s obligations pursuant to this Agreement or the Development Agreement), packaging, marketing, distribution, import, use or sale by Ardelyx or its Licensees of the Product (including without limitation any claim of infringement of any patent or trademark or the unauthorized use of a trade secret and any product liability claims), (b) a breach of [***], or (c) Ardelyx’s [***] in performing this Agreement; except, in each case, to the extent Ardelyx is obligated to indemnify Hovione under Section 11.1.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11.3.</w:t>
      </w:r>
      <w:r>
        <w:rPr>
          <w:rFonts w:ascii="Times New Roman;sans-serif" w:hAnsi="Times New Roman;sans-serif"/>
          <w:b w:val="false"/>
          <w:color w:val="000000"/>
          <w:sz w:val="24"/>
          <w:u w:val="single"/>
        </w:rPr>
        <w:t>Indemnity Procedure</w:t>
      </w:r>
      <w:r>
        <w:rPr>
          <w:rFonts w:ascii="Times New Roman;sans-serif" w:hAnsi="Times New Roman;sans-serif"/>
          <w:b w:val="false"/>
          <w:color w:val="000000"/>
          <w:sz w:val="24"/>
        </w:rPr>
        <w:t>. A Party that intends to claim indemnification under Section 11.1 or Section 11.2 (the “</w:t>
      </w:r>
      <w:r>
        <w:rPr>
          <w:rFonts w:ascii="Times New Roman;sans-serif" w:hAnsi="Times New Roman;sans-serif"/>
          <w:b w:val="false"/>
          <w:color w:val="000000"/>
          <w:sz w:val="24"/>
          <w:u w:val="single"/>
        </w:rPr>
        <w:t>Indemnitee</w:t>
      </w:r>
      <w:r>
        <w:rPr>
          <w:color w:val="000000"/>
        </w:rPr>
        <w:t>”</w:t>
      </w:r>
      <w:r>
        <w:rPr>
          <w:rFonts w:ascii="Times New Roman;sans-serif" w:hAnsi="Times New Roman;sans-serif"/>
          <w:b w:val="false"/>
          <w:color w:val="000000"/>
          <w:sz w:val="24"/>
        </w:rPr>
        <w:t>) will notify the other Party (the “</w:t>
      </w:r>
      <w:r>
        <w:rPr>
          <w:rFonts w:ascii="Times New Roman;sans-serif" w:hAnsi="Times New Roman;sans-serif"/>
          <w:b w:val="false"/>
          <w:color w:val="000000"/>
          <w:sz w:val="24"/>
          <w:u w:val="single"/>
        </w:rPr>
        <w:t>Indemnitor</w:t>
      </w:r>
      <w:r>
        <w:rPr>
          <w:color w:val="000000"/>
        </w:rPr>
        <w:t>”</w:t>
      </w:r>
      <w:r>
        <w:rPr>
          <w:rFonts w:ascii="Times New Roman;sans-serif" w:hAnsi="Times New Roman;sans-serif"/>
          <w:b w:val="false"/>
          <w:color w:val="000000"/>
          <w:sz w:val="24"/>
        </w:rPr>
        <w:t>) promptly in writing of the applicable Third Party Claim, provided that the failure to give timely notice to the Indemnitor will not release the Indemnitor from any liability to the Indemnitee except to the extent the Indemnitor is actually prejudiced thereby. The Indemnitor will have the right, by notice to the Indemnitee, to assume the defense of the action or claim within fifteen (15) days after the Indemnitor’s receipt of notice of the action or claim with counsel of the Indemnitor’s choice and at the sole cost of the Indemnitor. If the Indemnitor assumes the defense, the Indemnitee may participate therein through counsel of its choice, but at the sole cost of the Indemnitee. The Party not assuming the defense of the claim will give reasonable assistance to the Party assuming the defense, and all reasonable out-of-pocket costs of this assistance will be for the account of the Indemnitor. No claim will be settled other than by the Party defending the claim, and then only with the consent of the other Party which will not be unreasonably withheld or delayed. The Indemnitee will have no obligation to consent to any settlement of any action or claim which imposes on the Indemnitee any liability or obligation which cannot be assumed and performed in full by the Indemnitor, and the Indemnitee will have no right to withhold its consent to any settlement of any action or claim if the settlement involves only the payment of money by the Indemnitor or its insurer.</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12.Confidentiality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12.1.</w:t>
      </w:r>
      <w:r>
        <w:rPr>
          <w:rFonts w:ascii="Times New Roman;sans-serif" w:hAnsi="Times New Roman;sans-serif"/>
          <w:b w:val="false"/>
          <w:color w:val="000000"/>
          <w:sz w:val="24"/>
          <w:u w:val="single"/>
        </w:rPr>
        <w:t>Definition</w:t>
      </w:r>
      <w:r>
        <w:rPr>
          <w:rFonts w:ascii="Times New Roman;sans-serif" w:hAnsi="Times New Roman;sans-serif"/>
          <w:b w:val="false"/>
          <w:color w:val="000000"/>
          <w:sz w:val="24"/>
        </w:rPr>
        <w:t>.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means any and all non-public scientific, technical, financial or business information, including without limitation any third-party confidential information, that is furnished or made available by or on behalf of one Party or its Affiliates (the “</w:t>
      </w:r>
      <w:r>
        <w:rPr>
          <w:rFonts w:ascii="Times New Roman;sans-serif" w:hAnsi="Times New Roman;sans-serif"/>
          <w:b w:val="false"/>
          <w:color w:val="000000"/>
          <w:sz w:val="24"/>
          <w:u w:val="single"/>
        </w:rPr>
        <w:t>Discloser</w:t>
      </w:r>
      <w:r>
        <w:rPr>
          <w:color w:val="000000"/>
        </w:rPr>
        <w:t>”</w:t>
      </w:r>
      <w:r>
        <w:rPr>
          <w:rFonts w:ascii="Times New Roman;sans-serif" w:hAnsi="Times New Roman;sans-serif"/>
          <w:b w:val="false"/>
          <w:color w:val="000000"/>
          <w:sz w:val="24"/>
        </w:rPr>
        <w:t>) to the other or its Affiliates (the “</w:t>
      </w:r>
      <w:r>
        <w:rPr>
          <w:rFonts w:ascii="Times New Roman;sans-serif" w:hAnsi="Times New Roman;sans-serif"/>
          <w:b w:val="false"/>
          <w:color w:val="000000"/>
          <w:sz w:val="24"/>
          <w:u w:val="single"/>
        </w:rPr>
        <w:t>Recipient</w:t>
      </w:r>
      <w:r>
        <w:rPr>
          <w:color w:val="000000"/>
        </w:rPr>
        <w:t>”</w:t>
      </w:r>
      <w:r>
        <w:rPr>
          <w:rFonts w:ascii="Times New Roman;sans-serif" w:hAnsi="Times New Roman;sans-serif"/>
          <w:b w:val="false"/>
          <w:color w:val="000000"/>
          <w:sz w:val="24"/>
        </w:rPr>
        <w:t xml:space="preserve">), </w:t>
      </w:r>
    </w:p>
    <w:p>
      <w:pPr>
        <w:pStyle w:val="TextBody"/>
        <w:bidi w:val="0"/>
        <w:spacing w:before="120" w:after="24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50520"/>
                <wp:effectExtent l="0" t="0" r="0" b="0"/>
                <wp:wrapNone/>
                <wp:docPr id="108" name="Frame1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27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27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or after the Effective Date, whether in writing, orally, visually ((including, without limitation, video, streaming or picture) or through physical inspection, subject to the exceptions in this Section 12.1. The term “Confidential Information” does not include information that (a) is publicly known at the Effective Date or later becomes publicly known under circumstances involving no breach of this Agreement, (b) is lawfully and in good faith disclosed to the Recipient without an obligation of confidence by a third party who is not subject to a confidentiality obligation to the Discloser, (c) is independently developed by the Recipient without use of or reliance on the Discloser’s Confidential Information, as evidenced by its written records; or (d) by a mutual written agreement by the Parties, is released from confidential status. Subject to the foregoing exceptions in this Sections 12.1, Ardelyx Confidential Information includes the Manufacturing Records, Specifications and Processing Instructions, and Hovione Confidential Information includes Hovione Background IP, Hovione Inventions and Incorporated Hovione IP. This Agreement constitutes the Confidential Information of both Parties.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12.2.</w:t>
      </w:r>
      <w:r>
        <w:rPr>
          <w:rFonts w:ascii="Times New Roman;sans-serif" w:hAnsi="Times New Roman;sans-serif"/>
          <w:b w:val="false"/>
          <w:color w:val="000000"/>
          <w:sz w:val="24"/>
          <w:u w:val="single"/>
        </w:rPr>
        <w:t>Restriction</w:t>
      </w:r>
      <w:r>
        <w:rPr>
          <w:rFonts w:ascii="Times New Roman;sans-serif" w:hAnsi="Times New Roman;sans-serif"/>
          <w:b w:val="false"/>
          <w:color w:val="000000"/>
          <w:sz w:val="24"/>
        </w:rPr>
        <w:t xml:space="preserve">. Discloser shall use commercially reasonable efforts to mark any Hovione Confidential Information “Confidential” or otherwise identify it as Confidential Information at the time of disclosure. Notwithstanding the foregoing, all information provided by one Party to the other, regardless of being marked or identified as confidential, shall be considered Confidential Information if it would be apparent to a reasonable person familiar with the Discloser’s industry that such information is of a confidential or proprietary nature.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12.3.</w:t>
      </w:r>
      <w:r>
        <w:rPr>
          <w:rFonts w:ascii="Times New Roman;sans-serif" w:hAnsi="Times New Roman;sans-serif"/>
          <w:b w:val="false"/>
          <w:color w:val="000000"/>
          <w:sz w:val="24"/>
          <w:u w:val="single"/>
        </w:rPr>
        <w:t>Confidentiality Obligation</w:t>
      </w:r>
      <w:r>
        <w:rPr>
          <w:rFonts w:ascii="Times New Roman;sans-serif" w:hAnsi="Times New Roman;sans-serif"/>
          <w:b w:val="false"/>
          <w:color w:val="000000"/>
          <w:sz w:val="24"/>
        </w:rPr>
        <w:t>. The Discloser shall be the sole owner of its Confidential Information. Recipient will keep confidential and protect the confidentiality of Confidential Information and will not disclose or use any Confidential Information except with the Recipient’s written permission or as permitted under this Agreement. Recipient will protect the Confidential Information disclosed to it by using reasonable precautions to prevent the unauthorized disclosure, dissemination or use of the Confidential Information, which precautions will not be less than those exercised by Recipient for its own confidential or proprietary Confidential Information of a similar nature. Recipient may disclose Confidential Information to its Representatives who need to know such Confidential Information in order to perform Recipient’s obligations or exercise Recipient’s rights hereunder, and who are legally or contractually bound to protect the confidentiality of such Confidential Information under terms no less stringent than those set forth in this Section 12. Specifically, Ardelyx may disclose [***] to its Representatives in order to exercise its rights under the license grants set forth in Section 13.6.2 and such right shall survive termination of this Agreement, and Ardelyx shall have the right to disclose [***]. Each Party, in its capacity as a Recipient, will be liable for the acts and failures to act by its respective Representatives for the improper use, disclosure, distribution, protection or handling of the Confidential Information of the Discloser as the actions or failures were committed directly by the Recipient.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12.4.</w:t>
      </w:r>
      <w:r>
        <w:rPr>
          <w:rFonts w:ascii="Times New Roman;sans-serif" w:hAnsi="Times New Roman;sans-serif"/>
          <w:b w:val="false"/>
          <w:color w:val="000000"/>
          <w:sz w:val="24"/>
          <w:u w:val="single"/>
        </w:rPr>
        <w:t>Permitted Disclosure</w:t>
      </w:r>
      <w:r>
        <w:rPr>
          <w:rFonts w:ascii="Times New Roman;sans-serif" w:hAnsi="Times New Roman;sans-serif"/>
          <w:b w:val="false"/>
          <w:color w:val="000000"/>
          <w:sz w:val="24"/>
        </w:rPr>
        <w:t xml:space="preserve">. Recipient may disclose Confidential Information of the Discloser to the extent required, as advised by counsel, in response to a valid order of a </w:t>
      </w:r>
    </w:p>
    <w:p>
      <w:pPr>
        <w:pStyle w:val="TextBody"/>
        <w:bidi w:val="0"/>
        <w:spacing w:before="120" w:after="24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50520"/>
                <wp:effectExtent l="0" t="0" r="0" b="0"/>
                <wp:wrapNone/>
                <wp:docPr id="109" name="Frame1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28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28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court or other governmental body, or as required by law, regulation or stock exchange rule applicable to it; provided that, to the extent lawful, the Recipient will (a) advise the Discloser in advance of the disclosure and (b) limit the required disclosure to the extent practicable and permissible by the order, law, regulation or stock exchange rule and any other applicable law, and (c) reasonably cooperate with the Discloser, if requested, in seeking an appropriate protective order or other remedy, and (d) otherwise continue to perform its obligations under this Section 12 with respect to information so disclosed. If any public disclosure is required by law, the Parties will consult concerning the form of announcement prior to the public disclosure being made.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12.5.</w:t>
      </w:r>
      <w:r>
        <w:rPr>
          <w:rFonts w:ascii="Times New Roman;sans-serif" w:hAnsi="Times New Roman;sans-serif"/>
          <w:b w:val="false"/>
          <w:color w:val="000000"/>
          <w:sz w:val="24"/>
          <w:u w:val="single"/>
        </w:rPr>
        <w:t>Return of Confidential Information</w:t>
      </w:r>
      <w:r>
        <w:rPr>
          <w:rFonts w:ascii="Times New Roman;sans-serif" w:hAnsi="Times New Roman;sans-serif"/>
          <w:b w:val="false"/>
          <w:color w:val="000000"/>
          <w:sz w:val="24"/>
        </w:rPr>
        <w:t>. Upon the written request of the Discloser or termination of the Agreement pursuant to Section 8, the Recipient will promptly return or destroy the Confidential Information of the Discloser, as directed by the Discloser, except for one copy which may be maintained by the Recipient in the sole and exclusive custody of its legal department to be held for the sole purpose of assessing compliance with the terms of this Agreement. The retained copy will remain subject to all confidentiality provisions contained in this Agreement. During the Term, Ardelyx will not unreasonably require the return or destruction of Confidential Information that is necessary or useful for Hovione to perform the Manufacturing Services. Hovione will not unreasonably require the return of Confidential Information that is necessary for Ardelyx to exercise its rights under this Agreement, and, specifically, to exercise its rights as granted by Section 13 (Intellectual Property).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12.6.</w:t>
      </w:r>
      <w:r>
        <w:rPr>
          <w:rFonts w:ascii="Times New Roman;sans-serif" w:hAnsi="Times New Roman;sans-serif"/>
          <w:b w:val="false"/>
          <w:color w:val="000000"/>
          <w:sz w:val="24"/>
          <w:u w:val="single"/>
        </w:rPr>
        <w:t>Remedies</w:t>
      </w:r>
      <w:r>
        <w:rPr>
          <w:rFonts w:ascii="Times New Roman;sans-serif" w:hAnsi="Times New Roman;sans-serif"/>
          <w:b w:val="false"/>
          <w:color w:val="000000"/>
          <w:sz w:val="24"/>
        </w:rPr>
        <w:t>. The Parties acknowledge that monetary damages may not be sufficient to remedy a breach by either Party of this Section 12 and therefore agree that the non-breaching Party will be entitled to seek specific performance, injunctive or other equitable relief in any court of competent jurisdiction (notwithstanding Section 14.13) to prevent breaches of this Section 12 and to specifically enforce Section 12 in addition to any other remedies available at law or in equity. These remedies will not be the exclusive remedies for breach of this Section 12 but will be in addition to any and all other remedies available at law or in equity.</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12.7.</w:t>
      </w:r>
      <w:r>
        <w:rPr>
          <w:rFonts w:ascii="Times New Roman;sans-serif" w:hAnsi="Times New Roman;sans-serif"/>
          <w:b w:val="false"/>
          <w:color w:val="000000"/>
          <w:sz w:val="24"/>
          <w:u w:val="single"/>
        </w:rPr>
        <w:t>Survival</w:t>
      </w:r>
      <w:r>
        <w:rPr>
          <w:rFonts w:ascii="Times New Roman;sans-serif" w:hAnsi="Times New Roman;sans-serif"/>
          <w:b w:val="false"/>
          <w:color w:val="000000"/>
          <w:sz w:val="24"/>
        </w:rPr>
        <w:t xml:space="preserve">. The obligations contained in this Section 12 will survive any termination of this Agreement for seven years from the last day of the Term. </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 xml:space="preserve">13.Intellectual Property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13.1.</w:t>
      </w:r>
      <w:r>
        <w:rPr>
          <w:rFonts w:ascii="Times New Roman;sans-serif" w:hAnsi="Times New Roman;sans-serif"/>
          <w:b w:val="false"/>
          <w:color w:val="000000"/>
          <w:sz w:val="24"/>
          <w:u w:val="single"/>
        </w:rPr>
        <w:t>Development Agreement</w:t>
      </w:r>
      <w:r>
        <w:rPr>
          <w:rFonts w:ascii="Times New Roman;sans-serif" w:hAnsi="Times New Roman;sans-serif"/>
          <w:b w:val="false"/>
          <w:color w:val="000000"/>
          <w:sz w:val="24"/>
        </w:rPr>
        <w:t xml:space="preserve">. All inventions and other Intellectual Property arising from performance of Development Services, including without limitation project reports, final reports and Manufacturing Records, shall be owned in accordance with, and otherwise subject to, the terms and conditions of the Development Agreement.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13.2.</w:t>
      </w:r>
      <w:r>
        <w:rPr>
          <w:rFonts w:ascii="Times New Roman;sans-serif" w:hAnsi="Times New Roman;sans-serif"/>
          <w:b w:val="false"/>
          <w:color w:val="000000"/>
          <w:sz w:val="24"/>
          <w:u w:val="single"/>
        </w:rPr>
        <w:t>Background IP</w:t>
      </w:r>
      <w:r>
        <w:rPr>
          <w:rFonts w:ascii="Times New Roman;sans-serif" w:hAnsi="Times New Roman;sans-serif"/>
          <w:b w:val="false"/>
          <w:color w:val="000000"/>
          <w:sz w:val="24"/>
        </w:rPr>
        <w:t>. Ardelyx shall solely own all Ardelyx Background IP and Hovione shall solely own all Hovione Background IP (collectively, “</w:t>
      </w:r>
      <w:r>
        <w:rPr>
          <w:rFonts w:ascii="Times New Roman;sans-serif" w:hAnsi="Times New Roman;sans-serif"/>
          <w:b w:val="false"/>
          <w:color w:val="000000"/>
          <w:sz w:val="24"/>
          <w:u w:val="single"/>
        </w:rPr>
        <w:t>Background IP</w:t>
      </w:r>
      <w:r>
        <w:rPr>
          <w:color w:val="000000"/>
        </w:rPr>
        <w:t>”</w:t>
      </w:r>
      <w:r>
        <w:rPr>
          <w:rFonts w:ascii="Times New Roman;sans-serif" w:hAnsi="Times New Roman;sans-serif"/>
          <w:b w:val="false"/>
          <w:color w:val="000000"/>
          <w:sz w:val="24"/>
        </w:rPr>
        <w:t xml:space="preserve">). For </w:t>
      </w:r>
    </w:p>
    <w:p>
      <w:pPr>
        <w:pStyle w:val="TextBody"/>
        <w:bidi w:val="0"/>
        <w:spacing w:before="120" w:after="24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50520"/>
                <wp:effectExtent l="0" t="0" r="0" b="0"/>
                <wp:wrapNone/>
                <wp:docPr id="110" name="Frame1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29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29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clarity the Process for Manufacture of the Product, as of the Effective Date, constitutes Ardelyx Background IP.</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13.3.</w:t>
      </w:r>
      <w:r>
        <w:rPr>
          <w:rFonts w:ascii="Times New Roman;sans-serif" w:hAnsi="Times New Roman;sans-serif"/>
          <w:b w:val="false"/>
          <w:color w:val="000000"/>
          <w:sz w:val="24"/>
          <w:u w:val="single"/>
        </w:rPr>
        <w:t>Ardelyx Inventions</w:t>
      </w:r>
      <w:r>
        <w:rPr>
          <w:rFonts w:ascii="Times New Roman;sans-serif" w:hAnsi="Times New Roman;sans-serif"/>
          <w:b w:val="false"/>
          <w:color w:val="000000"/>
          <w:sz w:val="24"/>
        </w:rPr>
        <w:t>. Ardelyx shall solely own all Inventions arising from [***] (collectively, “</w:t>
      </w:r>
      <w:r>
        <w:rPr>
          <w:rFonts w:ascii="Times New Roman;sans-serif" w:hAnsi="Times New Roman;sans-serif"/>
          <w:b w:val="false"/>
          <w:color w:val="000000"/>
          <w:sz w:val="24"/>
          <w:u w:val="single"/>
        </w:rPr>
        <w:t>Ardelyx Inventions</w:t>
      </w:r>
      <w:r>
        <w:rPr>
          <w:color w:val="000000"/>
        </w:rPr>
        <w:t>”</w:t>
      </w:r>
      <w:r>
        <w:rPr>
          <w:rFonts w:ascii="Times New Roman;sans-serif" w:hAnsi="Times New Roman;sans-serif"/>
          <w:b w:val="false"/>
          <w:color w:val="000000"/>
          <w:sz w:val="24"/>
        </w:rPr>
        <w:t xml:space="preserve">). Hovione hereby assigns to Ardelyx, and agrees to assign to Ardelyx, all right, title and interest in and to the Ardelyx Inventions.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13.4.</w:t>
      </w:r>
      <w:r>
        <w:rPr>
          <w:rFonts w:ascii="Times New Roman;sans-serif" w:hAnsi="Times New Roman;sans-serif"/>
          <w:b w:val="false"/>
          <w:color w:val="000000"/>
          <w:sz w:val="24"/>
          <w:u w:val="single"/>
        </w:rPr>
        <w:t>Hovione Inventions</w:t>
      </w:r>
      <w:r>
        <w:rPr>
          <w:rFonts w:ascii="Times New Roman;sans-serif" w:hAnsi="Times New Roman;sans-serif"/>
          <w:b w:val="false"/>
          <w:color w:val="000000"/>
          <w:sz w:val="24"/>
        </w:rPr>
        <w:t>. As between the Parties, Hovione shall solely own all Inventions arising from [***] that do not constitute Ardelyx Inventions (collectively, “</w:t>
      </w:r>
      <w:r>
        <w:rPr>
          <w:rFonts w:ascii="Times New Roman;sans-serif" w:hAnsi="Times New Roman;sans-serif"/>
          <w:b w:val="false"/>
          <w:color w:val="000000"/>
          <w:sz w:val="24"/>
          <w:u w:val="single"/>
        </w:rPr>
        <w:t>Hovione Inventions</w:t>
      </w:r>
      <w:r>
        <w:rPr>
          <w:color w:val="000000"/>
        </w:rPr>
        <w:t>”</w:t>
      </w:r>
      <w:r>
        <w:rPr>
          <w:rFonts w:ascii="Times New Roman;sans-serif" w:hAnsi="Times New Roman;sans-serif"/>
          <w:b w:val="false"/>
          <w:color w:val="000000"/>
          <w:sz w:val="24"/>
        </w:rPr>
        <w:t>). Hovione shall [***]. Each Party will be solely responsible for the costs of filing, prosecution, and maintenance of patents and patent applications on its own Inventions.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13.5.</w:t>
      </w:r>
      <w:r>
        <w:rPr>
          <w:rFonts w:ascii="Times New Roman;sans-serif" w:hAnsi="Times New Roman;sans-serif"/>
          <w:b w:val="false"/>
          <w:color w:val="000000"/>
          <w:sz w:val="24"/>
          <w:u w:val="single"/>
        </w:rPr>
        <w:t>Incorporated Hovione Background IP</w:t>
      </w:r>
      <w:r>
        <w:rPr>
          <w:rFonts w:ascii="Times New Roman;sans-serif" w:hAnsi="Times New Roman;sans-serif"/>
          <w:b w:val="false"/>
          <w:color w:val="000000"/>
          <w:sz w:val="24"/>
        </w:rPr>
        <w:t>. Prior to Hovione’s use of Background IP in a manner which could result in the incorporation of, embodiment within, or reference to, any such Hovione Background IP in the Product or Process, Hovione shall first (i) provide Ardelyx with a written description of any such Hovione Background IP proposed to be so used or incorporated and (ii) obtain Ardelyx’s prior written consent to proceed to use the Hovione Background IP in the manner so described, whereupon the Parties shall promptly negotiate commercially reasonable terms for, and Hovione shall grant to Ardelyx, a license to practice all such Hovione Background IP in accordance with the terms and conditions as negotiated between the Parties and prior to incorporation thereof.</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13.6.</w:t>
      </w:r>
      <w:r>
        <w:rPr>
          <w:rFonts w:ascii="Times New Roman;sans-serif" w:hAnsi="Times New Roman;sans-serif"/>
          <w:b w:val="false"/>
          <w:color w:val="000000"/>
          <w:sz w:val="24"/>
          <w:u w:val="single"/>
        </w:rPr>
        <w:t>Licenses.</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13.6.1.</w:t>
      </w:r>
      <w:r>
        <w:rPr>
          <w:rFonts w:ascii="Times New Roman;sans-serif" w:hAnsi="Times New Roman;sans-serif"/>
          <w:b w:val="false"/>
          <w:color w:val="000000"/>
          <w:sz w:val="24"/>
          <w:u w:val="single"/>
        </w:rPr>
        <w:t>License under Ardelyx Background IP</w:t>
      </w:r>
      <w:r>
        <w:rPr>
          <w:rFonts w:ascii="Times New Roman;sans-serif" w:hAnsi="Times New Roman;sans-serif"/>
          <w:b w:val="false"/>
          <w:color w:val="000000"/>
          <w:sz w:val="24"/>
        </w:rPr>
        <w:t xml:space="preserve">. For the Term of this Agreement, Ardelyx hereby grants to each of Hovione Portugal and Hovione NJ a non-exclusive, paid-up, royalty-free, non-transferable license to use Ardelyx Background IP and Ardelyx Inventions solely and specifically as needed in order to perform the Manufacturing Services for Ardelyx in accordance with this Agreement. The foregoing license does not extend to [***] absent separate written consent by Ardelyx in each case. </w:t>
      </w:r>
    </w:p>
    <w:p>
      <w:pPr>
        <w:pStyle w:val="TextBody"/>
        <w:bidi w:val="0"/>
        <w:spacing w:lineRule="auto" w:line="288" w:before="0" w:after="240"/>
        <w:ind w:left="0" w:right="0" w:firstLine="1134"/>
        <w:jc w:val="both"/>
        <w:rPr/>
      </w:pPr>
      <w:r>
        <w:rPr>
          <w:rFonts w:ascii="Times New Roman;sans-serif" w:hAnsi="Times New Roman;sans-serif"/>
          <w:b w:val="false"/>
          <w:color w:val="000000"/>
          <w:sz w:val="24"/>
        </w:rPr>
        <w:t>13.6.2.</w:t>
      </w:r>
      <w:r>
        <w:rPr>
          <w:rFonts w:ascii="Times New Roman;sans-serif" w:hAnsi="Times New Roman;sans-serif"/>
          <w:b w:val="false"/>
          <w:color w:val="000000"/>
          <w:sz w:val="24"/>
          <w:u w:val="single"/>
        </w:rPr>
        <w:t>License under Incorporated Hovione IP</w:t>
      </w:r>
      <w:r>
        <w:rPr>
          <w:rFonts w:ascii="Times New Roman;sans-serif" w:hAnsi="Times New Roman;sans-serif"/>
          <w:b w:val="false"/>
          <w:color w:val="000000"/>
          <w:sz w:val="24"/>
        </w:rPr>
        <w:t>. In addition to any license(s) negotiated pursuant to Section 13.5, [***] (collectively, the “</w:t>
      </w:r>
      <w:r>
        <w:rPr>
          <w:rFonts w:ascii="Times New Roman;sans-serif" w:hAnsi="Times New Roman;sans-serif"/>
          <w:b w:val="false"/>
          <w:color w:val="000000"/>
          <w:sz w:val="24"/>
          <w:u w:val="single"/>
        </w:rPr>
        <w:t>Incorporated Hovione IP</w:t>
      </w:r>
      <w:r>
        <w:rPr>
          <w:color w:val="000000"/>
        </w:rPr>
        <w:t>”</w:t>
      </w:r>
      <w:r>
        <w:rPr>
          <w:rFonts w:ascii="Times New Roman;sans-serif" w:hAnsi="Times New Roman;sans-serif"/>
          <w:b w:val="false"/>
          <w:color w:val="000000"/>
          <w:sz w:val="24"/>
        </w:rPr>
        <w:t xml:space="preserve">), Hovione hereby [***]. With respect to any license to practice Hovione Incorporated IP hereunder or to any license(s) negotiated pursuant to Section 13.5, Ardelyx will be solely responsible for the actions of any third party to which Ardelyx sublicenses its rights to Incorporated Hovione IP and will indemnify and hold harmless Hovione against all costs, expenses, damages, or losses of any nature arising out of such sublicensee’s use of Incorporated Hovione IP, including, but not limited to, any use of such Incorporated Hovione IP outside the bounds of Ardelyx’s license under this Section. Ardelyx will cause any such sublicensee to be bound by, and to comply with, (a) the limitations on Ardelyx’s use of the Incorporated Hovione IP under the license granted in this Section, and (b) </w:t>
      </w:r>
    </w:p>
    <w:p>
      <w:pPr>
        <w:pStyle w:val="TextBody"/>
        <w:bidi w:val="0"/>
        <w:spacing w:before="120" w:after="24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50520"/>
                <wp:effectExtent l="0" t="0" r="0" b="0"/>
                <wp:wrapNone/>
                <wp:docPr id="111" name="Frame1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30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30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confidentiality requirements relating to the Incorporated Hovione IP that are no less strict than those contained in this Agreement.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13.7.</w:t>
      </w:r>
      <w:r>
        <w:rPr>
          <w:rFonts w:ascii="Times New Roman;sans-serif" w:hAnsi="Times New Roman;sans-serif"/>
          <w:b w:val="false"/>
          <w:color w:val="000000"/>
          <w:sz w:val="24"/>
          <w:u w:val="single"/>
        </w:rPr>
        <w:t>Ardelyx Affiliates and Licensees</w:t>
      </w:r>
      <w:r>
        <w:rPr>
          <w:rFonts w:ascii="Times New Roman;sans-serif" w:hAnsi="Times New Roman;sans-serif"/>
          <w:b w:val="false"/>
          <w:color w:val="000000"/>
          <w:sz w:val="24"/>
        </w:rPr>
        <w:t>. Notwithstanding any license granted by Ardelyx to its Licensees or Affiliates, during the Term Hovione agrees not to [***] without Ardelyx’s express written instruction or consent, which may be granted or withheld in Ardelyx’s sole discretion.</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13.8.</w:t>
      </w:r>
      <w:r>
        <w:rPr>
          <w:rFonts w:ascii="Times New Roman;sans-serif" w:hAnsi="Times New Roman;sans-serif"/>
          <w:b w:val="false"/>
          <w:color w:val="000000"/>
          <w:sz w:val="24"/>
          <w:u w:val="single"/>
        </w:rPr>
        <w:t>No Additional Rights</w:t>
      </w:r>
      <w:r>
        <w:rPr>
          <w:rFonts w:ascii="Times New Roman;sans-serif" w:hAnsi="Times New Roman;sans-serif"/>
          <w:b w:val="false"/>
          <w:color w:val="000000"/>
          <w:sz w:val="24"/>
        </w:rPr>
        <w:t xml:space="preserve">. Except as expressly set out in this Agreement, neither Party has, nor will it acquire, any interest in any of the other Party’s Intellectual Property unless otherwise expressly agreed to in writing. Neither Party will use any Intellectual Property of the other Party, except as specifically authorized by the other Party in writing or as required for the performance of its obligations or exercise of its rights under this Agreement. </w:t>
      </w:r>
    </w:p>
    <w:p>
      <w:pPr>
        <w:pStyle w:val="TextBody"/>
        <w:bidi w:val="0"/>
        <w:spacing w:lineRule="auto" w:line="288" w:before="0" w:after="240"/>
        <w:ind w:left="0" w:right="0" w:hanging="567"/>
        <w:jc w:val="both"/>
        <w:rPr>
          <w:rFonts w:ascii="Times New Roman;sans-serif" w:hAnsi="Times New Roman;sans-serif"/>
          <w:b/>
          <w:color w:val="000000"/>
          <w:sz w:val="24"/>
        </w:rPr>
      </w:pPr>
      <w:r>
        <w:rPr>
          <w:rFonts w:ascii="Times New Roman;sans-serif" w:hAnsi="Times New Roman;sans-serif"/>
          <w:b/>
          <w:color w:val="000000"/>
          <w:sz w:val="24"/>
        </w:rPr>
        <w:t>14.Miscellaneous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14.1.</w:t>
      </w:r>
      <w:r>
        <w:rPr>
          <w:rFonts w:ascii="Times New Roman;sans-serif" w:hAnsi="Times New Roman;sans-serif"/>
          <w:b w:val="false"/>
          <w:color w:val="000000"/>
          <w:sz w:val="24"/>
          <w:u w:val="single"/>
        </w:rPr>
        <w:t>Insurance</w:t>
      </w:r>
      <w:r>
        <w:rPr>
          <w:rFonts w:ascii="Times New Roman;sans-serif" w:hAnsi="Times New Roman;sans-serif"/>
          <w:b w:val="false"/>
          <w:color w:val="000000"/>
          <w:sz w:val="24"/>
        </w:rPr>
        <w:t>. Each Party will maintain commercial general liability insurance, including blanket contractual liability insurance covering the obligations of that Party under this Agreement through the term of this Agreement and for a period of [***] after that. This insurance will have policy limits of not less than: (i) $[***] for each occurrence for personal injury or property damage liability; and (ii) $[***] in the aggregate per annum for product and completed operations liability. If requested each Party will give the other a certificate of insurance evidencing the above and showing the name of the issuing company, the policy number, the effective date, the expiration date, and the limits of liability. The insurance certificate will further provide for a minimum of thirty (30) days’ written notice to the insured of a cancellation of, or material change in, the insurance.</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14.2.</w:t>
      </w:r>
      <w:r>
        <w:rPr>
          <w:rFonts w:ascii="Times New Roman;sans-serif" w:hAnsi="Times New Roman;sans-serif"/>
          <w:b w:val="false"/>
          <w:color w:val="000000"/>
          <w:sz w:val="24"/>
          <w:u w:val="single"/>
        </w:rPr>
        <w:t>No Agency or Partnership</w:t>
      </w:r>
      <w:r>
        <w:rPr>
          <w:rFonts w:ascii="Times New Roman;sans-serif" w:hAnsi="Times New Roman;sans-serif"/>
          <w:b w:val="false"/>
          <w:color w:val="000000"/>
          <w:sz w:val="24"/>
        </w:rPr>
        <w:t>. The Parties are independent contractors and this Agreement does not create between the Parties any other relationship such as, by way of example only, that of employer and employee, principal and agent, joint-venturers, co-partners, or any similar relationship, the existence of which is expressly denied by the Parties.</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14.3.</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Neither Party’s failure to require the other Party to comply with any provision of this Agreement will be considered a waiver of the provision or any other provision of this Agreement, with the exception of Section 8.2.1 of this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14.4.</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xml:space="preserve">. Ardelyx may assign this Agreement to an Affiliate or to any successor in interest to all or substantially all of Ardelyx’s business to which this Agreement relates. Hovione may assign this Agreement: (i) to any of its Affiliates or (ii) to a successor to or purchaser of all or substantially all of its business, if (I) performance of activities hereunder remains at the Manufacturing Sites, (II) the FDA registration number for the Manufacturing Sites do not change and (III) the assignee executes an agreement with Ardelyx whereby it agrees to be bound by the obligations of this Agreement owed to </w:t>
      </w:r>
    </w:p>
    <w:p>
      <w:pPr>
        <w:pStyle w:val="TextBody"/>
        <w:bidi w:val="0"/>
        <w:spacing w:before="120" w:after="24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50520"/>
                <wp:effectExtent l="0" t="0" r="0" b="0"/>
                <wp:wrapNone/>
                <wp:docPr id="112" name="Frame1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31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31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Ardelyx. Neither Party may otherwise assign this Agreement or any of its associated rights or obligations hereunder without the written consent of the other Party, and any assignment in violation of this Agreement will be void.</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14.5.</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Neither Party will be liable for the failure to perform its obligations under this Agreement if the failure is caused by an event beyond that Party’s reasonable control, including, but not limited to, strikes or other labor disturbances, lockouts, riots, quarantines, communicable disease outbreaks, wars, acts of terrorism, cyber-attacks, fires, floods, storms, interruption of or delay in transportation, defective equipment, lack of or inability to obtain fuel, power or components, or compliance with any order, regulation, or enforcement decision of any Authority (a “</w:t>
      </w:r>
      <w:r>
        <w:rPr>
          <w:rFonts w:ascii="Times New Roman;sans-serif" w:hAnsi="Times New Roman;sans-serif"/>
          <w:b w:val="false"/>
          <w:color w:val="000000"/>
          <w:sz w:val="24"/>
          <w:u w:val="single"/>
        </w:rPr>
        <w:t>Force Majeure Event</w:t>
      </w:r>
      <w:r>
        <w:rPr>
          <w:color w:val="000000"/>
        </w:rPr>
        <w:t>”</w:t>
      </w:r>
      <w:r>
        <w:rPr>
          <w:rFonts w:ascii="Times New Roman;sans-serif" w:hAnsi="Times New Roman;sans-serif"/>
          <w:b w:val="false"/>
          <w:color w:val="000000"/>
          <w:sz w:val="24"/>
        </w:rPr>
        <w:t>). A Party claiming a right to excused performance under this Section 14.5 will promptly notify the other Party in writing of the extent of its inability to perform, which notice will specify the event beyond its reasonable control that prevents the performance, and will use Commercially Reasonable Efforts to mitigate the contingency and recommence its performance of the obligation as soon as commercially practicable. If a Force Majeure Event causes a partial but not complete inability to perform its obligations under this Agreement, that Party will perform to the maximum extent it is able to. If a Force Majeure Event results in a partial reduction in manufacturing capacity at a Hovione NJ or Hovione Portugal, as applicable: (a) to the extent reasonably practical, Hovione will supply Ardelyx from another Hovione site, (b) Hovione will otherwise use Commercially Reasonable Efforts to [***], and (c) Ardelyx may [***]; and (d) within [***] after the occurrence of a Force Majeure Event which results in a partial reduction in manufacturing capacity at a Hovione NJ or Hovione Portugal, Ardelyx may in its discretion do any of the following: (i) [***] to the extent fulfilment thereof by Hovione is impacted by the Force Majeure Event, without any further liability on Ardelyx’s part, including [***], and/or (ii) [***]. If a Force Majeure Event claimed by one Party is not resolved within [***], then (A) the other Party may terminate this Agreement on written notice or (B) on the other Party’s written request, the Parties shall negotiate in good faith adequate consequences of such Force Majeure Event, including if appropriate a reduction of the Annual Commitment.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14.6.</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 approval, instruction or other written communication required or permitted under this Agreement will be sufficient if made or given to the other Party by personal delivery or confirmed receipt email or by sending the same by first class mail, postage prepaid, return receipt requested, to the respective addresses or email addresses set out below:</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Ardelyx:</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Ardelyx, Inc.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400 5th Ave., Suite 210</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Waltham, MA 02451 USA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w:t>
      </w:r>
    </w:p>
    <w:p>
      <w:pPr>
        <w:pStyle w:val="TextBody"/>
        <w:bidi w:val="0"/>
        <w:spacing w:before="120" w:after="24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50520"/>
                <wp:effectExtent l="0" t="0" r="0" b="0"/>
                <wp:wrapNone/>
                <wp:docPr id="113" name="Frame1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32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32 of 38</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If to Hovione: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Hovione LLC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 Lake Drive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East Windsor, NJ 08520, USA</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Attention: [***]</w:t>
        <w:br/>
        <w:t>With a copy to: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to any other address given to the other Party in accordance with the terms of this Section 14.6. Notices or written communications made or given by personal delivery, national courier or email will be considered to have been sufficiently made or given upon confirmation of receipt.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14.7.</w:t>
      </w:r>
      <w:r>
        <w:rPr>
          <w:rFonts w:ascii="Times New Roman;sans-serif" w:hAnsi="Times New Roman;sans-serif"/>
          <w:b w:val="false"/>
          <w:color w:val="000000"/>
          <w:sz w:val="24"/>
          <w:u w:val="single"/>
        </w:rPr>
        <w:t>Interpretation</w:t>
      </w:r>
      <w:r>
        <w:rPr>
          <w:rFonts w:ascii="Times New Roman;sans-serif" w:hAnsi="Times New Roman;sans-serif"/>
          <w:b w:val="false"/>
          <w:color w:val="000000"/>
          <w:sz w:val="24"/>
        </w:rPr>
        <w:t>. The division of this Agreement into Sections, Subsections, and Appendices, and the insertion of headings, are for convenience of reference only and will not affect the interpretation of this Agreement. Unless otherwise indicated, any reference in this Agreement to a Section or Appendix refers to the specified Section or Appendix to this Agreement. In this Agreement, the term “this Agreement” and similar expressions refer to this Agreement as a whole and not to any particular part, Section or Appendix of this Agreement. Except as otherwise expressly stated or unless the context otherwise requires, all references to the singular will include the plural and vice versa. All monetary amounts stated in this Agreement are in United States Dollars ($).</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14.8.</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If any provision of this Agreement is determined by a court of competent jurisdiction to be invalid, illegal, or unenforceable in any respect, that determination will not impair or affect the validity, legality, or enforceability of the remaining provisions, because each provision is separate, severable, and distinct.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14.9.</w:t>
      </w:r>
      <w:r>
        <w:rPr>
          <w:rFonts w:ascii="Times New Roman;sans-serif" w:hAnsi="Times New Roman;sans-serif"/>
          <w:b w:val="false"/>
          <w:color w:val="000000"/>
          <w:sz w:val="24"/>
          <w:u w:val="single"/>
        </w:rPr>
        <w:t>Entire Agreement</w:t>
      </w:r>
      <w:r>
        <w:rPr>
          <w:rFonts w:ascii="Times New Roman;sans-serif" w:hAnsi="Times New Roman;sans-serif"/>
          <w:b w:val="false"/>
          <w:color w:val="000000"/>
          <w:sz w:val="24"/>
        </w:rPr>
        <w:t xml:space="preserve">. This Agreement, together with its Appendices, [***] and the Quality Agreement constitutes the full, complete, final and integrated agreement between the Parties relating to the subject matter of the Agreement and supersedes all previous written or oral negotiations, commitments, representations, agreements, transactions, or understandings concerning the subject matter of this Agreement (for clarity excluding Development Services subject to the Development Agreement). The basis of the Parties’ agreement is set out expressly and they have not been induced by or relied on any statement or representation that is not set out in this Agreement. Any modification, amendment, or supplement to this Agreement must be in writing and signed by authorized representatives of both Parties. In case of conflict among terms, the following order of precedence shall apply: (i) the Quality Agreement shall prevail with respect to matters of Product quality, (ii) [***] will prevail with respect to matters of Equipment and Scale Up, and (iii) this Agreement shall prevail with respect to all other matters. </w:t>
      </w:r>
    </w:p>
    <w:p>
      <w:pPr>
        <w:pStyle w:val="TextBody"/>
        <w:bidi w:val="0"/>
        <w:spacing w:lineRule="auto" w:line="288" w:before="0" w:after="220"/>
        <w:ind w:left="0" w:right="0" w:firstLine="567"/>
        <w:jc w:val="both"/>
        <w:rPr/>
      </w:pPr>
      <w:r>
        <w:rPr>
          <w:rFonts w:ascii="Times New Roman;sans-serif" w:hAnsi="Times New Roman;sans-serif"/>
          <w:b w:val="false"/>
          <w:color w:val="000000"/>
          <w:sz w:val="24"/>
        </w:rPr>
        <w:t>14.10.</w:t>
      </w:r>
      <w:r>
        <w:rPr>
          <w:rFonts w:ascii="Times New Roman;sans-serif" w:hAnsi="Times New Roman;sans-serif"/>
          <w:b w:val="false"/>
          <w:color w:val="000000"/>
          <w:sz w:val="24"/>
          <w:u w:val="single"/>
        </w:rPr>
        <w:t>No Third Party Benefit or Right</w:t>
      </w:r>
      <w:r>
        <w:rPr>
          <w:rFonts w:ascii="Times New Roman;sans-serif" w:hAnsi="Times New Roman;sans-serif"/>
          <w:b w:val="false"/>
          <w:color w:val="000000"/>
          <w:sz w:val="24"/>
        </w:rPr>
        <w:t xml:space="preserve">. Nothing in this Agreement will confer or be construed as conferring on any third party any benefit or the right to enforce any express or implied term of this Agreement (except that Ardelyx Licensees may enforce their rights </w:t>
      </w:r>
    </w:p>
    <w:p>
      <w:pPr>
        <w:pStyle w:val="TextBody"/>
        <w:bidi w:val="0"/>
        <w:spacing w:before="120" w:after="24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350520"/>
                <wp:effectExtent l="0" t="0" r="0" b="0"/>
                <wp:wrapNone/>
                <wp:docPr id="114" name="Frame1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33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33 of 38</w:t>
                      </w:r>
                    </w:p>
                  </w:txbxContent>
                </v:textbox>
                <w10:wrap type="none"/>
              </v:rect>
            </w:pict>
          </mc:Fallback>
        </mc:AlternateContent>
      </w:r>
    </w:p>
    <w:p>
      <w:pPr>
        <w:pStyle w:val="TextBody"/>
        <w:bidi w:val="0"/>
        <w:spacing w:lineRule="auto" w:line="288" w:before="0" w:after="220"/>
        <w:jc w:val="both"/>
        <w:rPr>
          <w:rFonts w:ascii="Times New Roman;sans-serif" w:hAnsi="Times New Roman;sans-serif"/>
          <w:b w:val="false"/>
          <w:color w:val="000000"/>
          <w:sz w:val="24"/>
        </w:rPr>
      </w:pPr>
      <w:r>
        <w:rPr>
          <w:rFonts w:ascii="Times New Roman;sans-serif" w:hAnsi="Times New Roman;sans-serif"/>
          <w:b w:val="false"/>
          <w:color w:val="000000"/>
          <w:sz w:val="24"/>
        </w:rPr>
        <w:t>under Section 7.5). The rights of the Parties to terminate, rescind or agree any variation, waiver or settlement under this Agreement are not subject to the consent of any other person.</w:t>
      </w:r>
    </w:p>
    <w:p>
      <w:pPr>
        <w:pStyle w:val="TextBody"/>
        <w:bidi w:val="0"/>
        <w:spacing w:lineRule="auto" w:line="288" w:before="0" w:after="220"/>
        <w:ind w:left="0" w:right="0" w:firstLine="567"/>
        <w:jc w:val="both"/>
        <w:rPr/>
      </w:pPr>
      <w:r>
        <w:rPr>
          <w:rFonts w:ascii="Times New Roman;sans-serif" w:hAnsi="Times New Roman;sans-serif"/>
          <w:b w:val="false"/>
          <w:color w:val="000000"/>
          <w:sz w:val="24"/>
        </w:rPr>
        <w:t>14.11.</w:t>
      </w:r>
      <w:r>
        <w:rPr>
          <w:rFonts w:ascii="Times New Roman;sans-serif" w:hAnsi="Times New Roman;sans-serif"/>
          <w:b w:val="false"/>
          <w:color w:val="000000"/>
          <w:sz w:val="24"/>
          <w:u w:val="single"/>
        </w:rPr>
        <w:t>Execution in Counterparts</w:t>
      </w:r>
      <w:r>
        <w:rPr>
          <w:rFonts w:ascii="Times New Roman;sans-serif" w:hAnsi="Times New Roman;sans-serif"/>
          <w:b w:val="false"/>
          <w:color w:val="000000"/>
          <w:sz w:val="24"/>
        </w:rPr>
        <w:t>. This Agreement may be executed in two or more counterparts, by original or electronic (including “pdf”) signature, each of which will be considered an original, but all of which together will constitute one and the same instrument.</w:t>
      </w:r>
    </w:p>
    <w:p>
      <w:pPr>
        <w:pStyle w:val="TextBody"/>
        <w:bidi w:val="0"/>
        <w:spacing w:lineRule="auto" w:line="288" w:before="0" w:after="220"/>
        <w:ind w:left="0" w:right="0" w:firstLine="567"/>
        <w:jc w:val="both"/>
        <w:rPr/>
      </w:pPr>
      <w:r>
        <w:rPr>
          <w:rFonts w:ascii="Times New Roman;sans-serif" w:hAnsi="Times New Roman;sans-serif"/>
          <w:b w:val="false"/>
          <w:color w:val="000000"/>
          <w:sz w:val="24"/>
        </w:rPr>
        <w:t>14.12.</w:t>
      </w:r>
      <w:r>
        <w:rPr>
          <w:rFonts w:ascii="Times New Roman;sans-serif" w:hAnsi="Times New Roman;sans-serif"/>
          <w:b w:val="false"/>
          <w:color w:val="000000"/>
          <w:sz w:val="24"/>
          <w:u w:val="single"/>
        </w:rPr>
        <w:t>Use of Name</w:t>
      </w:r>
      <w:r>
        <w:rPr>
          <w:rFonts w:ascii="Times New Roman;sans-serif" w:hAnsi="Times New Roman;sans-serif"/>
          <w:b w:val="false"/>
          <w:color w:val="000000"/>
          <w:sz w:val="24"/>
        </w:rPr>
        <w:t xml:space="preserve">. Neither Party may use the other Party’s name, trademarks or logo or any variations of them, alone or with any other word or words, without the prior written consent of the other Party, unless required in connection with a Regulatory Approval or any communications with a Regulatory Authority. </w:t>
      </w:r>
    </w:p>
    <w:p>
      <w:pPr>
        <w:pStyle w:val="TextBody"/>
        <w:bidi w:val="0"/>
        <w:spacing w:lineRule="auto" w:line="288" w:before="0" w:after="220"/>
        <w:ind w:left="0" w:right="0" w:firstLine="567"/>
        <w:jc w:val="both"/>
        <w:rPr/>
      </w:pPr>
      <w:r>
        <w:rPr>
          <w:rFonts w:ascii="Times New Roman;sans-serif" w:hAnsi="Times New Roman;sans-serif"/>
          <w:b w:val="false"/>
          <w:color w:val="000000"/>
          <w:sz w:val="24"/>
        </w:rPr>
        <w:t>14.13.</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and any dispute or claim (including non-contractual disputes or claims) arising out of or in connection with it or its subject matter or formation are governed by the laws of the State of New York, United States of America, without regard to any conflicts-of-law principle that directs the application to another jurisdiction’s law. Both parties hereby submit to the exclusive jurisdiction of: (i) [***] or (ii) [***]. The Parties expressly agree that the UN Convention on Contracts for the International Sale of Goods will not apply to this Agreement.</w:t>
      </w:r>
    </w:p>
    <w:p>
      <w:pPr>
        <w:pStyle w:val="TextBody"/>
        <w:bidi w:val="0"/>
        <w:spacing w:lineRule="auto" w:line="288" w:before="0" w:after="240"/>
        <w:ind w:left="0" w:right="0" w:firstLine="567"/>
        <w:jc w:val="both"/>
        <w:rPr/>
      </w:pPr>
      <w:r>
        <w:rPr>
          <w:rFonts w:ascii="Times New Roman;sans-serif" w:hAnsi="Times New Roman;sans-serif"/>
          <w:b w:val="false"/>
          <w:color w:val="000000"/>
          <w:sz w:val="24"/>
        </w:rPr>
        <w:t>14.14.</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w:t>
      </w:r>
    </w:p>
    <w:p>
      <w:pPr>
        <w:pStyle w:val="TextBody"/>
        <w:bidi w:val="0"/>
        <w:spacing w:lineRule="auto" w:line="288" w:before="0" w:after="220"/>
        <w:ind w:left="0" w:right="0" w:firstLine="1134"/>
        <w:jc w:val="both"/>
        <w:rPr/>
      </w:pPr>
      <w:r>
        <w:rPr>
          <w:rFonts w:ascii="Times New Roman;sans-serif" w:hAnsi="Times New Roman;sans-serif"/>
          <w:b w:val="false"/>
          <w:color w:val="000000"/>
          <w:sz w:val="24"/>
        </w:rPr>
        <w:t>14.14.1.</w:t>
      </w:r>
      <w:r>
        <w:rPr>
          <w:rFonts w:ascii="Times New Roman;sans-serif" w:hAnsi="Times New Roman;sans-serif"/>
          <w:b w:val="false"/>
          <w:color w:val="000000"/>
          <w:sz w:val="24"/>
        </w:rPr>
        <w:t>Both Parties understand and appreciate that their long-term mutual interest shall be best served by effecting a rapid and fair resolution of any claims or disputes which may arise out of services performed under this contract or from any dispute concerning contract terms. Therefore, both Parties agree to use Commercially Reasonable Efforts to resolve all such disputes as rapidly as practicable on a fair and equitable basis. Toward this end both Parties agree to develop and follow a process for presenting, rapidly assessing, and settling claims on a fair and equitable basis.</w:t>
      </w:r>
    </w:p>
    <w:p>
      <w:pPr>
        <w:pStyle w:val="TextBody"/>
        <w:bidi w:val="0"/>
        <w:spacing w:lineRule="auto" w:line="288" w:before="0" w:after="220"/>
        <w:ind w:left="0" w:right="0" w:firstLine="1134"/>
        <w:jc w:val="both"/>
        <w:rPr/>
      </w:pPr>
      <w:r>
        <w:rPr>
          <w:rFonts w:ascii="Times New Roman;sans-serif" w:hAnsi="Times New Roman;sans-serif"/>
          <w:b w:val="false"/>
          <w:color w:val="000000"/>
          <w:sz w:val="24"/>
        </w:rPr>
        <w:t>14.14.2.</w:t>
      </w:r>
      <w:r>
        <w:rPr>
          <w:rFonts w:ascii="Times New Roman;sans-serif" w:hAnsi="Times New Roman;sans-serif"/>
          <w:b w:val="false"/>
          <w:color w:val="000000"/>
          <w:sz w:val="24"/>
        </w:rPr>
        <w:t>If any dispute or claim arising under this Agreement cannot be readily resolved by the Parties pursuant to the process described in Section 14.14.1, the Parties agree to refer the matter to a panel consisting of one (1) senior executive employed by each Party who is not directly involved in the claim or dispute for review and resolution. A copy of the contract terms, agreed upon facts (and areas of disagreement), and concise summary of the basis for each side’s contentions shall be provided to both such senior executives who shall review the same, confer, and attempt to reach a mutual resolution of the issue.</w:t>
      </w:r>
    </w:p>
    <w:p>
      <w:pPr>
        <w:pStyle w:val="TextBody"/>
        <w:bidi w:val="0"/>
        <w:spacing w:lineRule="auto" w:line="288" w:before="0" w:after="80"/>
        <w:ind w:left="0" w:right="0" w:firstLine="1134"/>
        <w:jc w:val="both"/>
        <w:rPr/>
      </w:pPr>
      <w:r>
        <w:rPr>
          <w:rFonts w:ascii="Times New Roman;sans-serif" w:hAnsi="Times New Roman;sans-serif"/>
          <w:b w:val="false"/>
          <w:color w:val="000000"/>
          <w:sz w:val="24"/>
        </w:rPr>
        <w:t>14.14.3.</w:t>
      </w:r>
      <w:r>
        <w:rPr>
          <w:rFonts w:ascii="Times New Roman;sans-serif" w:hAnsi="Times New Roman;sans-serif"/>
          <w:b w:val="false"/>
          <w:color w:val="000000"/>
          <w:sz w:val="24"/>
        </w:rPr>
        <w:t xml:space="preserve">If within [***] days after a dispute or claim has been escalated in accordance with Section 14.14.2, the matter has not been resolved utilizing the process set forth in this Section, and the Parties are unwilling to accept the non-binding decision of the panel, any Party may seek resolution of said dispute in accordance with Section 14.13. </w:t>
      </w:r>
    </w:p>
    <w:p>
      <w:pPr>
        <w:pStyle w:val="TextBody"/>
        <w:bidi w:val="0"/>
        <w:spacing w:lineRule="auto" w:line="288"/>
        <w:jc w:val="center"/>
        <w:rPr>
          <w:rFonts w:ascii="Times New Roman;sans-serif" w:hAnsi="Times New Roman;sans-serif"/>
          <w:b w:val="false"/>
          <w:color w:val="000000"/>
          <w:sz w:val="24"/>
        </w:rPr>
      </w:pPr>
      <w:r>
        <w:rPr>
          <w:rFonts w:ascii="Times New Roman;sans-serif" w:hAnsi="Times New Roman;sans-serif"/>
          <w:b w:val="false"/>
          <w:color w:val="000000"/>
          <w:sz w:val="24"/>
        </w:rPr>
        <w:t>* * *</w:t>
      </w:r>
    </w:p>
    <w:p>
      <w:pPr>
        <w:pStyle w:val="TextBody"/>
        <w:bidi w:val="0"/>
        <w:spacing w:before="120" w:after="24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0520"/>
                <wp:effectExtent l="0" t="0" r="0" b="0"/>
                <wp:wrapNone/>
                <wp:docPr id="115" name="Frame1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34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34 of 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is signed by the authorized representatives of the parties on the dates shown below and will take effect from the Effective Date. </w:t>
      </w:r>
    </w:p>
    <w:tbl>
      <w:tblPr>
        <w:tblW w:w="7770" w:type="dxa"/>
        <w:jc w:val="left"/>
        <w:tblInd w:w="0" w:type="dxa"/>
        <w:tblLayout w:type="fixed"/>
        <w:tblCellMar>
          <w:top w:w="28" w:type="dxa"/>
          <w:left w:w="28" w:type="dxa"/>
          <w:bottom w:w="28" w:type="dxa"/>
          <w:right w:w="28" w:type="dxa"/>
        </w:tblCellMar>
      </w:tblPr>
      <w:tblGrid>
        <w:gridCol w:w="1402"/>
        <w:gridCol w:w="1231"/>
        <w:gridCol w:w="1237"/>
        <w:gridCol w:w="1142"/>
        <w:gridCol w:w="1142"/>
        <w:gridCol w:w="1616"/>
      </w:tblGrid>
      <w:tr>
        <w:trPr/>
        <w:tc>
          <w:tcPr>
            <w:tcW w:w="140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ARDELYX, INC.</w:t>
            </w:r>
          </w:p>
        </w:tc>
        <w:tc>
          <w:tcPr>
            <w:tcW w:w="3900"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Thierry Bilbault </w:t>
            </w:r>
          </w:p>
          <w:p>
            <w:pPr>
              <w:pStyle w:val="TableContents"/>
              <w:bidi w:val="0"/>
              <w:spacing w:lineRule="auto" w:line="288" w:before="0" w:after="24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 xml:space="preserve">Thierry Bilbault </w:t>
            </w:r>
          </w:p>
          <w:p>
            <w:pPr>
              <w:pStyle w:val="TableContents"/>
              <w:bidi w:val="0"/>
              <w:spacing w:lineRule="auto" w:line="288" w:before="0" w:after="24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 xml:space="preserve">Sr VP Technical Operations </w:t>
            </w:r>
          </w:p>
          <w:p>
            <w:pPr>
              <w:pStyle w:val="TableContents"/>
              <w:bidi w:val="0"/>
              <w:spacing w:lineRule="auto" w:line="288" w:before="0" w:after="240"/>
              <w:jc w:val="left"/>
              <w:rPr/>
            </w:pPr>
            <w:r>
              <w:rPr>
                <w:rFonts w:ascii="Times New Roman;sans-serif" w:hAnsi="Times New Roman;sans-serif"/>
                <w:b w:val="false"/>
                <w:color w:val="000000"/>
                <w:sz w:val="24"/>
              </w:rPr>
              <w:t>Date:</w:t>
            </w:r>
            <w:r>
              <w:rPr>
                <w:rFonts w:ascii="Times New Roman;sans-serif" w:hAnsi="Times New Roman;sans-serif"/>
                <w:b w:val="false"/>
                <w:color w:val="000000"/>
                <w:sz w:val="24"/>
                <w:u w:val="single"/>
              </w:rPr>
              <w:t xml:space="preserve">10/25/2024 </w:t>
            </w:r>
          </w:p>
        </w:tc>
        <w:tc>
          <w:tcPr>
            <w:tcW w:w="3900"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3870" w:type="dxa"/>
            <w:gridSpan w:val="3"/>
            <w:tcBorders/>
            <w:tcMar>
              <w:top w:w="0" w:type="dxa"/>
              <w:left w:w="0" w:type="dxa"/>
              <w:bottom w:w="0" w:type="dxa"/>
              <w:right w:w="0" w:type="dxa"/>
            </w:tcMar>
            <w:vAlign w:val="center"/>
          </w:tcPr>
          <w:p>
            <w:pPr>
              <w:pStyle w:val="TableContents"/>
              <w:bidi w:val="0"/>
              <w:spacing w:before="0" w:after="240"/>
              <w:jc w:val="left"/>
              <w:rPr/>
            </w:pPr>
            <w:r>
              <w:rPr/>
            </w:r>
          </w:p>
        </w:tc>
        <w:tc>
          <w:tcPr>
            <w:tcW w:w="3900" w:type="dxa"/>
            <w:gridSpan w:val="3"/>
            <w:tcBorders/>
            <w:tcMar>
              <w:top w:w="0" w:type="dxa"/>
              <w:left w:w="0" w:type="dxa"/>
              <w:bottom w:w="0" w:type="dxa"/>
              <w:right w:w="0" w:type="dxa"/>
            </w:tcMar>
            <w:vAlign w:val="center"/>
          </w:tcPr>
          <w:p>
            <w:pPr>
              <w:pStyle w:val="TableContents"/>
              <w:bidi w:val="0"/>
              <w:spacing w:before="0" w:after="240"/>
              <w:jc w:val="left"/>
              <w:rPr/>
            </w:pPr>
            <w:r>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HOVIONE, LLC.</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HOVIONE, LLC.</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Jean-Luc Herbeaux </w:t>
            </w:r>
          </w:p>
          <w:p>
            <w:pPr>
              <w:pStyle w:val="TableContents"/>
              <w:bidi w:val="0"/>
              <w:spacing w:lineRule="auto" w:line="288" w:before="0" w:after="24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 xml:space="preserve">Jean-Luc Herbeaux </w:t>
            </w:r>
          </w:p>
          <w:p>
            <w:pPr>
              <w:pStyle w:val="TableContents"/>
              <w:bidi w:val="0"/>
              <w:spacing w:lineRule="auto" w:line="288" w:before="0" w:after="24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 xml:space="preserve">Chief Executive Officer </w:t>
            </w:r>
          </w:p>
          <w:p>
            <w:pPr>
              <w:pStyle w:val="TableContents"/>
              <w:bidi w:val="0"/>
              <w:spacing w:lineRule="auto" w:line="288" w:before="0" w:after="24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10/23/2024 </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Marco Gil </w:t>
            </w:r>
          </w:p>
          <w:p>
            <w:pPr>
              <w:pStyle w:val="TableContents"/>
              <w:bidi w:val="0"/>
              <w:spacing w:lineRule="auto" w:line="288" w:before="0" w:after="24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 xml:space="preserve">Marco Gil </w:t>
            </w:r>
          </w:p>
          <w:p>
            <w:pPr>
              <w:pStyle w:val="TableContents"/>
              <w:bidi w:val="0"/>
              <w:spacing w:lineRule="auto" w:line="288" w:before="0" w:after="24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 xml:space="preserve">Sr VP Sales &amp; Marketing </w:t>
            </w:r>
          </w:p>
          <w:p>
            <w:pPr>
              <w:pStyle w:val="TableContents"/>
              <w:bidi w:val="0"/>
              <w:spacing w:lineRule="auto" w:line="288" w:before="0" w:after="24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10/25/2024 </w:t>
            </w:r>
          </w:p>
        </w:tc>
      </w:tr>
      <w:tr>
        <w:trPr/>
        <w:tc>
          <w:tcPr>
            <w:tcW w:w="3870"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HOVIONE FARMACIENCIA, S.A.</w:t>
            </w:r>
          </w:p>
        </w:tc>
        <w:tc>
          <w:tcPr>
            <w:tcW w:w="3900" w:type="dxa"/>
            <w:gridSpan w:val="3"/>
            <w:tcBorders/>
            <w:tcMar>
              <w:top w:w="0" w:type="dxa"/>
              <w:left w:w="0" w:type="dxa"/>
              <w:bottom w:w="0" w:type="dxa"/>
              <w:right w:w="0" w:type="dxa"/>
            </w:tcMar>
            <w:vAlign w:val="center"/>
          </w:tcPr>
          <w:p>
            <w:pPr>
              <w:pStyle w:val="TableContents"/>
              <w:bidi w:val="0"/>
              <w:spacing w:before="0" w:after="240"/>
              <w:jc w:val="left"/>
              <w:rPr/>
            </w:pPr>
            <w:r>
              <w:rPr/>
            </w:r>
          </w:p>
          <w:p>
            <w:pPr>
              <w:pStyle w:val="TableContents"/>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HOVIONE FARMACIENCIA, S.A.</w:t>
            </w:r>
          </w:p>
        </w:tc>
      </w:tr>
      <w:tr>
        <w:trPr/>
        <w:tc>
          <w:tcPr>
            <w:tcW w:w="387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Jean-Luc Herbeaux </w:t>
            </w:r>
          </w:p>
          <w:p>
            <w:pPr>
              <w:pStyle w:val="TableContents"/>
              <w:bidi w:val="0"/>
              <w:spacing w:lineRule="auto" w:line="288" w:before="0" w:after="24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 xml:space="preserve">Jean-Luc Herbeaux </w:t>
            </w:r>
          </w:p>
          <w:p>
            <w:pPr>
              <w:pStyle w:val="TableContents"/>
              <w:bidi w:val="0"/>
              <w:spacing w:lineRule="auto" w:line="288" w:before="0" w:after="24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 xml:space="preserve">Chief Executive Officer </w:t>
            </w:r>
          </w:p>
          <w:p>
            <w:pPr>
              <w:pStyle w:val="TableContents"/>
              <w:bidi w:val="0"/>
              <w:spacing w:lineRule="auto" w:line="288" w:before="0" w:after="24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10/23/2024 </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Marco Gil </w:t>
            </w:r>
          </w:p>
          <w:p>
            <w:pPr>
              <w:pStyle w:val="TableContents"/>
              <w:bidi w:val="0"/>
              <w:spacing w:lineRule="auto" w:line="288" w:before="0" w:after="240"/>
              <w:jc w:val="left"/>
              <w:rPr/>
            </w:pPr>
            <w:r>
              <w:rPr>
                <w:rFonts w:ascii="Times New Roman;sans-serif" w:hAnsi="Times New Roman;sans-serif"/>
                <w:b w:val="false"/>
                <w:color w:val="000000"/>
                <w:sz w:val="24"/>
              </w:rPr>
              <w:t xml:space="preserve">Name: </w:t>
            </w:r>
            <w:r>
              <w:rPr>
                <w:rFonts w:ascii="Times New Roman;sans-serif" w:hAnsi="Times New Roman;sans-serif"/>
                <w:b w:val="false"/>
                <w:color w:val="000000"/>
                <w:sz w:val="24"/>
                <w:u w:val="single"/>
              </w:rPr>
              <w:t xml:space="preserve">Marco Gil </w:t>
            </w:r>
          </w:p>
          <w:p>
            <w:pPr>
              <w:pStyle w:val="TableContents"/>
              <w:bidi w:val="0"/>
              <w:spacing w:lineRule="auto" w:line="288" w:before="0" w:after="240"/>
              <w:jc w:val="left"/>
              <w:rPr/>
            </w:pPr>
            <w:r>
              <w:rPr>
                <w:rFonts w:ascii="Times New Roman;sans-serif" w:hAnsi="Times New Roman;sans-serif"/>
                <w:b w:val="false"/>
                <w:color w:val="000000"/>
                <w:sz w:val="24"/>
              </w:rPr>
              <w:t xml:space="preserve">Title: </w:t>
            </w:r>
            <w:r>
              <w:rPr>
                <w:rFonts w:ascii="Times New Roman;sans-serif" w:hAnsi="Times New Roman;sans-serif"/>
                <w:b w:val="false"/>
                <w:color w:val="000000"/>
                <w:sz w:val="24"/>
                <w:u w:val="single"/>
              </w:rPr>
              <w:t xml:space="preserve">Sr VP Sales &amp; Marketing </w:t>
            </w:r>
          </w:p>
          <w:p>
            <w:pPr>
              <w:pStyle w:val="TableContents"/>
              <w:bidi w:val="0"/>
              <w:spacing w:lineRule="auto" w:line="288" w:before="0" w:after="24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10/25/2024 </w:t>
            </w:r>
          </w:p>
        </w:tc>
      </w:tr>
    </w:tbl>
    <w:p>
      <w:pPr>
        <w:pStyle w:val="TextBody"/>
        <w:bidi w:val="0"/>
        <w:spacing w:before="0" w:after="240"/>
        <w:jc w:val="left"/>
        <w:rPr/>
      </w:pPr>
      <w:r>
        <w:rPr/>
      </w:r>
    </w:p>
    <w:p>
      <w:pPr>
        <w:pStyle w:val="TextBody"/>
        <w:bidi w:val="0"/>
        <w:spacing w:before="120" w:after="24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0520"/>
                <wp:effectExtent l="0" t="0" r="0" b="0"/>
                <wp:wrapNone/>
                <wp:docPr id="116" name="Frame1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35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35 of 38</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Appendix 1 </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PRICING</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left"/>
        <w:rPr/>
      </w:pPr>
      <w:r>
        <w:rPr/>
      </w:r>
    </w:p>
    <w:p>
      <w:pPr>
        <w:pStyle w:val="TextBody"/>
        <w:bidi w:val="0"/>
        <w:spacing w:before="120" w:after="24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0520"/>
                <wp:effectExtent l="0" t="0" r="0" b="0"/>
                <wp:wrapNone/>
                <wp:docPr id="117" name="Frame1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36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36 of 38</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2</w:t>
      </w:r>
    </w:p>
    <w:p>
      <w:pPr>
        <w:pStyle w:val="TextBody"/>
        <w:bidi w:val="0"/>
        <w:spacing w:lineRule="auto" w:line="288" w:before="0" w:after="240"/>
        <w:ind w:left="0" w:right="0" w:hanging="426"/>
        <w:jc w:val="center"/>
        <w:rPr>
          <w:rFonts w:ascii="Times New Roman;sans-serif" w:hAnsi="Times New Roman;sans-serif"/>
          <w:b/>
          <w:color w:val="000000"/>
          <w:sz w:val="24"/>
        </w:rPr>
      </w:pPr>
      <w:r>
        <w:rPr>
          <w:rFonts w:ascii="Times New Roman;sans-serif" w:hAnsi="Times New Roman;sans-serif"/>
          <w:b/>
          <w:color w:val="000000"/>
          <w:sz w:val="24"/>
        </w:rPr>
        <w:t>EXCHANGE RATE CLAUSE</w:t>
      </w:r>
    </w:p>
    <w:p>
      <w:pPr>
        <w:pStyle w:val="TextBody"/>
        <w:bidi w:val="0"/>
        <w:spacing w:lineRule="auto" w:line="288" w:before="0" w:after="16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before="0" w:after="160"/>
        <w:jc w:val="left"/>
        <w:rPr/>
      </w:pPr>
      <w:r>
        <w:rPr/>
      </w:r>
    </w:p>
    <w:p>
      <w:pPr>
        <w:pStyle w:val="TextBody"/>
        <w:bidi w:val="0"/>
        <w:spacing w:before="120" w:after="24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0520"/>
                <wp:effectExtent l="0" t="0" r="0" b="0"/>
                <wp:wrapNone/>
                <wp:docPr id="118" name="Frame1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r>
                              <w:br w:type="page"/>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37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37 of 38</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Appendix 3</w:t>
      </w:r>
    </w:p>
    <w:p>
      <w:pPr>
        <w:pStyle w:val="TextBody"/>
        <w:bidi w:val="0"/>
        <w:spacing w:lineRule="auto" w:line="300" w:before="0" w:after="160"/>
        <w:ind w:left="0" w:right="0" w:hanging="426"/>
        <w:jc w:val="center"/>
        <w:rPr>
          <w:rFonts w:ascii="Times New Roman;sans-serif" w:hAnsi="Times New Roman;sans-serif"/>
          <w:b/>
          <w:color w:val="000000"/>
          <w:sz w:val="24"/>
        </w:rPr>
      </w:pPr>
      <w:r>
        <w:rPr>
          <w:rFonts w:ascii="Times New Roman;sans-serif" w:hAnsi="Times New Roman;sans-serif"/>
          <w:b/>
          <w:color w:val="000000"/>
          <w:sz w:val="24"/>
        </w:rPr>
        <w:t>API REIMBURSEMENT PRICE</w:t>
      </w:r>
    </w:p>
    <w:p>
      <w:pPr>
        <w:pStyle w:val="TextBody"/>
        <w:bidi w:val="0"/>
        <w:spacing w:lineRule="auto" w:line="288" w:before="0" w:after="160"/>
        <w:jc w:val="center"/>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10.5</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0520"/>
                <wp:effectExtent l="0" t="0" r="0" b="0"/>
                <wp:wrapNone/>
                <wp:docPr id="119" name="Frame1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38 of 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both"/>
                        <w:rPr/>
                      </w:pPr>
                      <w:r>
                        <w:rPr/>
                      </w:r>
                    </w:p>
                    <w:p>
                      <w:pPr>
                        <w:pStyle w:val="TextBody"/>
                        <w:bidi w:val="0"/>
                        <w:spacing w:lineRule="atLeast" w:line="240" w:before="0" w:after="0"/>
                        <w:jc w:val="both"/>
                        <w:rPr/>
                      </w:pPr>
                      <w:r>
                        <w:rPr>
                          <w:color w:val="000000"/>
                        </w:rPr>
                        <w:t>    </w:t>
                      </w:r>
                      <w:r>
                        <w:rPr>
                          <w:rFonts w:ascii="Times New Roman;sans-serif" w:hAnsi="Times New Roman;sans-serif"/>
                          <w:b w:val="false"/>
                          <w:color w:val="000000"/>
                          <w:sz w:val="22"/>
                        </w:rPr>
                        <w:t>Page 38 of 38</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FOURTH AMENDMENT TO LOAN AND SECURITY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THIS FOURTH AMENDMENT TO LOAN AND SECURITY AGREEMENT (this “</w:t>
      </w:r>
      <w:r>
        <w:rPr>
          <w:rFonts w:ascii="Times New Roman;sans-serif" w:hAnsi="Times New Roman;sans-serif"/>
          <w:b/>
          <w:color w:val="000000"/>
          <w:sz w:val="20"/>
        </w:rPr>
        <w:t>Amendment</w:t>
      </w:r>
      <w:r>
        <w:rPr>
          <w:color w:val="000000"/>
        </w:rPr>
        <w:t>”</w:t>
      </w:r>
      <w:r>
        <w:rPr>
          <w:rFonts w:ascii="Times New Roman;sans-serif" w:hAnsi="Times New Roman;sans-serif"/>
          <w:b w:val="false"/>
          <w:color w:val="000000"/>
          <w:sz w:val="20"/>
        </w:rPr>
        <w:t>) is entered into as of October 29, 2024, by and among SLR INVESTMENT CORP., a Maryland corporation with an office located at 500 Park Avenue, 3</w:t>
      </w:r>
      <w:r>
        <w:rPr>
          <w:rFonts w:ascii="Times New Roman;sans-serif" w:hAnsi="Times New Roman;sans-serif"/>
          <w:b w:val="false"/>
          <w:color w:val="000000"/>
          <w:sz w:val="13"/>
        </w:rPr>
        <w:t>rd</w:t>
      </w:r>
      <w:r>
        <w:rPr>
          <w:color w:val="000000"/>
        </w:rPr>
        <w:t xml:space="preserve"> </w:t>
      </w:r>
      <w:r>
        <w:rPr>
          <w:rFonts w:ascii="Times New Roman;sans-serif" w:hAnsi="Times New Roman;sans-serif"/>
          <w:b w:val="false"/>
          <w:color w:val="000000"/>
          <w:sz w:val="20"/>
        </w:rPr>
        <w:t>Floor, New York, NY 10022 (“</w:t>
      </w:r>
      <w:r>
        <w:rPr>
          <w:rFonts w:ascii="Times New Roman;sans-serif" w:hAnsi="Times New Roman;sans-serif"/>
          <w:b/>
          <w:color w:val="000000"/>
          <w:sz w:val="20"/>
        </w:rPr>
        <w:t>SLR</w:t>
      </w:r>
      <w:r>
        <w:rPr>
          <w:color w:val="000000"/>
        </w:rPr>
        <w:t>”</w:t>
      </w:r>
      <w:r>
        <w:rPr>
          <w:rFonts w:ascii="Times New Roman;sans-serif" w:hAnsi="Times New Roman;sans-serif"/>
          <w:b w:val="false"/>
          <w:color w:val="000000"/>
          <w:sz w:val="20"/>
        </w:rPr>
        <w:t>), as collateral agent (in such capacity, together with its successors and assigns, “</w:t>
      </w:r>
      <w:r>
        <w:rPr>
          <w:rFonts w:ascii="Times New Roman;sans-serif" w:hAnsi="Times New Roman;sans-serif"/>
          <w:b/>
          <w:color w:val="000000"/>
          <w:sz w:val="20"/>
        </w:rPr>
        <w:t>Collateral Agent</w:t>
      </w:r>
      <w:r>
        <w:rPr>
          <w:color w:val="000000"/>
        </w:rPr>
        <w:t>”</w:t>
      </w:r>
      <w:r>
        <w:rPr>
          <w:rFonts w:ascii="Times New Roman;sans-serif" w:hAnsi="Times New Roman;sans-serif"/>
          <w:b w:val="false"/>
          <w:color w:val="000000"/>
          <w:sz w:val="20"/>
        </w:rPr>
        <w:t xml:space="preserve">), the Lenders listed on </w:t>
      </w:r>
      <w:r>
        <w:rPr>
          <w:rFonts w:ascii="Times New Roman;sans-serif" w:hAnsi="Times New Roman;sans-serif"/>
          <w:b w:val="false"/>
          <w:color w:val="000000"/>
          <w:sz w:val="20"/>
          <w:u w:val="single"/>
        </w:rPr>
        <w:t>Schedule 1.1</w:t>
      </w:r>
      <w:r>
        <w:rPr>
          <w:color w:val="000000"/>
        </w:rPr>
        <w:t xml:space="preserve"> </w:t>
      </w:r>
      <w:r>
        <w:rPr>
          <w:rFonts w:ascii="Times New Roman;sans-serif" w:hAnsi="Times New Roman;sans-serif"/>
          <w:b w:val="false"/>
          <w:color w:val="000000"/>
          <w:sz w:val="20"/>
        </w:rPr>
        <w:t>hereof or otherwise a party to the Loan Agreement from time to time including SLR in its capacity as a Lender (each a “</w:t>
      </w:r>
      <w:r>
        <w:rPr>
          <w:rFonts w:ascii="Times New Roman;sans-serif" w:hAnsi="Times New Roman;sans-serif"/>
          <w:b/>
          <w:color w:val="000000"/>
          <w:sz w:val="20"/>
        </w:rPr>
        <w:t>Lender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Lenders</w:t>
      </w:r>
      <w:r>
        <w:rPr>
          <w:color w:val="000000"/>
        </w:rPr>
        <w:t>”</w:t>
      </w:r>
      <w:r>
        <w:rPr>
          <w:rFonts w:ascii="Times New Roman;sans-serif" w:hAnsi="Times New Roman;sans-serif"/>
          <w:b w:val="false"/>
          <w:color w:val="000000"/>
          <w:sz w:val="20"/>
        </w:rPr>
        <w:t>), and ARDELYX, INC., a Delaware corporation with offices located at 400 Fifth Avenue, Suite 210, Waltham, MA 02451 (the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    Collateral Agent, Borrower and Lenders have entered into that certain Loan and Security Agreement dated as of February 23, 2022 (as amended, supplemented or otherwise modified from time to time, including but not limited to, by that certain First Amendment to Loan and Security Agreement dated as of August 1, 2022, that certain Second Amendment to Loan and Security Agreement dated as of February 9, 2023, that certain Third Amendment to Loan and Security Agreement dated as of October 17, 2023 and this Amendment, collectively, the “</w:t>
      </w:r>
      <w:r>
        <w:rPr>
          <w:rFonts w:ascii="Times New Roman;sans-serif" w:hAnsi="Times New Roman;sans-serif"/>
          <w:b/>
          <w:color w:val="000000"/>
          <w:sz w:val="20"/>
        </w:rPr>
        <w:t>Loan Agreement</w:t>
      </w:r>
      <w:r>
        <w:rPr>
          <w:color w:val="000000"/>
        </w:rPr>
        <w:t>”</w:t>
      </w:r>
      <w:r>
        <w:rPr>
          <w:rFonts w:ascii="Times New Roman;sans-serif" w:hAnsi="Times New Roman;sans-serif"/>
          <w:b w:val="false"/>
          <w:color w:val="000000"/>
          <w:sz w:val="20"/>
        </w:rPr>
        <w:t xml:space="preserve">), pursuant to which Lenders have provided to Borrower certain loans in accordance with the terms and conditions thereof; and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Borrower, Collateral Agent and the Required Lenders have agreed to amend certain provisions of the Loan Agreement as provided herein, subject to, and in accordance with, the terms and conditions set forth herein, and in reliance upon the representations and warranties set forth herein.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bidi w:val="0"/>
        <w:spacing w:lineRule="auto" w:line="288" w:before="0" w:after="240"/>
        <w:jc w:val="both"/>
        <w:rPr>
          <w:color w:val="000000"/>
        </w:rPr>
      </w:pPr>
      <w:r>
        <w:rPr>
          <w:color w:val="000000"/>
        </w:rPr>
        <w:t>    </w:t>
      </w:r>
      <w:r>
        <w:rPr>
          <w:rFonts w:ascii="Times New Roman;sans-serif" w:hAnsi="Times New Roman;sans-serif"/>
          <w:b w:val="false"/>
          <w:color w:val="000000"/>
          <w:sz w:val="20"/>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pStyle w:val="TextBody"/>
        <w:bidi w:val="0"/>
        <w:spacing w:lineRule="auto" w:line="288" w:before="0" w:after="240"/>
        <w:jc w:val="both"/>
        <w:rPr/>
      </w:pPr>
      <w:r>
        <w:rPr>
          <w:rFonts w:ascii="Times New Roman;sans-serif" w:hAnsi="Times New Roman;sans-serif"/>
          <w:b/>
          <w:color w:val="000000"/>
          <w:sz w:val="20"/>
        </w:rPr>
        <w:t>1.    Definitions</w:t>
      </w:r>
      <w:r>
        <w:rPr>
          <w:rFonts w:ascii="Times New Roman;sans-serif" w:hAnsi="Times New Roman;sans-serif"/>
          <w:b w:val="false"/>
          <w:color w:val="000000"/>
          <w:sz w:val="20"/>
        </w:rPr>
        <w:t>. Capitalized terms used but not defined in this Amendment shall have the meanings given to them in the Loan Agreement.</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 xml:space="preserve">2.    Amendments to Loan Agreement. </w:t>
      </w:r>
    </w:p>
    <w:p>
      <w:pPr>
        <w:pStyle w:val="TextBody"/>
        <w:bidi w:val="0"/>
        <w:spacing w:lineRule="auto" w:line="288" w:before="0" w:after="240"/>
        <w:ind w:left="0" w:right="0" w:firstLine="720"/>
        <w:jc w:val="both"/>
        <w:rPr/>
      </w:pPr>
      <w:r>
        <w:rPr>
          <w:rFonts w:ascii="Times New Roman;sans-serif" w:hAnsi="Times New Roman;sans-serif"/>
          <w:b/>
          <w:color w:val="000000"/>
          <w:sz w:val="20"/>
        </w:rPr>
        <w:t>2.1    Section 1.4 (Definitions).</w:t>
      </w:r>
      <w:r>
        <w:rPr>
          <w:color w:val="000000"/>
        </w:rPr>
        <w:t xml:space="preserve"> </w:t>
      </w:r>
      <w:r>
        <w:rPr>
          <w:rFonts w:ascii="Times New Roman;sans-serif" w:hAnsi="Times New Roman;sans-serif"/>
          <w:b w:val="false"/>
          <w:color w:val="000000"/>
          <w:sz w:val="20"/>
        </w:rPr>
        <w:t>The following terms and their respective definitions hereby are added or amended and restated in their entirety, as applicable, to Section 1.4 of the Loan Agreement as follows: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0"/>
        </w:rPr>
        <w:t>Applicable</w:t>
      </w:r>
      <w:r>
        <w:rPr>
          <w:color w:val="000000"/>
        </w:rPr>
        <w:t xml:space="preserve"> </w:t>
      </w:r>
      <w:r>
        <w:rPr>
          <w:rFonts w:ascii="Times New Roman;sans-serif" w:hAnsi="Times New Roman;sans-serif"/>
          <w:b/>
          <w:color w:val="000000"/>
          <w:sz w:val="20"/>
        </w:rPr>
        <w:t>Rate</w:t>
      </w:r>
      <w:r>
        <w:rPr>
          <w:color w:val="000000"/>
        </w:rPr>
        <w:t xml:space="preserve">” </w:t>
      </w:r>
      <w:r>
        <w:rPr>
          <w:rFonts w:ascii="Times New Roman;sans-serif" w:hAnsi="Times New Roman;sans-serif"/>
          <w:b w:val="false"/>
          <w:color w:val="000000"/>
          <w:sz w:val="20"/>
        </w:rPr>
        <w:t>means a per annum interest rate equal to the greater of (a)(i) one percent (1.00%) per annum for all Term A Loans and Term B Loans and (ii) four and seven tenths of one percent (4.70%) for all Term C Loans, Term D Loans and Term E Loans, and (b)(i) 0.022% plus (ii) 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provided that if, at any time, Lenders notify Collateral Agent that Lenders have determined that (x) Lenders are unable to determine or ascertain such rate, or (y) the applicable regulator has made public statements to the effect that the rate published by the CME Term SOFR Administrator is no longer used for determining interest rates for loans, then the Applicable Rate shall be equal to an alternate benchmark rate and spread agreed between Collateral Agent and Borrowers,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w:t>
      </w:r>
    </w:p>
    <w:p>
      <w:pPr>
        <w:pStyle w:val="TextBody"/>
        <w:bidi w:val="0"/>
        <w:spacing w:before="0" w:after="0"/>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06705"/>
                <wp:effectExtent l="0" t="0" r="0" b="0"/>
                <wp:wrapNone/>
                <wp:docPr id="120" name="Frame1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1613654337.4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1613654337.4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ind w:left="0" w:right="0" w:firstLine="720"/>
        <w:jc w:val="both"/>
        <w:rPr/>
      </w:pPr>
      <w:r>
        <w:rPr>
          <w:color w:val="000000"/>
        </w:rPr>
        <w:t>“</w:t>
      </w:r>
      <w:r>
        <w:rPr>
          <w:rFonts w:ascii="Times New Roman;sans-serif" w:hAnsi="Times New Roman;sans-serif"/>
          <w:b/>
          <w:color w:val="000000"/>
          <w:sz w:val="20"/>
        </w:rPr>
        <w:t>Fourth Amendment Effective Date</w:t>
      </w:r>
      <w:r>
        <w:rPr>
          <w:color w:val="000000"/>
        </w:rPr>
        <w:t xml:space="preserve">” </w:t>
      </w:r>
      <w:r>
        <w:rPr>
          <w:rFonts w:ascii="Times New Roman;sans-serif" w:hAnsi="Times New Roman;sans-serif"/>
          <w:b w:val="false"/>
          <w:color w:val="000000"/>
          <w:sz w:val="20"/>
        </w:rPr>
        <w:t>is October 29, 2024.</w:t>
      </w:r>
    </w:p>
    <w:p>
      <w:pPr>
        <w:pStyle w:val="TextBody"/>
        <w:bidi w:val="0"/>
        <w:spacing w:lineRule="auto" w:line="288" w:before="220" w:after="283"/>
        <w:ind w:left="0" w:right="0" w:firstLine="720"/>
        <w:jc w:val="both"/>
        <w:rPr/>
      </w:pPr>
      <w:r>
        <w:rPr>
          <w:color w:val="000000"/>
        </w:rPr>
        <w:t>“</w:t>
      </w:r>
      <w:r>
        <w:rPr>
          <w:rFonts w:ascii="Times New Roman;sans-serif" w:hAnsi="Times New Roman;sans-serif"/>
          <w:b/>
          <w:color w:val="000000"/>
          <w:sz w:val="20"/>
        </w:rPr>
        <w:t>Maturity Date</w:t>
      </w:r>
      <w:r>
        <w:rPr>
          <w:color w:val="000000"/>
        </w:rPr>
        <w:t xml:space="preserve">” </w:t>
      </w:r>
      <w:r>
        <w:rPr>
          <w:rFonts w:ascii="Times New Roman;sans-serif" w:hAnsi="Times New Roman;sans-serif"/>
          <w:b w:val="false"/>
          <w:color w:val="000000"/>
          <w:sz w:val="20"/>
        </w:rPr>
        <w:t>is, for each Term Loan, July 1, 2028.</w:t>
      </w:r>
    </w:p>
    <w:p>
      <w:pPr>
        <w:pStyle w:val="TextBody"/>
        <w:bidi w:val="0"/>
        <w:spacing w:lineRule="auto" w:line="288" w:before="220" w:after="283"/>
        <w:ind w:left="0" w:right="0" w:firstLine="720"/>
        <w:jc w:val="both"/>
        <w:rPr/>
      </w:pPr>
      <w:r>
        <w:rPr>
          <w:color w:val="000000"/>
        </w:rPr>
        <w:t>“</w:t>
      </w:r>
      <w:r>
        <w:rPr>
          <w:rFonts w:ascii="Times New Roman;sans-serif" w:hAnsi="Times New Roman;sans-serif"/>
          <w:b/>
          <w:color w:val="000000"/>
          <w:sz w:val="20"/>
        </w:rPr>
        <w:t>Term E Draw Period</w:t>
      </w:r>
      <w:r>
        <w:rPr>
          <w:color w:val="000000"/>
        </w:rPr>
        <w:t xml:space="preserve">” </w:t>
      </w:r>
      <w:r>
        <w:rPr>
          <w:rFonts w:ascii="Times New Roman;sans-serif" w:hAnsi="Times New Roman;sans-serif"/>
          <w:b w:val="false"/>
          <w:color w:val="000000"/>
          <w:sz w:val="20"/>
        </w:rPr>
        <w:t>is the period commencing on the Fourth Amendment Effective Date and ending on June 30, 2025.</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0"/>
        </w:rPr>
        <w:t>2.2    Section 1.4 (Definitions).</w:t>
      </w:r>
      <w:r>
        <w:rPr>
          <w:color w:val="000000"/>
        </w:rPr>
        <w:t xml:space="preserve"> </w:t>
      </w:r>
      <w:r>
        <w:rPr>
          <w:rFonts w:ascii="Times New Roman;sans-serif" w:hAnsi="Times New Roman;sans-serif"/>
          <w:b w:val="false"/>
          <w:color w:val="000000"/>
          <w:sz w:val="20"/>
        </w:rPr>
        <w:t>The term “Amortization Date” and its definition are hereby removed from Section 1.4 of the Loan Agreement.</w:t>
      </w:r>
    </w:p>
    <w:p>
      <w:pPr>
        <w:pStyle w:val="TextBody"/>
        <w:bidi w:val="0"/>
        <w:spacing w:lineRule="auto" w:line="288" w:before="0" w:after="240"/>
        <w:ind w:left="0" w:right="0" w:firstLine="720"/>
        <w:jc w:val="both"/>
        <w:rPr/>
      </w:pPr>
      <w:r>
        <w:rPr>
          <w:rFonts w:ascii="Times New Roman;sans-serif" w:hAnsi="Times New Roman;sans-serif"/>
          <w:b/>
          <w:color w:val="000000"/>
          <w:sz w:val="20"/>
        </w:rPr>
        <w:t>2.3    Section 2.2(a) (Term Loans)</w:t>
      </w:r>
      <w:r>
        <w:rPr>
          <w:rFonts w:ascii="Times New Roman;sans-serif" w:hAnsi="Times New Roman;sans-serif"/>
          <w:b w:val="false"/>
          <w:color w:val="000000"/>
          <w:sz w:val="20"/>
        </w:rPr>
        <w:t xml:space="preserve">. Section 2.2(a) is hereby amended to amend and restate subclause (iv) in its entirety and to add subclause (v) as follows: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rPr>
        <w:t xml:space="preserve">(iv)    Subject to the terms and conditions of this Agreement, the Lenders agree, severally and not jointly, to make term loans to Borrower on the Fourth Amendment Effective Date in an aggregate principal amount of Fifty Million Dollars ($50,000,000) and disbursed in a single advance according to each Lender’s Term D Loan Commitment as set forth on </w:t>
      </w:r>
      <w:r>
        <w:rPr>
          <w:rFonts w:ascii="Times New Roman;sans-serif" w:hAnsi="Times New Roman;sans-serif"/>
          <w:b w:val="false"/>
          <w:color w:val="000000"/>
          <w:sz w:val="20"/>
          <w:u w:val="single"/>
        </w:rPr>
        <w:t>Schedule 1.1</w:t>
      </w:r>
      <w:r>
        <w:rPr>
          <w:color w:val="000000"/>
        </w:rPr>
        <w:t xml:space="preserve"> </w:t>
      </w:r>
      <w:r>
        <w:rPr>
          <w:rFonts w:ascii="Times New Roman;sans-serif" w:hAnsi="Times New Roman;sans-serif"/>
          <w:b w:val="false"/>
          <w:color w:val="000000"/>
          <w:sz w:val="20"/>
        </w:rPr>
        <w:t>hereto (such term loans are hereinafter referred to singly as a “</w:t>
      </w:r>
      <w:r>
        <w:rPr>
          <w:rFonts w:ascii="Times New Roman;sans-serif" w:hAnsi="Times New Roman;sans-serif"/>
          <w:b/>
          <w:color w:val="000000"/>
          <w:sz w:val="20"/>
        </w:rPr>
        <w:t>Term D Loan</w:t>
      </w:r>
      <w:r>
        <w:rPr>
          <w:color w:val="000000"/>
        </w:rPr>
        <w:t xml:space="preserve">” </w:t>
      </w:r>
      <w:r>
        <w:rPr>
          <w:rFonts w:ascii="Times New Roman;sans-serif" w:hAnsi="Times New Roman;sans-serif"/>
          <w:b w:val="false"/>
          <w:color w:val="000000"/>
          <w:sz w:val="20"/>
        </w:rPr>
        <w:t>and collectively as the “</w:t>
      </w:r>
      <w:r>
        <w:rPr>
          <w:rFonts w:ascii="Times New Roman;sans-serif" w:hAnsi="Times New Roman;sans-serif"/>
          <w:b/>
          <w:color w:val="000000"/>
          <w:sz w:val="20"/>
        </w:rPr>
        <w:t>Term D Loans</w:t>
      </w:r>
      <w:r>
        <w:rPr>
          <w:color w:val="000000"/>
        </w:rPr>
        <w:t>”</w:t>
      </w:r>
      <w:r>
        <w:rPr>
          <w:rFonts w:ascii="Times New Roman;sans-serif" w:hAnsi="Times New Roman;sans-serif"/>
          <w:b w:val="false"/>
          <w:color w:val="000000"/>
          <w:sz w:val="20"/>
        </w:rPr>
        <w:t>). After repayment, no Term D Loan may be re-borrowed.</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(v)    Subject to the terms and conditions of this Agreement,</w:t>
      </w:r>
      <w:r>
        <w:rPr>
          <w:color w:val="000000"/>
        </w:rPr>
        <w:t xml:space="preserve"> </w:t>
      </w:r>
      <w:r>
        <w:rPr>
          <w:rFonts w:ascii="Times New Roman;sans-serif" w:hAnsi="Times New Roman;sans-serif"/>
          <w:b w:val="false"/>
          <w:color w:val="000000"/>
          <w:sz w:val="20"/>
        </w:rPr>
        <w:t xml:space="preserve">the Lenders agree, severally and not jointly, during the Term E Draw Period to make term loans to Borrower in an aggregate principal amount of Fifty Million Dollars ($50,000,000) and disbursed in a single advance according to each Lender’s Term E Loan Commitment as set forth on </w:t>
      </w:r>
      <w:r>
        <w:rPr>
          <w:rFonts w:ascii="Times New Roman;sans-serif" w:hAnsi="Times New Roman;sans-serif"/>
          <w:b w:val="false"/>
          <w:color w:val="000000"/>
          <w:sz w:val="20"/>
          <w:u w:val="single"/>
        </w:rPr>
        <w:t>Schedule 1.1</w:t>
      </w:r>
      <w:r>
        <w:rPr>
          <w:color w:val="000000"/>
        </w:rPr>
        <w:t xml:space="preserve"> </w:t>
      </w:r>
      <w:r>
        <w:rPr>
          <w:rFonts w:ascii="Times New Roman;sans-serif" w:hAnsi="Times New Roman;sans-serif"/>
          <w:b w:val="false"/>
          <w:color w:val="000000"/>
          <w:sz w:val="20"/>
        </w:rPr>
        <w:t>hereto (such term loans are hereinafter referred to singly as a “</w:t>
      </w:r>
      <w:r>
        <w:rPr>
          <w:rFonts w:ascii="Times New Roman;sans-serif" w:hAnsi="Times New Roman;sans-serif"/>
          <w:b/>
          <w:color w:val="000000"/>
          <w:sz w:val="20"/>
        </w:rPr>
        <w:t>Term E Loan</w:t>
      </w:r>
      <w:r>
        <w:rPr>
          <w:color w:val="000000"/>
        </w:rPr>
        <w:t xml:space="preserve">” </w:t>
      </w:r>
      <w:r>
        <w:rPr>
          <w:rFonts w:ascii="Times New Roman;sans-serif" w:hAnsi="Times New Roman;sans-serif"/>
          <w:b w:val="false"/>
          <w:color w:val="000000"/>
          <w:sz w:val="20"/>
        </w:rPr>
        <w:t>and collectively as the “</w:t>
      </w:r>
      <w:r>
        <w:rPr>
          <w:rFonts w:ascii="Times New Roman;sans-serif" w:hAnsi="Times New Roman;sans-serif"/>
          <w:b/>
          <w:color w:val="000000"/>
          <w:sz w:val="20"/>
        </w:rPr>
        <w:t>Term E Loans</w:t>
      </w:r>
      <w:r>
        <w:rPr>
          <w:color w:val="000000"/>
        </w:rPr>
        <w:t>”</w:t>
      </w:r>
      <w:r>
        <w:rPr>
          <w:rFonts w:ascii="Times New Roman;sans-serif" w:hAnsi="Times New Roman;sans-serif"/>
          <w:b w:val="false"/>
          <w:color w:val="000000"/>
          <w:sz w:val="20"/>
        </w:rPr>
        <w:t>; each Term A Loan, Term B Loan, Term C Loan, Term D Loan and Term E Loan is hereinafter referred to singly as a “</w:t>
      </w:r>
      <w:r>
        <w:rPr>
          <w:rFonts w:ascii="Times New Roman;sans-serif" w:hAnsi="Times New Roman;sans-serif"/>
          <w:b/>
          <w:color w:val="000000"/>
          <w:sz w:val="20"/>
        </w:rPr>
        <w:t>Term Loan</w:t>
      </w:r>
      <w:r>
        <w:rPr>
          <w:color w:val="000000"/>
        </w:rPr>
        <w:t xml:space="preserve">” </w:t>
      </w:r>
      <w:r>
        <w:rPr>
          <w:rFonts w:ascii="Times New Roman;sans-serif" w:hAnsi="Times New Roman;sans-serif"/>
          <w:b w:val="false"/>
          <w:color w:val="000000"/>
          <w:sz w:val="20"/>
        </w:rPr>
        <w:t>and the Term A Loans, the Term B Loans, Term C Loans, Term D Loans and Term E Loans are hereinafter referred to collectively as the “</w:t>
      </w:r>
      <w:r>
        <w:rPr>
          <w:rFonts w:ascii="Times New Roman;sans-serif" w:hAnsi="Times New Roman;sans-serif"/>
          <w:b/>
          <w:color w:val="000000"/>
          <w:sz w:val="20"/>
        </w:rPr>
        <w:t>Term Loans</w:t>
      </w:r>
      <w:r>
        <w:rPr>
          <w:color w:val="000000"/>
        </w:rPr>
        <w:t>”</w:t>
      </w:r>
      <w:r>
        <w:rPr>
          <w:rFonts w:ascii="Times New Roman;sans-serif" w:hAnsi="Times New Roman;sans-serif"/>
          <w:b w:val="false"/>
          <w:color w:val="000000"/>
          <w:sz w:val="20"/>
        </w:rPr>
        <w:t>). After repayment, no Term E Loan may be re-borrowed.”</w:t>
      </w:r>
    </w:p>
    <w:p>
      <w:pPr>
        <w:pStyle w:val="TextBody"/>
        <w:bidi w:val="0"/>
        <w:spacing w:lineRule="auto" w:line="288" w:before="0" w:after="240"/>
        <w:ind w:left="0" w:right="0" w:firstLine="720"/>
        <w:jc w:val="both"/>
        <w:rPr/>
      </w:pPr>
      <w:r>
        <w:rPr>
          <w:rFonts w:ascii="Times New Roman;sans-serif" w:hAnsi="Times New Roman;sans-serif"/>
          <w:b/>
          <w:color w:val="000000"/>
          <w:sz w:val="20"/>
        </w:rPr>
        <w:t>2.4    Section 2.2 (Term Loans).</w:t>
      </w:r>
      <w:r>
        <w:rPr>
          <w:color w:val="000000"/>
        </w:rPr>
        <w:t xml:space="preserve"> </w:t>
      </w:r>
      <w:r>
        <w:rPr>
          <w:rFonts w:ascii="Times New Roman;sans-serif" w:hAnsi="Times New Roman;sans-serif"/>
          <w:b w:val="false"/>
          <w:color w:val="000000"/>
          <w:sz w:val="20"/>
        </w:rPr>
        <w:t>Section 2.2(b) of the Loan Agreement is hereby amended and restated to read as follows: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rPr>
        <w:t>(b)    </w:t>
      </w:r>
      <w:r>
        <w:rPr>
          <w:rFonts w:ascii="Times New Roman;sans-serif" w:hAnsi="Times New Roman;sans-serif"/>
          <w:b w:val="false"/>
          <w:color w:val="000000"/>
          <w:sz w:val="20"/>
          <w:u w:val="single"/>
        </w:rPr>
        <w:t>Repayment</w:t>
      </w:r>
      <w:r>
        <w:rPr>
          <w:rFonts w:ascii="Times New Roman;sans-serif" w:hAnsi="Times New Roman;sans-serif"/>
          <w:b w:val="false"/>
          <w:color w:val="000000"/>
          <w:sz w:val="20"/>
        </w:rPr>
        <w:t>. Borrower shall make monthly payments of interest only commencing on the first (1st) Payment Date following the Funding Date of each Term Loan, and continuing on the Payment Date of each successive month thereafter, to each Lender in accordance with its Pro Rata Share, as calculated by Collateral Agent (which calculations shall be deemed correct absent manifest error) based upon the effective rate of interest applicable to the Term Loan as determined in Section 2.3(a). Borrower agrees to pay, on the Funding Date of each Term Loan, any initial partial monthly interest payment otherwise due for the period between the Funding Date of such Term Loan and the first Payment Date after such Funding Date. All unpaid principal and accrued and unpaid interest with respect to each such Term Loan is due and payable in full on the Maturity Date. The Term Loans may only be prepaid in accordance with Sections 2.2(c) and 2.2(d).”</w:t>
      </w:r>
    </w:p>
    <w:p>
      <w:pPr>
        <w:pStyle w:val="TextBody"/>
        <w:bidi w:val="0"/>
        <w:spacing w:lineRule="auto" w:line="288" w:before="0" w:after="240"/>
        <w:ind w:left="0" w:right="0" w:firstLine="720"/>
        <w:jc w:val="both"/>
        <w:rPr/>
      </w:pPr>
      <w:r>
        <w:rPr>
          <w:rFonts w:ascii="Times New Roman;sans-serif" w:hAnsi="Times New Roman;sans-serif"/>
          <w:b/>
          <w:color w:val="000000"/>
          <w:sz w:val="20"/>
        </w:rPr>
        <w:t>2.5    Section 2.3(a) (Interest Rate).</w:t>
      </w:r>
      <w:r>
        <w:rPr>
          <w:color w:val="000000"/>
        </w:rPr>
        <w:t xml:space="preserve"> </w:t>
      </w:r>
      <w:r>
        <w:rPr>
          <w:rFonts w:ascii="Times New Roman;sans-serif" w:hAnsi="Times New Roman;sans-serif"/>
          <w:b w:val="false"/>
          <w:color w:val="000000"/>
          <w:sz w:val="20"/>
        </w:rPr>
        <w:t>Section 2.3(a) of the Loan Agreement is hereby amended and restated to read as follows:</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(a)    </w:t>
      </w:r>
      <w:r>
        <w:rPr>
          <w:rFonts w:ascii="Times New Roman;sans-serif" w:hAnsi="Times New Roman;sans-serif"/>
          <w:b w:val="false"/>
          <w:color w:val="000000"/>
          <w:sz w:val="20"/>
          <w:u w:val="single"/>
        </w:rPr>
        <w:t>Interest Rate</w:t>
      </w:r>
      <w:r>
        <w:rPr>
          <w:rFonts w:ascii="Times New Roman;sans-serif" w:hAnsi="Times New Roman;sans-serif"/>
          <w:b w:val="false"/>
          <w:color w:val="000000"/>
          <w:sz w:val="20"/>
        </w:rPr>
        <w:t xml:space="preserve">. Subject to Section 2.3(b), (i) with respect to the Term A Loans and the Term B Loans, the principal amount outstanding under such Term Loans shall accrue interest at a floating per annum rate equal to the Applicable Rate in effect from time to time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 xml:space="preserve">7.95%, which aggregate interest rate shall be determined by Collateral Agent in accordance with the definition of “Applicable Rate” on the third Business Day prior to the Funding Date of such Term A Loan or Term B Loan, as applicable, and on the date occurring on the first Business Day of the month prior to each Payment Date occurring thereafter, which interest shall be payable monthly in arrears in </w:t>
      </w:r>
    </w:p>
    <w:p>
      <w:pPr>
        <w:pStyle w:val="TextBody"/>
        <w:bidi w:val="0"/>
        <w:spacing w:before="0" w:after="0"/>
        <w:jc w:val="righ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val="false"/>
          <w:color w:val="000000"/>
          <w:sz w:val="20"/>
        </w:rPr>
        <w:t xml:space="preserve">accordance with Sections 2.2(b) and 2.3(e), (ii) with respect to the Term C Loans, the principal amount outstanding under such Term Loans shall accrue interest at a floating per annum rate equal to the Applicable Rate in effect from time to time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 xml:space="preserve">4.25%, which aggregate interest rate shall be determined by Collateral Agent in accordance with the definition of “Applicable Rate” on the third Business Day prior to the Funding Date of such Term C Loan and on the date occurring on the first Business Day of the month prior to each Payment Date occurring thereafter, which interest shall be payable monthly in arrears in accordance with Sections 2.2(b) and 2.3(e), and (iii) with respect to the Term D Loans and Term E Loans, the principal amount outstanding under such Term Loans shall accrue interest at a floating per annum rate equal to the Applicable Rate in effect from time to time </w:t>
      </w:r>
      <w:r>
        <w:rPr>
          <w:rFonts w:ascii="Times New Roman;sans-serif" w:hAnsi="Times New Roman;sans-serif"/>
          <w:b w:val="false"/>
          <w:i/>
          <w:color w:val="000000"/>
          <w:sz w:val="20"/>
        </w:rPr>
        <w:t xml:space="preserve">plus </w:t>
      </w:r>
      <w:r>
        <w:rPr>
          <w:rFonts w:ascii="Times New Roman;sans-serif" w:hAnsi="Times New Roman;sans-serif"/>
          <w:b w:val="false"/>
          <w:color w:val="000000"/>
          <w:sz w:val="20"/>
        </w:rPr>
        <w:t>4.00%, which aggregate interest rate shall be determined by Collateral Agent in accordance with the definition of “Applicable Rate” on the third Business Day prior to the Funding Date of such Term D Loan or Term E Loan and on the date occurring on the first Business Day of the month prior to each Payment Date occurring thereafter, which interest shall be payable monthly in arrears 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pStyle w:val="TextBody"/>
        <w:bidi w:val="0"/>
        <w:spacing w:lineRule="auto" w:line="288" w:before="0" w:after="240"/>
        <w:ind w:left="0" w:right="0" w:firstLine="720"/>
        <w:jc w:val="both"/>
        <w:rPr/>
      </w:pPr>
      <w:r>
        <w:rPr>
          <w:rFonts w:ascii="Times New Roman;sans-serif" w:hAnsi="Times New Roman;sans-serif"/>
          <w:b/>
          <w:color w:val="000000"/>
          <w:sz w:val="20"/>
        </w:rPr>
        <w:t>2.6    Schedule 1.1 (Lenders and Commitments).</w:t>
      </w:r>
      <w:r>
        <w:rPr>
          <w:color w:val="000000"/>
        </w:rPr>
        <w:t xml:space="preserve"> </w:t>
      </w:r>
      <w:r>
        <w:rPr>
          <w:rFonts w:ascii="Times New Roman;sans-serif" w:hAnsi="Times New Roman;sans-serif"/>
          <w:b w:val="false"/>
          <w:color w:val="000000"/>
          <w:sz w:val="20"/>
        </w:rPr>
        <w:t xml:space="preserve">Schedule 1.1 of the Loan Agreement is hereby amended and restated in its entirety with Schedule 1.1 attached hereto as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3.    Limitation of Amendments.</w:t>
      </w:r>
    </w:p>
    <w:p>
      <w:pPr>
        <w:pStyle w:val="TextBody"/>
        <w:bidi w:val="0"/>
        <w:spacing w:lineRule="auto" w:line="288" w:before="0" w:after="240"/>
        <w:ind w:left="0" w:right="0" w:firstLine="720"/>
        <w:jc w:val="both"/>
        <w:rPr/>
      </w:pPr>
      <w:r>
        <w:rPr>
          <w:rFonts w:ascii="Times New Roman;sans-serif" w:hAnsi="Times New Roman;sans-serif"/>
          <w:b/>
          <w:color w:val="000000"/>
          <w:sz w:val="20"/>
        </w:rPr>
        <w:t>3.1    </w:t>
      </w:r>
      <w:r>
        <w:rPr>
          <w:rFonts w:ascii="Times New Roman;sans-serif" w:hAnsi="Times New Roman;sans-serif"/>
          <w:b w:val="false"/>
          <w:color w:val="000000"/>
          <w:sz w:val="20"/>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remedy or obligation which Lenders or Borrower may now have or may have in the future under or in connection with any Loan Document, as amended hereby.</w:t>
      </w:r>
    </w:p>
    <w:p>
      <w:pPr>
        <w:pStyle w:val="TextBody"/>
        <w:bidi w:val="0"/>
        <w:spacing w:lineRule="auto" w:line="288" w:before="0" w:after="240"/>
        <w:ind w:left="0" w:right="0" w:firstLine="720"/>
        <w:jc w:val="both"/>
        <w:rPr/>
      </w:pPr>
      <w:r>
        <w:rPr>
          <w:rFonts w:ascii="Times New Roman;sans-serif" w:hAnsi="Times New Roman;sans-serif"/>
          <w:b/>
          <w:color w:val="000000"/>
          <w:sz w:val="20"/>
        </w:rPr>
        <w:t>3.2    </w:t>
      </w:r>
      <w:r>
        <w:rPr>
          <w:rFonts w:ascii="Times New Roman;sans-serif" w:hAnsi="Times New Roman;sans-serif"/>
          <w:b w:val="false"/>
          <w:color w:val="000000"/>
          <w:sz w:val="20"/>
        </w:rPr>
        <w:t>This Amendment shall be construed in connection with and as part of the Loan Documents and all terms, conditions, representations, warranties, covenants and agreements set forth in the Loan Documents are hereby ratified and confirmed and shall remain in full force and effect.</w:t>
      </w:r>
    </w:p>
    <w:p>
      <w:pPr>
        <w:pStyle w:val="TextBody"/>
        <w:bidi w:val="0"/>
        <w:spacing w:lineRule="auto" w:line="288" w:before="0" w:after="240"/>
        <w:jc w:val="both"/>
        <w:rPr/>
      </w:pPr>
      <w:r>
        <w:rPr>
          <w:rFonts w:ascii="Times New Roman;sans-serif" w:hAnsi="Times New Roman;sans-serif"/>
          <w:b/>
          <w:color w:val="000000"/>
          <w:sz w:val="20"/>
        </w:rPr>
        <w:t>4.    Representations and Warranties.</w:t>
      </w:r>
      <w:r>
        <w:rPr>
          <w:color w:val="000000"/>
        </w:rPr>
        <w:t xml:space="preserve"> </w:t>
      </w:r>
      <w:r>
        <w:rPr>
          <w:rFonts w:ascii="Times New Roman;sans-serif" w:hAnsi="Times New Roman;sans-serif"/>
          <w:b w:val="false"/>
          <w:color w:val="000000"/>
          <w:sz w:val="20"/>
        </w:rPr>
        <w:t xml:space="preserve">To induce Collateral Agent and the Required Lenders to enter into this Amendment, Borrower hereby represents and warrants to Collateral Agent and the Required Lenders as follows: </w:t>
      </w:r>
    </w:p>
    <w:p>
      <w:pPr>
        <w:pStyle w:val="TextBody"/>
        <w:bidi w:val="0"/>
        <w:spacing w:lineRule="auto" w:line="288" w:before="0" w:after="240"/>
        <w:ind w:left="0" w:right="0" w:firstLine="720"/>
        <w:jc w:val="both"/>
        <w:rPr/>
      </w:pPr>
      <w:r>
        <w:rPr>
          <w:rFonts w:ascii="Times New Roman;sans-serif" w:hAnsi="Times New Roman;sans-serif"/>
          <w:b/>
          <w:color w:val="000000"/>
          <w:sz w:val="20"/>
        </w:rPr>
        <w:t>4.1    </w:t>
      </w:r>
      <w:r>
        <w:rPr>
          <w:rFonts w:ascii="Times New Roman;sans-serif" w:hAnsi="Times New Roman;sans-serif"/>
          <w:b w:val="false"/>
          <w:color w:val="000000"/>
          <w:sz w:val="20"/>
        </w:rPr>
        <w:t xml:space="preserve">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 </w:t>
      </w:r>
    </w:p>
    <w:p>
      <w:pPr>
        <w:pStyle w:val="TextBody"/>
        <w:bidi w:val="0"/>
        <w:spacing w:lineRule="auto" w:line="288" w:before="0" w:after="240"/>
        <w:ind w:left="0" w:right="0" w:firstLine="720"/>
        <w:jc w:val="both"/>
        <w:rPr/>
      </w:pPr>
      <w:r>
        <w:rPr>
          <w:rFonts w:ascii="Times New Roman;sans-serif" w:hAnsi="Times New Roman;sans-serif"/>
          <w:b/>
          <w:color w:val="000000"/>
          <w:sz w:val="20"/>
        </w:rPr>
        <w:t>4.2    </w:t>
      </w:r>
      <w:r>
        <w:rPr>
          <w:rFonts w:ascii="Times New Roman;sans-serif" w:hAnsi="Times New Roman;sans-serif"/>
          <w:b w:val="false"/>
          <w:color w:val="000000"/>
          <w:sz w:val="20"/>
        </w:rPr>
        <w:t xml:space="preserve">Borrower has the power and due authority to execute and deliver this Amendment and to perform its obligations under the Loan Agreement, as amended by this Amendment; </w:t>
      </w:r>
    </w:p>
    <w:p>
      <w:pPr>
        <w:pStyle w:val="TextBody"/>
        <w:bidi w:val="0"/>
        <w:spacing w:lineRule="auto" w:line="288" w:before="0" w:after="240"/>
        <w:ind w:left="0" w:right="0" w:firstLine="720"/>
        <w:jc w:val="both"/>
        <w:rPr/>
      </w:pPr>
      <w:r>
        <w:rPr>
          <w:rFonts w:ascii="Times New Roman;sans-serif" w:hAnsi="Times New Roman;sans-serif"/>
          <w:b/>
          <w:color w:val="000000"/>
          <w:sz w:val="20"/>
        </w:rPr>
        <w:t>4.3    </w:t>
      </w:r>
      <w:r>
        <w:rPr>
          <w:rFonts w:ascii="Times New Roman;sans-serif" w:hAnsi="Times New Roman;sans-serif"/>
          <w:b w:val="false"/>
          <w:color w:val="000000"/>
          <w:sz w:val="20"/>
        </w:rPr>
        <w:t xml:space="preserve">The organizational documents of Borrower delivered to Collateral Agent on the Effective Date, and updated pursuant to subsequent deliveries by or on behalf of the Borrower to the Collateral Agent, remain true, accurate and complete and have not been amended, supplemented or restated and are and continue to be in full force and effect; </w:t>
      </w:r>
    </w:p>
    <w:p>
      <w:pPr>
        <w:pStyle w:val="TextBody"/>
        <w:bidi w:val="0"/>
        <w:spacing w:lineRule="auto" w:line="288" w:before="0" w:after="240"/>
        <w:ind w:left="0" w:right="0" w:firstLine="720"/>
        <w:jc w:val="both"/>
        <w:rPr/>
      </w:pPr>
      <w:r>
        <w:rPr>
          <w:rFonts w:ascii="Times New Roman;sans-serif" w:hAnsi="Times New Roman;sans-serif"/>
          <w:b/>
          <w:color w:val="000000"/>
          <w:sz w:val="20"/>
        </w:rPr>
        <w:t>4.4    </w:t>
      </w:r>
      <w:r>
        <w:rPr>
          <w:rFonts w:ascii="Times New Roman;sans-serif" w:hAnsi="Times New Roman;sans-serif"/>
          <w:b w:val="false"/>
          <w:color w:val="000000"/>
          <w:sz w:val="20"/>
        </w:rPr>
        <w:t xml:space="preserve">The execution and delivery by Borrower of this Amendment and the performance by Borrower of its obligations under the Loan Agreement, as amended by this Amendment, do not contravene (i) any material law or regulation binding on or affecting Borrower, (ii) any material contractual restriction with a Person binding on </w:t>
      </w:r>
    </w:p>
    <w:p>
      <w:pPr>
        <w:pStyle w:val="TextBody"/>
        <w:bidi w:val="0"/>
        <w:spacing w:before="0" w:after="0"/>
        <w:jc w:val="righ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Borrower, (iii) any applicable order, judgment or decree of any court or other governmental or public body or authority, or subdivision thereof, binding on Borrower, or (iv) the organizational documents of Borrower;</w:t>
      </w:r>
    </w:p>
    <w:p>
      <w:pPr>
        <w:pStyle w:val="TextBody"/>
        <w:bidi w:val="0"/>
        <w:spacing w:lineRule="auto" w:line="288" w:before="0" w:after="240"/>
        <w:ind w:left="0" w:right="0" w:firstLine="720"/>
        <w:jc w:val="both"/>
        <w:rPr/>
      </w:pPr>
      <w:r>
        <w:rPr>
          <w:rFonts w:ascii="Times New Roman;sans-serif" w:hAnsi="Times New Roman;sans-serif"/>
          <w:b/>
          <w:color w:val="000000"/>
          <w:sz w:val="20"/>
        </w:rPr>
        <w:t>4.5    </w:t>
      </w:r>
      <w:r>
        <w:rPr>
          <w:rFonts w:ascii="Times New Roman;sans-serif" w:hAnsi="Times New Roman;sans-serif"/>
          <w:b w:val="false"/>
          <w:color w:val="000000"/>
          <w:sz w:val="20"/>
        </w:rPr>
        <w:t>The execution and delivery by Borrower of this Amendment and the performance by Borrower of 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pStyle w:val="TextBody"/>
        <w:bidi w:val="0"/>
        <w:spacing w:lineRule="auto" w:line="288" w:before="0" w:after="240"/>
        <w:ind w:left="0" w:right="0" w:firstLine="720"/>
        <w:jc w:val="both"/>
        <w:rPr/>
      </w:pPr>
      <w:r>
        <w:rPr>
          <w:rFonts w:ascii="Times New Roman;sans-serif" w:hAnsi="Times New Roman;sans-serif"/>
          <w:b/>
          <w:color w:val="000000"/>
          <w:sz w:val="20"/>
        </w:rPr>
        <w:t>4.6    </w:t>
      </w:r>
      <w:r>
        <w:rPr>
          <w:rFonts w:ascii="Times New Roman;sans-serif" w:hAnsi="Times New Roman;sans-serif"/>
          <w:b w:val="false"/>
          <w:color w:val="000000"/>
          <w:sz w:val="20"/>
        </w:rPr>
        <w:t xml:space="preserve">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lineRule="auto" w:line="288" w:before="0" w:after="240"/>
        <w:jc w:val="both"/>
        <w:rPr/>
      </w:pPr>
      <w:r>
        <w:rPr>
          <w:rFonts w:ascii="Times New Roman;sans-serif" w:hAnsi="Times New Roman;sans-serif"/>
          <w:b/>
          <w:color w:val="000000"/>
          <w:sz w:val="20"/>
        </w:rPr>
        <w:t>5.    Loan Document.</w:t>
      </w:r>
      <w:r>
        <w:rPr>
          <w:color w:val="000000"/>
        </w:rPr>
        <w:t xml:space="preserve"> </w:t>
      </w:r>
      <w:r>
        <w:rPr>
          <w:rFonts w:ascii="Times New Roman;sans-serif" w:hAnsi="Times New Roman;sans-serif"/>
          <w:b w:val="false"/>
          <w:color w:val="000000"/>
          <w:sz w:val="20"/>
        </w:rPr>
        <w:t>Borrower, Lenders and Collateral Agent agree that this Amendment shall be a Loan Document. Except as expressly set forth herein, the Loan Agreement and the other Loan Documents shall continue in full force and effect without alteration or amendment. This Amendment and the Loan Documents represent the entire agreement about this subject matter and supersede prior negotiations or agreements.</w:t>
      </w:r>
    </w:p>
    <w:p>
      <w:pPr>
        <w:pStyle w:val="TextBody"/>
        <w:bidi w:val="0"/>
        <w:spacing w:lineRule="auto" w:line="288" w:before="0" w:after="240"/>
        <w:jc w:val="both"/>
        <w:rPr>
          <w:rFonts w:ascii="Times New Roman;sans-serif" w:hAnsi="Times New Roman;sans-serif"/>
          <w:b/>
          <w:color w:val="000000"/>
          <w:sz w:val="20"/>
        </w:rPr>
      </w:pPr>
      <w:r>
        <w:rPr>
          <w:rFonts w:ascii="Times New Roman;sans-serif" w:hAnsi="Times New Roman;sans-serif"/>
          <w:b/>
          <w:color w:val="000000"/>
          <w:sz w:val="20"/>
        </w:rPr>
        <w:t>6.    Release by Borrower.</w:t>
      </w:r>
    </w:p>
    <w:p>
      <w:pPr>
        <w:pStyle w:val="TextBody"/>
        <w:bidi w:val="0"/>
        <w:spacing w:lineRule="auto" w:line="288" w:before="0" w:after="240"/>
        <w:ind w:left="0" w:right="0" w:firstLine="720"/>
        <w:jc w:val="both"/>
        <w:rPr/>
      </w:pPr>
      <w:r>
        <w:rPr>
          <w:rFonts w:ascii="Times New Roman;sans-serif" w:hAnsi="Times New Roman;sans-serif"/>
          <w:b/>
          <w:color w:val="000000"/>
          <w:sz w:val="20"/>
        </w:rPr>
        <w:t>6.1    FOR GOOD AND VALUABLE CONSIDERATION</w:t>
      </w:r>
      <w:r>
        <w:rPr>
          <w:rFonts w:ascii="Times New Roman;sans-serif" w:hAnsi="Times New Roman;sans-serif"/>
          <w:b w:val="false"/>
          <w:color w:val="000000"/>
          <w:sz w:val="20"/>
        </w:rPr>
        <w:t>, Borrower hereby forever relieves, releases, and discharges Collateral Agent and 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Effective Date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Times New Roman;sans-serif" w:hAnsi="Times New Roman;sans-serif"/>
          <w:b/>
          <w:color w:val="000000"/>
          <w:sz w:val="20"/>
        </w:rPr>
        <w:t>Released Claims</w:t>
      </w:r>
      <w:r>
        <w:rPr>
          <w:color w:val="000000"/>
        </w:rPr>
        <w:t>”</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rFonts w:ascii="Times New Roman;sans-serif" w:hAnsi="Times New Roman;sans-serif"/>
          <w:b/>
          <w:color w:val="000000"/>
          <w:sz w:val="20"/>
        </w:rPr>
        <w:t>6.2    </w:t>
      </w:r>
      <w:r>
        <w:rPr>
          <w:rFonts w:ascii="Times New Roman;sans-serif" w:hAnsi="Times New Roman;sans-serif"/>
          <w:b w:val="false"/>
          <w:color w:val="000000"/>
          <w:sz w:val="20"/>
        </w:rPr>
        <w:t>By entering into this release, Borrower recognizes that no facts or representations are ever absolutely certain and it may hereafter discover 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Lenders with respect to the facts underlying this release or with regard to any of such party’s rights or asserted rights.</w:t>
      </w:r>
    </w:p>
    <w:p>
      <w:pPr>
        <w:pStyle w:val="TextBody"/>
        <w:bidi w:val="0"/>
        <w:spacing w:lineRule="auto" w:line="288" w:before="0" w:after="240"/>
        <w:ind w:left="0" w:right="0" w:firstLine="720"/>
        <w:jc w:val="both"/>
        <w:rPr/>
      </w:pPr>
      <w:r>
        <w:rPr>
          <w:rFonts w:ascii="Times New Roman;sans-serif" w:hAnsi="Times New Roman;sans-serif"/>
          <w:b/>
          <w:color w:val="000000"/>
          <w:sz w:val="20"/>
        </w:rPr>
        <w:t>6.3    </w:t>
      </w:r>
      <w:r>
        <w:rPr>
          <w:rFonts w:ascii="Times New Roman;sans-serif" w:hAnsi="Times New Roman;sans-serif"/>
          <w:b w:val="false"/>
          <w:color w:val="000000"/>
          <w:sz w:val="20"/>
        </w:rPr>
        <w:t>This release may be pleaded as a full and complete defense and/or as a cross-complaint or counterclaim against any action, suit, or other 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ans-serif" w:hAnsi="Times New Roman;sans-serif"/>
          <w:b/>
          <w:color w:val="000000"/>
          <w:sz w:val="20"/>
        </w:rPr>
        <w:t>7.    Reaffirmation</w:t>
      </w:r>
      <w:r>
        <w:rPr>
          <w:rFonts w:ascii="Times New Roman;sans-serif" w:hAnsi="Times New Roman;sans-serif"/>
          <w:b w:val="false"/>
          <w:color w:val="000000"/>
          <w:sz w:val="20"/>
        </w:rPr>
        <w:t>. Borrower hereby confirms the grant of the security interest in the Collateral to Collateral Agent and confirms and agrees that such security interest secures the Obligations.</w:t>
      </w:r>
    </w:p>
    <w:p>
      <w:pPr>
        <w:pStyle w:val="TextBody"/>
        <w:bidi w:val="0"/>
        <w:spacing w:lineRule="auto" w:line="288" w:before="0" w:after="240"/>
        <w:jc w:val="both"/>
        <w:rPr/>
      </w:pPr>
      <w:r>
        <w:rPr>
          <w:rFonts w:ascii="Times New Roman;sans-serif" w:hAnsi="Times New Roman;sans-serif"/>
          <w:b/>
          <w:color w:val="000000"/>
          <w:sz w:val="20"/>
        </w:rPr>
        <w:t>8.    Effectiveness</w:t>
      </w:r>
      <w:r>
        <w:rPr>
          <w:rFonts w:ascii="Times New Roman;sans-serif" w:hAnsi="Times New Roman;sans-serif"/>
          <w:b w:val="false"/>
          <w:color w:val="000000"/>
          <w:sz w:val="20"/>
        </w:rPr>
        <w:t xml:space="preserve">. This Amendment shall be deemed effective as of the date hereof upon (i) the due execution and delivery of this Amendment by each party hereto, (ii) the due execution and delivery to Collateral Agent and Lenders of a certificate of Borrower in substantially the form as previously provided to Collateral Agent, (iii) the due execution and delivery of the Third Amendment to Fee Letter dated as of the date hereof by each party thereto, and (iv) delivery by Borrower to Collateral Agent of (a) the updated Perfection Certificate, (b) a duly executed legal opinion of counsel dated as of the date hereof, and (c) such other documents, agreements, side letters, certificates and/or schedules as Collateral Agent may reasonably request to effect the purpose to this Amendment. </w:t>
      </w:r>
    </w:p>
    <w:p>
      <w:pPr>
        <w:pStyle w:val="TextBody"/>
        <w:bidi w:val="0"/>
        <w:spacing w:lineRule="auto" w:line="288" w:before="0" w:after="240"/>
        <w:jc w:val="both"/>
        <w:rPr/>
      </w:pPr>
      <w:r>
        <w:rPr>
          <w:rFonts w:ascii="Times New Roman;sans-serif" w:hAnsi="Times New Roman;sans-serif"/>
          <w:b/>
          <w:color w:val="000000"/>
          <w:sz w:val="20"/>
        </w:rPr>
        <w:t>9.    Counterparts.</w:t>
      </w:r>
      <w:r>
        <w:rPr>
          <w:color w:val="000000"/>
        </w:rPr>
        <w:t xml:space="preserve"> </w:t>
      </w:r>
      <w:r>
        <w:rPr>
          <w:rFonts w:ascii="Times New Roman;sans-serif" w:hAnsi="Times New Roman;sans-serif"/>
          <w:b w:val="false"/>
          <w:color w:val="000000"/>
          <w:sz w:val="20"/>
        </w:rPr>
        <w:t xml:space="preserve">This Amendment may be executed in any number of counterparts, each of which shall be deemed an original, and all of which, taken together, shall constitute one and the same instrument. Delivery by electronic transmission (e.g. “.pdf”) of an executed counterpart of this Amendment shall be effective as a manually executed counterpart signature thereof. </w:t>
      </w:r>
    </w:p>
    <w:p>
      <w:pPr>
        <w:pStyle w:val="TextBody"/>
        <w:bidi w:val="0"/>
        <w:spacing w:lineRule="auto" w:line="288" w:before="0" w:after="240"/>
        <w:jc w:val="both"/>
        <w:rPr/>
      </w:pPr>
      <w:r>
        <w:rPr>
          <w:rFonts w:ascii="Times New Roman;sans-serif" w:hAnsi="Times New Roman;sans-serif"/>
          <w:b/>
          <w:color w:val="000000"/>
          <w:sz w:val="20"/>
        </w:rPr>
        <w:t>10.    Electronic Execution.</w:t>
      </w:r>
      <w:r>
        <w:rPr>
          <w:color w:val="000000"/>
        </w:rPr>
        <w:t xml:space="preserve"> </w:t>
      </w:r>
      <w:r>
        <w:rPr>
          <w:rFonts w:ascii="Times New Roman;sans-serif" w:hAnsi="Times New Roman;sans-serif"/>
          <w:b w:val="false"/>
          <w:color w:val="000000"/>
          <w:sz w:val="20"/>
        </w:rPr>
        <w:t>The words “execution,” “execute”, “signed,” “signature,” and words of 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jc w:val="both"/>
        <w:rPr/>
      </w:pPr>
      <w:r>
        <w:rPr>
          <w:rFonts w:ascii="Times New Roman;sans-serif" w:hAnsi="Times New Roman;sans-serif"/>
          <w:b/>
          <w:color w:val="000000"/>
          <w:sz w:val="20"/>
        </w:rPr>
        <w:t xml:space="preserve">11.    Governing Law. </w:t>
      </w:r>
      <w:r>
        <w:rPr>
          <w:rFonts w:ascii="Times New Roman;sans-serif" w:hAnsi="Times New Roman;sans-serif"/>
          <w:b w:val="false"/>
          <w:color w:val="000000"/>
          <w:sz w:val="20"/>
        </w:rPr>
        <w:t>THIS AMENDMENT AND THE RIGHTS AND OBLIGATIONS OF THE PARTIES HEREUNDER SHALL IN ALL RESPECTS 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pStyle w:val="TextBody"/>
        <w:bidi w:val="0"/>
        <w:spacing w:before="0" w:after="0"/>
        <w:jc w:val="left"/>
        <w:rPr/>
      </w:pPr>
      <w:r>
        <w:rPr/>
      </w:r>
    </w:p>
    <w:p>
      <w:pPr>
        <w:pStyle w:val="TextBody"/>
        <w:bidi w:val="0"/>
        <w:spacing w:lineRule="auto" w:line="288" w:before="0" w:after="240"/>
        <w:jc w:val="center"/>
        <w:rPr/>
      </w:pPr>
      <w:r>
        <w:rPr>
          <w:rFonts w:ascii="Times New Roman;sans-serif" w:hAnsi="Times New Roman;sans-serif"/>
          <w:b/>
          <w:color w:val="000000"/>
          <w:sz w:val="20"/>
        </w:rPr>
        <w:t>[</w:t>
      </w:r>
      <w:r>
        <w:rPr>
          <w:rFonts w:ascii="Times New Roman;sans-serif" w:hAnsi="Times New Roman;sans-serif"/>
          <w:b/>
          <w:i/>
          <w:color w:val="000000"/>
          <w:sz w:val="20"/>
        </w:rPr>
        <w:t>Balance of Page Intentionally Left Blank</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parties hereto have caused this Fourth Amendment to Loan and Security Agreement to be executed as of the date first set forth above.</w:t>
      </w:r>
    </w:p>
    <w:tbl>
      <w:tblPr>
        <w:tblW w:w="5550" w:type="dxa"/>
        <w:jc w:val="left"/>
        <w:tblInd w:w="0" w:type="dxa"/>
        <w:tblLayout w:type="fixed"/>
        <w:tblCellMar>
          <w:top w:w="28" w:type="dxa"/>
          <w:left w:w="28" w:type="dxa"/>
          <w:bottom w:w="28" w:type="dxa"/>
          <w:right w:w="28" w:type="dxa"/>
        </w:tblCellMar>
      </w:tblPr>
      <w:tblGrid>
        <w:gridCol w:w="1780"/>
        <w:gridCol w:w="1559"/>
        <w:gridCol w:w="2211"/>
      </w:tblGrid>
      <w:tr>
        <w:trPr/>
        <w:tc>
          <w:tcPr>
            <w:tcW w:w="1780"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BORROWER:</w:t>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ARDELYX, INC.</w:t>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Justin Renz    </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Justin Renz</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and Operations Officer</w:t>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COLLATERAL AGENT AND LENDER:</w:t>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Anthony J. Storino     </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Anthony J. Storino </w:t>
            </w:r>
          </w:p>
        </w:tc>
      </w:tr>
      <w:tr>
        <w:trPr/>
        <w:tc>
          <w:tcPr>
            <w:tcW w:w="55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Authorized Signatory</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LENDERS:</w:t>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FUND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BDC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CORPORATE LENDING FUND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SCP CAYMAN DEBT MASTER FUND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CP SF DEBT FUND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HC ONSHORE FUND LP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HC FUND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HC BDC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HC BDC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1818 L.P.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1818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L.P.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L.P.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SPV (ABL)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SLR CAYMAN DEBT MASTER FUND II SPV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PARTNERSHIP L.P.</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SPV LLC</w:t>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Anthony J. Storino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Anthony J. Storino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Authorized Signatory </w:t>
            </w:r>
          </w:p>
          <w:p>
            <w:pPr>
              <w:pStyle w:val="TableContents"/>
              <w:bidi w:val="0"/>
              <w:spacing w:before="0" w:after="0"/>
              <w:jc w:val="left"/>
              <w:rPr/>
            </w:pPr>
            <w:r>
              <w:rPr/>
            </w:r>
          </w:p>
          <w:p>
            <w:pPr>
              <w:pStyle w:val="TableContents"/>
              <w:bidi w:val="0"/>
              <w:spacing w:lineRule="auto" w:line="288" w:before="0" w:after="0"/>
              <w:jc w:val="left"/>
              <w:rPr>
                <w:color w:val="000000"/>
              </w:rPr>
            </w:pPr>
            <w:r>
              <w:rPr>
                <w:color w:val="000000"/>
              </w:rPr>
              <w:t> </w:t>
            </w:r>
          </w:p>
        </w:tc>
      </w:tr>
    </w:tbl>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26415"/>
                <wp:effectExtent l="0" t="0" r="0" b="0"/>
                <wp:wrapNone/>
                <wp:docPr id="125" name="Frame1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Signature Page to Fourth Amendment to Loan and Security Agreement</w:t>
                            </w:r>
                            <w:r>
                              <w:rPr>
                                <w:rFonts w:ascii="Times New Roman;sans-serif" w:hAnsi="Times New Roman;sans-serif"/>
                                <w:b/>
                                <w:color w:val="000000"/>
                                <w:sz w:val="20"/>
                              </w:rPr>
                              <w:t>]</w:t>
                            </w:r>
                            <w:r>
                              <w:br w:type="page"/>
                            </w:r>
                          </w:p>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i/>
                          <w:color w:val="000000"/>
                          <w:sz w:val="20"/>
                        </w:rPr>
                        <w:t>Signature Page to Fourth Amendment to Loan and Security Agreement</w:t>
                      </w:r>
                      <w:r>
                        <w:rPr>
                          <w:rFonts w:ascii="Times New Roman;sans-serif" w:hAnsi="Times New Roman;sans-serif"/>
                          <w:b/>
                          <w:color w:val="000000"/>
                          <w:sz w:val="20"/>
                        </w:rPr>
                        <w:t>]</w:t>
                      </w:r>
                    </w:p>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bidi w:val="0"/>
        <w:spacing w:lineRule="auto" w:line="288" w:before="220" w:after="225"/>
        <w:jc w:val="center"/>
        <w:rPr>
          <w:rFonts w:ascii="Times New Roman;sans-serif" w:hAnsi="Times New Roman;sans-serif"/>
          <w:b/>
          <w:color w:val="000000"/>
          <w:sz w:val="20"/>
        </w:rPr>
      </w:pPr>
      <w:r>
        <w:rPr>
          <w:rFonts w:ascii="Times New Roman;sans-serif" w:hAnsi="Times New Roman;sans-serif"/>
          <w:b/>
          <w:color w:val="000000"/>
          <w:sz w:val="20"/>
        </w:rPr>
        <w:t>SCHEDULE 1.1</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Lenders and Commitments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Term A Loans</w:t>
      </w:r>
    </w:p>
    <w:tbl>
      <w:tblPr>
        <w:tblW w:w="9433" w:type="dxa"/>
        <w:jc w:val="left"/>
        <w:tblInd w:w="0" w:type="dxa"/>
        <w:tblLayout w:type="fixed"/>
        <w:tblCellMar>
          <w:top w:w="28" w:type="dxa"/>
          <w:left w:w="28" w:type="dxa"/>
          <w:bottom w:w="28" w:type="dxa"/>
          <w:right w:w="28" w:type="dxa"/>
        </w:tblCellMar>
      </w:tblPr>
      <w:tblGrid>
        <w:gridCol w:w="1724"/>
        <w:gridCol w:w="1515"/>
        <w:gridCol w:w="1531"/>
        <w:gridCol w:w="804"/>
        <w:gridCol w:w="804"/>
        <w:gridCol w:w="806"/>
        <w:gridCol w:w="658"/>
        <w:gridCol w:w="658"/>
        <w:gridCol w:w="933"/>
      </w:tblGrid>
      <w:tr>
        <w:trPr/>
        <w:tc>
          <w:tcPr>
            <w:tcW w:w="172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A Loan Commitment</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$9,475,251.16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34.46%</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$4,449,548.38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16.18%</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BDC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$3,319,342.73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12.07%</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CORPORATE LENDING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$3,024,807.06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CAYMAN DEBT MASTER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$1,297,190.99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CP SF DEBT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$1,038,567.36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3.78%</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$4,044,074.37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14.71%</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$851,217.95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47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$27,500,000.00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Term B Loans</w:t>
      </w:r>
    </w:p>
    <w:p>
      <w:pPr>
        <w:pStyle w:val="TextBody"/>
        <w:bidi w:val="0"/>
        <w:spacing w:before="0" w:after="0"/>
        <w:jc w:val="center"/>
        <w:rPr/>
      </w:pPr>
      <w:r>
        <w:rPr/>
      </w:r>
    </w:p>
    <w:tbl>
      <w:tblPr>
        <w:tblW w:w="9433" w:type="dxa"/>
        <w:jc w:val="left"/>
        <w:tblInd w:w="0" w:type="dxa"/>
        <w:tblLayout w:type="fixed"/>
        <w:tblCellMar>
          <w:top w:w="28" w:type="dxa"/>
          <w:left w:w="28" w:type="dxa"/>
          <w:bottom w:w="28" w:type="dxa"/>
          <w:right w:w="28" w:type="dxa"/>
        </w:tblCellMar>
      </w:tblPr>
      <w:tblGrid>
        <w:gridCol w:w="1724"/>
        <w:gridCol w:w="1515"/>
        <w:gridCol w:w="1531"/>
        <w:gridCol w:w="804"/>
        <w:gridCol w:w="804"/>
        <w:gridCol w:w="806"/>
        <w:gridCol w:w="658"/>
        <w:gridCol w:w="658"/>
        <w:gridCol w:w="933"/>
      </w:tblGrid>
      <w:tr>
        <w:trPr/>
        <w:tc>
          <w:tcPr>
            <w:tcW w:w="172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B Loan Commitment</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$7,752,478.23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34.46%</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$3,640,539.58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16.18%</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BDC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$2,715,825.87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12.07%</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CORPORATE LENDING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$2,474,842.14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CAYMAN DEBT MASTER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$1,061,338.08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4.72%</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CP SF DEBT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$849,736.93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3.78%</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$3,308,788.12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14.71%</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$696,451.05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r>
      <w:tr>
        <w:trPr/>
        <w:tc>
          <w:tcPr>
            <w:tcW w:w="47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$22,500,000.00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Term C Loans</w:t>
      </w:r>
    </w:p>
    <w:p>
      <w:pPr>
        <w:pStyle w:val="TextBody"/>
        <w:bidi w:val="0"/>
        <w:spacing w:before="0" w:after="0"/>
        <w:jc w:val="center"/>
        <w:rPr/>
      </w:pPr>
      <w:r>
        <w:rPr/>
      </w:r>
    </w:p>
    <w:tbl>
      <w:tblPr>
        <w:tblW w:w="10168" w:type="dxa"/>
        <w:jc w:val="left"/>
        <w:tblInd w:w="0" w:type="dxa"/>
        <w:tblLayout w:type="fixed"/>
        <w:tblCellMar>
          <w:top w:w="28" w:type="dxa"/>
          <w:left w:w="28" w:type="dxa"/>
          <w:bottom w:w="28" w:type="dxa"/>
          <w:right w:w="28" w:type="dxa"/>
        </w:tblCellMar>
      </w:tblPr>
      <w:tblGrid>
        <w:gridCol w:w="1990"/>
        <w:gridCol w:w="1748"/>
        <w:gridCol w:w="1767"/>
        <w:gridCol w:w="804"/>
        <w:gridCol w:w="804"/>
        <w:gridCol w:w="806"/>
        <w:gridCol w:w="658"/>
        <w:gridCol w:w="658"/>
        <w:gridCol w:w="933"/>
      </w:tblGrid>
      <w:tr>
        <w:trPr/>
        <w:tc>
          <w:tcPr>
            <w:tcW w:w="1990"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C Loan Commitment</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$15,874,439.36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31.75%</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CORPORATE LENDING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$5,640,588.30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CAYMAN DEBT MASTER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$2,418,970.93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4.84%</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FUND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$7,081,161.26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14.16%</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$1,345,156.00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2.69%</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1818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$6,168,352.10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12.34%</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$3,434,372.33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6.87%</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SPV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$750,433.17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55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SPV (ABL)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$1,770,395.23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w:t>
            </w:r>
          </w:p>
        </w:tc>
      </w:tr>
      <w:tr>
        <w:trPr/>
        <w:tc>
          <w:tcPr>
            <w:tcW w:w="550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CAYMAN DEBT MASTER FUND II SPV LLC</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$1,815,120.06 </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3.63%</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977"/>
        <w:gridCol w:w="859"/>
        <w:gridCol w:w="864"/>
        <w:gridCol w:w="464"/>
        <w:gridCol w:w="464"/>
        <w:gridCol w:w="468"/>
        <w:gridCol w:w="266"/>
        <w:gridCol w:w="266"/>
        <w:gridCol w:w="382"/>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SPV LLC</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$3,701,011.26 </w:t>
            </w:r>
          </w:p>
        </w:tc>
        <w:tc>
          <w:tcPr>
            <w:tcW w:w="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7.40%</w:t>
            </w:r>
          </w:p>
        </w:tc>
      </w:tr>
      <w:tr>
        <w:trPr/>
        <w:tc>
          <w:tcPr>
            <w:tcW w:w="270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3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$50,000,000.00</w:t>
            </w:r>
          </w:p>
        </w:tc>
        <w:tc>
          <w:tcPr>
            <w:tcW w:w="9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Term D Loans</w:t>
      </w:r>
    </w:p>
    <w:p>
      <w:pPr>
        <w:pStyle w:val="TextBody"/>
        <w:bidi w:val="0"/>
        <w:spacing w:before="0" w:after="0"/>
        <w:jc w:val="center"/>
        <w:rPr/>
      </w:pPr>
      <w:r>
        <w:rPr/>
      </w:r>
    </w:p>
    <w:tbl>
      <w:tblPr>
        <w:tblW w:w="9162" w:type="dxa"/>
        <w:jc w:val="left"/>
        <w:tblInd w:w="0" w:type="dxa"/>
        <w:tblLayout w:type="fixed"/>
        <w:tblCellMar>
          <w:top w:w="28" w:type="dxa"/>
          <w:left w:w="28" w:type="dxa"/>
          <w:bottom w:w="28" w:type="dxa"/>
          <w:right w:w="28" w:type="dxa"/>
        </w:tblCellMar>
      </w:tblPr>
      <w:tblGrid>
        <w:gridCol w:w="1627"/>
        <w:gridCol w:w="1429"/>
        <w:gridCol w:w="1443"/>
        <w:gridCol w:w="804"/>
        <w:gridCol w:w="804"/>
        <w:gridCol w:w="806"/>
        <w:gridCol w:w="658"/>
        <w:gridCol w:w="658"/>
        <w:gridCol w:w="933"/>
      </w:tblGrid>
      <w:tr>
        <w:trPr/>
        <w:tc>
          <w:tcPr>
            <w:tcW w:w="16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D Loan Commitment</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$6,648,079.42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13.30%</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ONSHORE FUND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$5,356,205.21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$556,076.58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1818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$7,942,631.37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15.89%</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$7,467,405.75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14.93%</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$1,219,610.14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$6,929,658.18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13.86%</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PARTNERSHIP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$13,880,333.35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27.76%</w:t>
            </w:r>
          </w:p>
        </w:tc>
      </w:tr>
      <w:tr>
        <w:trPr/>
        <w:tc>
          <w:tcPr>
            <w:tcW w:w="44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$50,000,000.00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Term E Loans</w:t>
      </w:r>
    </w:p>
    <w:p>
      <w:pPr>
        <w:pStyle w:val="TextBody"/>
        <w:bidi w:val="0"/>
        <w:spacing w:before="0" w:after="0"/>
        <w:jc w:val="center"/>
        <w:rPr/>
      </w:pPr>
      <w:r>
        <w:rPr/>
      </w:r>
    </w:p>
    <w:tbl>
      <w:tblPr>
        <w:tblW w:w="9162" w:type="dxa"/>
        <w:jc w:val="left"/>
        <w:tblInd w:w="0" w:type="dxa"/>
        <w:tblLayout w:type="fixed"/>
        <w:tblCellMar>
          <w:top w:w="28" w:type="dxa"/>
          <w:left w:w="28" w:type="dxa"/>
          <w:bottom w:w="28" w:type="dxa"/>
          <w:right w:w="28" w:type="dxa"/>
        </w:tblCellMar>
      </w:tblPr>
      <w:tblGrid>
        <w:gridCol w:w="1627"/>
        <w:gridCol w:w="1429"/>
        <w:gridCol w:w="1443"/>
        <w:gridCol w:w="804"/>
        <w:gridCol w:w="804"/>
        <w:gridCol w:w="806"/>
        <w:gridCol w:w="658"/>
        <w:gridCol w:w="658"/>
        <w:gridCol w:w="933"/>
      </w:tblGrid>
      <w:tr>
        <w:trPr/>
        <w:tc>
          <w:tcPr>
            <w:tcW w:w="16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E Loan Commitment</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$6,648,079.42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13.30%</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ONSHORE FUND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$5,356,205.21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10.71%</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$556,076.58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1818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$7,942,631.37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15.89%</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$7,467,405.75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14.93%</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LLC</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$1,219,610.14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$6,929,658.18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13.86%</w:t>
            </w:r>
          </w:p>
        </w:tc>
      </w:tr>
      <w:tr>
        <w:trPr/>
        <w:tc>
          <w:tcPr>
            <w:tcW w:w="44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PARTNERSHIP L.P.</w:t>
            </w:r>
          </w:p>
        </w:tc>
        <w:tc>
          <w:tcPr>
            <w:tcW w:w="24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$13,880,333.35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27.76%</w:t>
            </w:r>
          </w:p>
        </w:tc>
      </w:tr>
      <w:tr>
        <w:trPr/>
        <w:tc>
          <w:tcPr>
            <w:tcW w:w="44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4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$50,000,000.00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Aggregate Commitments</w:t>
      </w:r>
    </w:p>
    <w:p>
      <w:pPr>
        <w:pStyle w:val="TextBody"/>
        <w:bidi w:val="0"/>
        <w:spacing w:before="0" w:after="0"/>
        <w:jc w:val="center"/>
        <w:rPr/>
      </w:pPr>
      <w:r>
        <w:rPr/>
      </w:r>
    </w:p>
    <w:tbl>
      <w:tblPr>
        <w:tblW w:w="9253" w:type="dxa"/>
        <w:jc w:val="left"/>
        <w:tblInd w:w="0" w:type="dxa"/>
        <w:tblLayout w:type="fixed"/>
        <w:tblCellMar>
          <w:top w:w="28" w:type="dxa"/>
          <w:left w:w="28" w:type="dxa"/>
          <w:bottom w:w="28" w:type="dxa"/>
          <w:right w:w="28" w:type="dxa"/>
        </w:tblCellMar>
      </w:tblPr>
      <w:tblGrid>
        <w:gridCol w:w="1724"/>
        <w:gridCol w:w="1515"/>
        <w:gridCol w:w="1531"/>
        <w:gridCol w:w="744"/>
        <w:gridCol w:w="744"/>
        <w:gridCol w:w="746"/>
        <w:gridCol w:w="658"/>
        <w:gridCol w:w="658"/>
        <w:gridCol w:w="933"/>
      </w:tblGrid>
      <w:tr>
        <w:trPr/>
        <w:tc>
          <w:tcPr>
            <w:tcW w:w="1724"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Loan Commitment</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INVESTMENT CORP.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$46,398,327.59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23.20%</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FUND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$8,090,087.96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4.05%</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CREDIT INCOME BDC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$6,035,168.60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3.02%</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PRIVATE CORPORATE LENDING FUND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$11,140,237.50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5.57%</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SCP CAYMAN DEBT MASTER FUND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$4,777,500.00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CP SF DEBT FUND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$1,888,304.29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0.94%</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ONSHORE FUND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$10,712,410.42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5.36%</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FUND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$14,434,023.75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7.22%</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$1,112,153.16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0.56%</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HC BDC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$2,892,825.00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1818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$15,885,262.74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7.94%</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1818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$6,168,352.10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3.08%</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$14,934,811.50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7.47%</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FUND II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$3,434,372.33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$2,439,220.28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47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CREDIT BDC II SPV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$750,433.17 </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0.38%</w:t>
            </w:r>
          </w:p>
        </w:tc>
      </w:tr>
      <w:tr>
        <w:trPr/>
        <w:tc>
          <w:tcPr>
            <w:tcW w:w="477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L.P.</w:t>
            </w:r>
          </w:p>
        </w:tc>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$13,859,316.36 </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6.93%</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7919" w:type="dxa"/>
        <w:jc w:val="left"/>
        <w:tblInd w:w="0" w:type="dxa"/>
        <w:tblLayout w:type="fixed"/>
        <w:tblCellMar>
          <w:top w:w="28" w:type="dxa"/>
          <w:left w:w="28" w:type="dxa"/>
          <w:bottom w:w="28" w:type="dxa"/>
          <w:right w:w="28" w:type="dxa"/>
        </w:tblCellMar>
      </w:tblPr>
      <w:tblGrid>
        <w:gridCol w:w="1993"/>
        <w:gridCol w:w="1751"/>
        <w:gridCol w:w="1760"/>
        <w:gridCol w:w="498"/>
        <w:gridCol w:w="498"/>
        <w:gridCol w:w="505"/>
        <w:gridCol w:w="266"/>
        <w:gridCol w:w="266"/>
        <w:gridCol w:w="382"/>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PRIVATE CORPORATE LENDING FUND II SPV (ABL) LLC</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$1,770,395.23 </w:t>
            </w:r>
          </w:p>
        </w:tc>
        <w:tc>
          <w:tcPr>
            <w:tcW w:w="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0.89%</w:t>
            </w:r>
          </w:p>
        </w:tc>
      </w:tr>
      <w:tr>
        <w:trPr/>
        <w:tc>
          <w:tcPr>
            <w:tcW w:w="55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SLR CAYMAN DEBT MASTER FUND II SPV LLC</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$1,815,120.06 </w:t>
            </w:r>
          </w:p>
        </w:tc>
        <w:tc>
          <w:tcPr>
            <w:tcW w:w="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w:t>
            </w:r>
          </w:p>
        </w:tc>
      </w:tr>
      <w:tr>
        <w:trPr/>
        <w:tc>
          <w:tcPr>
            <w:tcW w:w="55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PARTNERSHIP L.P.</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$27,760,666.70 </w:t>
            </w:r>
          </w:p>
        </w:tc>
        <w:tc>
          <w:tcPr>
            <w:tcW w:w="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13.88%</w:t>
            </w:r>
          </w:p>
        </w:tc>
      </w:tr>
      <w:tr>
        <w:trPr/>
        <w:tc>
          <w:tcPr>
            <w:tcW w:w="55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CRPTF-SLR CREDIT SPV LLC</w:t>
            </w:r>
          </w:p>
        </w:tc>
        <w:tc>
          <w:tcPr>
            <w:tcW w:w="15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$3,701,011.26 </w:t>
            </w:r>
          </w:p>
        </w:tc>
        <w:tc>
          <w:tcPr>
            <w:tcW w:w="91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c>
      </w:tr>
      <w:tr>
        <w:trPr/>
        <w:tc>
          <w:tcPr>
            <w:tcW w:w="55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15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$200,000,000.00</w:t>
            </w:r>
          </w:p>
        </w:tc>
        <w:tc>
          <w:tcPr>
            <w:tcW w:w="9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92" w:before="0" w:after="13"/>
        <w:ind w:left="0" w:right="0" w:hanging="10"/>
        <w:jc w:val="right"/>
        <w:rPr>
          <w:rFonts w:ascii="Times New Roman;sans-serif" w:hAnsi="Times New Roman;sans-serif"/>
          <w:b/>
          <w:color w:val="000000"/>
          <w:sz w:val="22"/>
        </w:rPr>
      </w:pPr>
      <w:r>
        <w:rPr>
          <w:rFonts w:ascii="Times New Roman;sans-serif" w:hAnsi="Times New Roman;sans-serif"/>
          <w:b/>
          <w:color w:val="000000"/>
          <w:sz w:val="22"/>
        </w:rPr>
        <w:t>Exhibit 10.6</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00" w:before="0" w:after="0"/>
        <w:jc w:val="center"/>
        <w:rPr/>
      </w:pPr>
      <w:r>
        <w:rPr/>
        <w:drawing>
          <wp:inline distT="0" distB="0" distL="0" distR="0">
            <wp:extent cx="2190750" cy="495300"/>
            <wp:effectExtent l="0" t="0" r="0" b="0"/>
            <wp:docPr id="1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 descr=""/>
                    <pic:cNvPicPr>
                      <a:picLocks noChangeAspect="1" noChangeArrowheads="1"/>
                    </pic:cNvPicPr>
                  </pic:nvPicPr>
                  <pic:blipFill>
                    <a:blip r:embed="rId11"/>
                    <a:stretch>
                      <a:fillRect/>
                    </a:stretch>
                  </pic:blipFill>
                  <pic:spPr bwMode="auto">
                    <a:xfrm>
                      <a:off x="0" y="0"/>
                      <a:ext cx="2190750" cy="495300"/>
                    </a:xfrm>
                    <a:prstGeom prst="rect">
                      <a:avLst/>
                    </a:prstGeom>
                  </pic:spPr>
                </pic:pic>
              </a:graphicData>
            </a:graphic>
          </wp:inline>
        </w:drawing>
      </w:r>
      <w:r>
        <w:rPr>
          <w:color w:val="000000"/>
        </w:rPr>
        <w:t xml:space="preserve"> </w:t>
      </w:r>
    </w:p>
    <w:p>
      <w:pPr>
        <w:pStyle w:val="TextBody"/>
        <w:bidi w:val="0"/>
        <w:spacing w:before="0" w:after="125"/>
        <w:jc w:val="left"/>
        <w:rPr/>
      </w:pPr>
      <w:r>
        <w:rPr/>
      </w:r>
    </w:p>
    <w:p>
      <w:pPr>
        <w:pStyle w:val="TextBody"/>
        <w:bidi w:val="0"/>
        <w:spacing w:before="0" w:after="13"/>
        <w:ind w:left="0" w:right="0" w:hanging="10"/>
        <w:jc w:val="both"/>
        <w:rPr/>
      </w:pPr>
      <w:r>
        <w:rPr/>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July 25, 2024</w:t>
      </w:r>
    </w:p>
    <w:p>
      <w:pPr>
        <w:pStyle w:val="TextBody"/>
        <w:bidi w:val="0"/>
        <w:spacing w:lineRule="auto" w:line="300" w:before="0" w:after="37"/>
        <w:jc w:val="left"/>
        <w:rPr>
          <w:rFonts w:ascii="Times New Roman;sans-serif" w:hAnsi="Times New Roman;sans-serif"/>
          <w:b w:val="false"/>
          <w:color w:val="111111"/>
          <w:sz w:val="22"/>
        </w:rPr>
      </w:pPr>
      <w:r>
        <w:rPr>
          <w:rFonts w:ascii="Times New Roman;sans-serif" w:hAnsi="Times New Roman;sans-serif"/>
          <w:b w:val="false"/>
          <w:color w:val="111111"/>
          <w:sz w:val="22"/>
        </w:rPr>
        <w:t>Eric Foster</w:t>
      </w:r>
    </w:p>
    <w:p>
      <w:pPr>
        <w:pStyle w:val="TextBody"/>
        <w:bidi w:val="0"/>
        <w:spacing w:before="0" w:after="37"/>
        <w:jc w:val="left"/>
        <w:rPr/>
      </w:pPr>
      <w:r>
        <w:rPr/>
      </w:r>
    </w:p>
    <w:p>
      <w:pPr>
        <w:pStyle w:val="TextBody"/>
        <w:bidi w:val="0"/>
        <w:spacing w:lineRule="auto" w:line="292" w:before="0" w:after="13"/>
        <w:ind w:left="0" w:right="0" w:firstLine="72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Dear Eric, </w:t>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On behalf of Ardelyx (the “Company”), I am pleased to offer you employment in the exempt position of Chief Commercial Officer, reporting to Mike Raab, President and Chief Executive Officer. In this role, you will be a member of the Executive Leadership Team. If you accept this offer, you and the Company will enter into a Change in Control Severance Agreement that will further define some of the provisions set forth in this offer letter (the “Severance Agreement”). Please note that this employment offer is contingent upon the successful completion of a reference and background check paid for by the Company. Negative information may result in the rescission of this offer. </w:t>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Your first day of full-time employment with Ardelyx is currently scheduled for Monday August 5, 2024, which may be changed based upon the agreement between you and the Company. Your salary for this position will be $500,000 on an annualized basis, less applicable tax and other withholdings in accordance with the Company’s normal payroll procedure. </w:t>
      </w:r>
    </w:p>
    <w:p>
      <w:pPr>
        <w:pStyle w:val="TextBody"/>
        <w:bidi w:val="0"/>
        <w:spacing w:lineRule="auto" w:line="288" w:before="0" w:after="24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 </w:t>
      </w:r>
    </w:p>
    <w:p>
      <w:pPr>
        <w:pStyle w:val="TextBody"/>
        <w:bidi w:val="0"/>
        <w:spacing w:lineRule="auto" w:line="288" w:before="0" w:after="240"/>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In addition, you will be eligible to participate in our annual bonus plan. This bonus will be awarded at the discretion of the Board of Directors and based on both individual and Company performance. The target bonus for this position is 45% of base salary. This bonus is discretionary, and the business and individual objectives are set by you and your manager. Your bonus for 2024 will not be pro-rated for the time you are employed by the Company during the year, but will be calculated as though you were employed by the Company throughout all of 2024.</w:t>
      </w:r>
    </w:p>
    <w:p>
      <w:pPr>
        <w:pStyle w:val="TextBody"/>
        <w:bidi w:val="0"/>
        <w:spacing w:lineRule="auto" w:line="288" w:before="0" w:after="24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Subject to the approval of the Company’s Compensation Committee of the Board of Directors, or its designee, and after your first day of employment, you will be granted an option to purchase 230,000 shares of Company common stock (the “Stock Option”) and restricted stock units covering 180,000 shares of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w:t>
      </w: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30"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10"/>
                              <w:jc w:val="center"/>
                              <w:rPr>
                                <w:rFonts w:ascii="Times New Roman;sans-serif" w:hAnsi="Times New Roman;sans-serif"/>
                                <w:b w:val="false"/>
                                <w:color w:val="BFBFBF"/>
                                <w:sz w:val="20"/>
                              </w:rPr>
                            </w:pPr>
                            <w:r>
                              <w:rPr>
                                <w:rFonts w:ascii="Times New Roman;sans-serif" w:hAnsi="Times New Roman;sans-serif"/>
                                <w:b w:val="false"/>
                                <w:color w:val="BFBFBF"/>
                                <w:sz w:val="20"/>
                              </w:rPr>
                              <w:t>400 Fifth Avenue, Suite 210 | Waltham, MA 02451| 510.745.1700 |ardelyx.com</w:t>
                            </w:r>
                            <w:r>
                              <w:br w:type="page"/>
                            </w:r>
                          </w:p>
                          <w:p>
                            <w:pPr>
                              <w:pStyle w:val="TextBody"/>
                              <w:bidi w:val="0"/>
                              <w:spacing w:before="0" w:after="0"/>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0"/>
                        <w:jc w:val="center"/>
                        <w:rPr>
                          <w:rFonts w:ascii="Times New Roman;sans-serif" w:hAnsi="Times New Roman;sans-serif"/>
                          <w:b w:val="false"/>
                          <w:color w:val="BFBFBF"/>
                          <w:sz w:val="20"/>
                        </w:rPr>
                      </w:pPr>
                      <w:r>
                        <w:rPr>
                          <w:rFonts w:ascii="Times New Roman;sans-serif" w:hAnsi="Times New Roman;sans-serif"/>
                          <w:b w:val="false"/>
                          <w:color w:val="BFBFBF"/>
                          <w:sz w:val="20"/>
                        </w:rPr>
                        <w:t>400 Fifth Avenue, Suite 210 | Waltham, MA 02451| 510.745.1700 |ardelyx.com</w:t>
                      </w:r>
                    </w:p>
                    <w:p>
                      <w:pPr>
                        <w:pStyle w:val="TextBody"/>
                        <w:bidi w:val="0"/>
                        <w:spacing w:before="0" w:after="0"/>
                        <w:ind w:left="0" w:right="0" w:hanging="10"/>
                        <w:jc w:val="both"/>
                        <w:rPr/>
                      </w:pPr>
                      <w:r>
                        <w:rPr/>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Company’s equity incentive plan and standard forms of stock option and RSU agreements, which you will be required to accept as a condition of receiving the option and RSU. </w:t>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 </w:t>
      </w:r>
    </w:p>
    <w:p>
      <w:pPr>
        <w:pStyle w:val="TextBody"/>
        <w:bidi w:val="0"/>
        <w:spacing w:before="0" w:after="13"/>
        <w:ind w:left="0" w:right="0" w:hanging="10"/>
        <w:jc w:val="left"/>
        <w:rPr/>
      </w:pPr>
      <w:r>
        <w:rPr/>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 </w:t>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 </w:t>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 </w:t>
      </w:r>
    </w:p>
    <w:p>
      <w:pPr>
        <w:pStyle w:val="TextBody"/>
        <w:bidi w:val="0"/>
        <w:spacing w:lineRule="auto" w:line="292" w:before="0" w:after="13"/>
        <w:ind w:left="0" w:right="0" w:hanging="10"/>
        <w:jc w:val="left"/>
        <w:rPr/>
      </w:pPr>
      <w:r>
        <w:rPr>
          <w:rFonts w:ascii="Times New Roman;sans-serif" w:hAnsi="Times New Roman;sans-serif"/>
          <w:b w:val="false"/>
          <w:color w:val="111111"/>
          <w:sz w:val="22"/>
        </w:rPr>
        <w:t>Please sign and date this letter on the spaces provided below to acknowledge your acceptance of the terms of this agreement on or before Monday, July 29, 2024</w:t>
      </w:r>
      <w:r>
        <w:rPr>
          <w:rFonts w:ascii="Times New Roman;sans-serif" w:hAnsi="Times New Roman;sans-serif"/>
          <w:b w:val="false"/>
          <w:i/>
          <w:color w:val="111111"/>
          <w:sz w:val="22"/>
        </w:rPr>
        <w:t>.</w:t>
      </w:r>
      <w:r>
        <w:rPr>
          <w:color w:val="111111"/>
        </w:rPr>
        <w:t xml:space="preserve"> </w:t>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Eric, we look forward to having you join the Ardelyx team. </w:t>
      </w:r>
    </w:p>
    <w:p>
      <w:pPr>
        <w:pStyle w:val="TextBody"/>
        <w:bidi w:val="0"/>
        <w:spacing w:lineRule="auto" w:line="288" w:before="200" w:after="270"/>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Sincerely, </w:t>
      </w:r>
    </w:p>
    <w:p>
      <w:pPr>
        <w:pStyle w:val="TextBody"/>
        <w:bidi w:val="0"/>
        <w:spacing w:lineRule="auto" w:line="292" w:before="0" w:after="266"/>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Ardelyx, Inc. </w:t>
      </w:r>
    </w:p>
    <w:p>
      <w:pPr>
        <w:pStyle w:val="TextBody"/>
        <w:bidi w:val="0"/>
        <w:spacing w:lineRule="auto" w:line="300" w:before="0" w:after="2"/>
        <w:jc w:val="left"/>
        <w:rPr/>
      </w:pPr>
      <w:r>
        <w:rPr>
          <w:rFonts w:ascii="Times New Roman;sans-serif" w:hAnsi="Times New Roman;sans-serif"/>
          <w:b w:val="false"/>
          <w:color w:val="111111"/>
          <w:sz w:val="22"/>
        </w:rPr>
        <w:t>By:</w:t>
      </w:r>
      <w:r>
        <w:rPr>
          <w:color w:val="111111"/>
          <w:u w:val="single"/>
        </w:rPr>
        <w:t xml:space="preserve"> </w:t>
      </w:r>
      <w:r>
        <w:rPr>
          <w:rFonts w:ascii="Times New Roman;sans-serif" w:hAnsi="Times New Roman;sans-serif"/>
          <w:b w:val="false"/>
          <w:color w:val="111111"/>
          <w:sz w:val="22"/>
          <w:u w:val="single"/>
        </w:rPr>
        <w:t>/s/ Mike Raab                    </w:t>
      </w:r>
      <w:r>
        <w:rPr>
          <w:color w:val="111111"/>
        </w:rPr>
        <w:t xml:space="preserve"> </w:t>
      </w:r>
    </w:p>
    <w:p>
      <w:pPr>
        <w:pStyle w:val="TextBody"/>
        <w:bidi w:val="0"/>
        <w:spacing w:lineRule="auto" w:line="292" w:before="0" w:after="13"/>
        <w:ind w:left="0" w:right="0" w:hanging="10"/>
        <w:jc w:val="both"/>
        <w:rPr>
          <w:rFonts w:ascii="Times New Roman;sans-serif" w:hAnsi="Times New Roman;sans-serif"/>
          <w:b w:val="false"/>
          <w:color w:val="111111"/>
          <w:sz w:val="22"/>
        </w:rPr>
      </w:pPr>
      <w:r>
        <w:rPr>
          <w:rFonts w:ascii="Times New Roman;sans-serif" w:hAnsi="Times New Roman;sans-serif"/>
          <w:b w:val="false"/>
          <w:color w:val="111111"/>
          <w:sz w:val="22"/>
        </w:rPr>
        <w:t>Mike Raab, President and Chief Executive Officer</w:t>
      </w:r>
    </w:p>
    <w:p>
      <w:pPr>
        <w:pStyle w:val="TextBody"/>
        <w:bidi w:val="0"/>
        <w:spacing w:before="0" w:after="13"/>
        <w:ind w:left="0" w:right="0" w:hanging="10"/>
        <w:jc w:val="both"/>
        <w:rPr/>
      </w:pPr>
      <w:r>
        <w:rPr/>
      </w:r>
    </w:p>
    <w:p>
      <w:pPr>
        <w:pStyle w:val="TextBody"/>
        <w:bidi w:val="0"/>
        <w:spacing w:lineRule="auto" w:line="292" w:before="0" w:after="13"/>
        <w:ind w:left="0" w:right="0" w:hanging="10"/>
        <w:jc w:val="left"/>
        <w:rPr>
          <w:rFonts w:ascii="Times New Roman;sans-serif" w:hAnsi="Times New Roman;sans-serif"/>
          <w:b w:val="false"/>
          <w:color w:val="111111"/>
          <w:sz w:val="22"/>
        </w:rPr>
      </w:pPr>
      <w:r>
        <w:rPr>
          <w:rFonts w:ascii="Times New Roman;sans-serif" w:hAnsi="Times New Roman;sans-serif"/>
          <w:b w:val="false"/>
          <w:color w:val="111111"/>
          <w:sz w:val="22"/>
        </w:rPr>
        <w:t xml:space="preserve">I agree to and accept employment with Ardelyx on the terms and conditions set forth in this agreement. I understand and agree that my employment with the Company is at-will. </w:t>
      </w:r>
    </w:p>
    <w:p>
      <w:pPr>
        <w:pStyle w:val="TextBody"/>
        <w:bidi w:val="0"/>
        <w:spacing w:lineRule="auto" w:line="300" w:before="0" w:after="13"/>
        <w:jc w:val="left"/>
        <w:rPr/>
      </w:pPr>
      <w:r>
        <w:rPr>
          <w:color w:val="111111"/>
        </w:rPr>
        <w:t xml:space="preserve">     </w:t>
      </w:r>
      <w:r>
        <w:rPr>
          <w:rFonts w:ascii="Times New Roman;sans-serif" w:hAnsi="Times New Roman;sans-serif"/>
          <w:b w:val="false"/>
          <w:color w:val="111111"/>
          <w:sz w:val="22"/>
        </w:rPr>
        <w:t xml:space="preserve">Date:     July 26, 2024         </w:t>
      </w:r>
      <w:r>
        <w:rPr>
          <w:rFonts w:ascii="Times New Roman;sans-serif" w:hAnsi="Times New Roman;sans-serif"/>
          <w:b w:val="false"/>
          <w:color w:val="111111"/>
          <w:sz w:val="22"/>
          <w:u w:val="single"/>
        </w:rPr>
        <w:t xml:space="preserve">/s/ Eric Foster </w:t>
      </w:r>
    </w:p>
    <w:p>
      <w:pPr>
        <w:pStyle w:val="TextBody"/>
        <w:bidi w:val="0"/>
        <w:spacing w:lineRule="auto" w:line="300" w:before="0" w:after="71"/>
        <w:jc w:val="left"/>
        <w:rPr>
          <w:color w:val="111111"/>
        </w:rPr>
      </w:pPr>
      <w:r>
        <w:rPr>
          <w:color w:val="111111"/>
        </w:rPr>
        <w:t>            </w:t>
      </w:r>
      <w:r>
        <w:rPr>
          <w:rFonts w:ascii="Times New Roman;sans-serif" w:hAnsi="Times New Roman;sans-serif"/>
          <w:b w:val="false"/>
          <w:color w:val="111111"/>
          <w:sz w:val="22"/>
        </w:rPr>
        <w:t>Eric Foster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3"/>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3"/>
                        <w:ind w:left="0" w:right="0" w:hanging="10"/>
                        <w:jc w:val="both"/>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Raab,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879"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1210"/>
        <w:gridCol w:w="1210"/>
        <w:gridCol w:w="171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Justin Renz,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40"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965"/>
        <w:gridCol w:w="965"/>
        <w:gridCol w:w="137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Ardelyx, Inc. (the “Company”) on Form 10-Q for the period ending September 30, 2024,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6879"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1210"/>
        <w:gridCol w:w="1210"/>
        <w:gridCol w:w="1719"/>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tbl>
      <w:tblPr>
        <w:tblW w:w="6040" w:type="dxa"/>
        <w:jc w:val="left"/>
        <w:tblInd w:w="0" w:type="dxa"/>
        <w:tblLayout w:type="fixed"/>
        <w:tblCellMar>
          <w:top w:w="28" w:type="dxa"/>
          <w:left w:w="28" w:type="dxa"/>
          <w:bottom w:w="28" w:type="dxa"/>
          <w:right w:w="28" w:type="dxa"/>
        </w:tblCellMar>
      </w:tblPr>
      <w:tblGrid>
        <w:gridCol w:w="726"/>
        <w:gridCol w:w="640"/>
        <w:gridCol w:w="643"/>
        <w:gridCol w:w="109"/>
        <w:gridCol w:w="109"/>
        <w:gridCol w:w="109"/>
        <w:gridCol w:w="134"/>
        <w:gridCol w:w="134"/>
        <w:gridCol w:w="136"/>
        <w:gridCol w:w="965"/>
        <w:gridCol w:w="965"/>
        <w:gridCol w:w="137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37402/000162828024036749/exhibit101-xardelyxcatalen.htm" TargetMode="External"/><Relationship Id="rId4" Type="http://schemas.openxmlformats.org/officeDocument/2006/relationships/hyperlink" Target="https://www.sec.gov/Archives/edgar/data/1437402/000162828024036749/exhibit101-xardelyxcatalen.htm" TargetMode="External"/><Relationship Id="rId5" Type="http://schemas.openxmlformats.org/officeDocument/2006/relationships/hyperlink" Target="https://www.sec.gov/Archives/edgar/data/1437402/000162828024036749/exhibit101-xardelyxcatalen.htm" TargetMode="External"/><Relationship Id="rId6" Type="http://schemas.openxmlformats.org/officeDocument/2006/relationships/hyperlink" Target="https://www.sec.gov/Archives/edgar/data/1437402/000162828024036749/exhibit101-xardelyxcatalen.htm" TargetMode="External"/><Relationship Id="rId7" Type="http://schemas.openxmlformats.org/officeDocument/2006/relationships/hyperlink" Target="https://www.sec.gov/Archives/edgar/data/1437402/000162828024036749/exhibit101-xardelyxcatalen.htm" TargetMode="External"/><Relationship Id="rId8" Type="http://schemas.openxmlformats.org/officeDocument/2006/relationships/hyperlink" Target="https://www.sec.gov/Archives/edgar/data/1437402/000162828024036749/exhibit101-xardelyxcatalen.htm" TargetMode="External"/><Relationship Id="rId9" Type="http://schemas.openxmlformats.org/officeDocument/2006/relationships/hyperlink" Target="https://www.sec.gov/Archives/edgar/data/1437402/000162828024042602/exhibit101-ardelyxxlease.htm" TargetMode="External"/><Relationship Id="rId10" Type="http://schemas.openxmlformats.org/officeDocument/2006/relationships/hyperlink" Target="https://www.sec.gov/Archives/edgar/data/1437402/000162828024042602/exhibit102-ardenwoodxardel.htm" TargetMode="External"/><Relationship Id="rId11" Type="http://schemas.openxmlformats.org/officeDocument/2006/relationships/image" Target="media/image2.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73233</Words>
  <Characters>401457</Characters>
  <CharactersWithSpaces>472820</CharactersWithSpaces>
  <Paragraphs>3718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