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96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965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Kaufmann Mark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ARDELYX,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ARDELYX,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ARDX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05/04/2015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Chief Financial Officer</w:t>
      </w:r>
    </w:p>
    <w:p>
      <w:pPr>
        <w:spacing w:after="0" w:line="390"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120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3680" w:type="dxa"/>
            <w:vAlign w:val="bottom"/>
            <w:gridSpan w:val="6"/>
          </w:tcPr>
          <w:p>
            <w:pPr>
              <w:jc w:val="center"/>
              <w:spacing w:after="0"/>
              <w:rPr>
                <w:sz w:val="20"/>
                <w:szCs w:val="20"/>
                <w:color w:val="auto"/>
              </w:rPr>
            </w:pPr>
            <w:r>
              <w:rPr>
                <w:rFonts w:ascii="Arial" w:cs="Arial" w:eastAsia="Arial" w:hAnsi="Arial"/>
                <w:sz w:val="14"/>
                <w:szCs w:val="14"/>
                <w:color w:val="auto"/>
                <w:w w:val="95"/>
              </w:rPr>
              <w:t>4. If Amendment, Date of Original Filed (Month/Day/Year)</w:t>
            </w:r>
          </w:p>
        </w:tc>
        <w:tc>
          <w:tcPr>
            <w:tcW w:w="3920" w:type="dxa"/>
            <w:vAlign w:val="bottom"/>
            <w:gridSpan w:val="10"/>
          </w:tcPr>
          <w:p>
            <w:pPr>
              <w:ind w:left="4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40" w:type="dxa"/>
            <w:vAlign w:val="bottom"/>
            <w:gridSpan w:val="4"/>
          </w:tcPr>
          <w:p>
            <w:pPr>
              <w:ind w:left="460"/>
              <w:spacing w:after="0"/>
              <w:rPr>
                <w:sz w:val="20"/>
                <w:szCs w:val="20"/>
                <w:color w:val="auto"/>
              </w:rPr>
            </w:pPr>
            <w:r>
              <w:rPr>
                <w:rFonts w:ascii="Arial" w:cs="Arial" w:eastAsia="Arial" w:hAnsi="Arial"/>
                <w:sz w:val="14"/>
                <w:szCs w:val="14"/>
                <w:color w:val="auto"/>
              </w:rPr>
              <w:t>Line)</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80" w:type="dxa"/>
            <w:vAlign w:val="bottom"/>
            <w:gridSpan w:val="9"/>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FREMONT</w:t>
            </w: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CA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94555</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8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40" w:type="dxa"/>
            <w:vAlign w:val="bottom"/>
            <w:gridSpan w:val="7"/>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200" w:type="dxa"/>
            <w:vAlign w:val="bottom"/>
            <w:vMerge w:val="restart"/>
          </w:tcPr>
          <w:p>
            <w:pPr>
              <w:spacing w:after="0"/>
              <w:rPr>
                <w:sz w:val="5"/>
                <w:szCs w:val="5"/>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4360" w:type="dxa"/>
            <w:vAlign w:val="bottom"/>
            <w:tcBorders>
              <w:bottom w:val="single" w:sz="8" w:color="2C2C2C"/>
            </w:tcBorders>
            <w:gridSpan w:val="8"/>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8160" w:type="dxa"/>
            <w:vAlign w:val="bottom"/>
            <w:tcBorders>
              <w:top w:val="single" w:sz="8" w:color="2C2C2C"/>
            </w:tcBorders>
            <w:gridSpan w:val="14"/>
          </w:tcPr>
          <w:p>
            <w:pPr>
              <w:ind w:left="82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40" w:type="dxa"/>
            <w:vAlign w:val="bottom"/>
            <w:gridSpan w:val="3"/>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ind w:left="660"/>
              <w:spacing w:after="0"/>
              <w:rPr>
                <w:sz w:val="20"/>
                <w:szCs w:val="20"/>
                <w:color w:val="auto"/>
              </w:rPr>
            </w:pPr>
            <w:r>
              <w:rPr>
                <w:rFonts w:ascii="Arial" w:cs="Arial" w:eastAsia="Arial" w:hAnsi="Arial"/>
                <w:sz w:val="18"/>
                <w:szCs w:val="18"/>
                <w:color w:val="0000FF"/>
              </w:rPr>
              <w:t>05/04/2015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00"/>
              <w:spacing w:after="0"/>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9,083</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0.54</w:t>
            </w:r>
          </w:p>
        </w:tc>
        <w:tc>
          <w:tcPr>
            <w:tcW w:w="1480" w:type="dxa"/>
            <w:vAlign w:val="bottom"/>
            <w:tcBorders>
              <w:bottom w:val="single" w:sz="8" w:color="2C2C2C"/>
            </w:tcBorders>
            <w:gridSpan w:val="4"/>
          </w:tcPr>
          <w:p>
            <w:pPr>
              <w:jc w:val="right"/>
              <w:ind w:right="376"/>
              <w:spacing w:after="0"/>
              <w:rPr>
                <w:sz w:val="20"/>
                <w:szCs w:val="20"/>
                <w:color w:val="auto"/>
              </w:rPr>
            </w:pPr>
            <w:r>
              <w:rPr>
                <w:rFonts w:ascii="Arial" w:cs="Arial" w:eastAsia="Arial" w:hAnsi="Arial"/>
                <w:sz w:val="18"/>
                <w:szCs w:val="18"/>
                <w:color w:val="0000FF"/>
              </w:rPr>
              <w:t>9,679</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ind w:left="660"/>
              <w:spacing w:after="0"/>
              <w:rPr>
                <w:sz w:val="20"/>
                <w:szCs w:val="20"/>
                <w:color w:val="auto"/>
              </w:rPr>
            </w:pPr>
            <w:r>
              <w:rPr>
                <w:rFonts w:ascii="Arial" w:cs="Arial" w:eastAsia="Arial" w:hAnsi="Arial"/>
                <w:sz w:val="18"/>
                <w:szCs w:val="18"/>
                <w:color w:val="0000FF"/>
              </w:rPr>
              <w:t>05/04/2015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9,083</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10.8149</w:t>
            </w:r>
            <w:r>
              <w:rPr>
                <w:rFonts w:ascii="Arial" w:cs="Arial" w:eastAsia="Arial" w:hAnsi="Arial"/>
                <w:sz w:val="22"/>
                <w:szCs w:val="22"/>
                <w:color w:val="008000"/>
                <w:w w:val="85"/>
                <w:vertAlign w:val="superscript"/>
              </w:rPr>
              <w:t>(2)</w:t>
            </w:r>
          </w:p>
        </w:tc>
        <w:tc>
          <w:tcPr>
            <w:tcW w:w="4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right"/>
              <w:ind w:right="456"/>
              <w:spacing w:after="0"/>
              <w:rPr>
                <w:sz w:val="20"/>
                <w:szCs w:val="20"/>
                <w:color w:val="auto"/>
              </w:rPr>
            </w:pPr>
            <w:r>
              <w:rPr>
                <w:rFonts w:ascii="Arial" w:cs="Arial" w:eastAsia="Arial" w:hAnsi="Arial"/>
                <w:sz w:val="18"/>
                <w:szCs w:val="18"/>
                <w:color w:val="0000FF"/>
                <w:w w:val="79"/>
              </w:rPr>
              <w:t>596</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380" w:type="dxa"/>
            <w:vAlign w:val="bottom"/>
            <w:tcBorders>
              <w:top w:val="single" w:sz="8" w:color="2C2C2C"/>
            </w:tcBorders>
            <w:gridSpan w:val="13"/>
          </w:tcPr>
          <w:p>
            <w:pPr>
              <w:jc w:val="center"/>
              <w:ind w:left="94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0" w:type="dxa"/>
            <w:vAlign w:val="bottom"/>
            <w:gridSpan w:val="9"/>
          </w:tcPr>
          <w:p>
            <w:pPr>
              <w:jc w:val="center"/>
              <w:ind w:left="57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0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10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w:t>
            </w:r>
          </w:p>
        </w:tc>
        <w:tc>
          <w:tcPr>
            <w:tcW w:w="66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0.54</w:t>
            </w:r>
          </w:p>
        </w:tc>
        <w:tc>
          <w:tcPr>
            <w:tcW w:w="160" w:type="dxa"/>
            <w:vAlign w:val="bottom"/>
          </w:tcPr>
          <w:p>
            <w:pPr>
              <w:spacing w:after="0"/>
              <w:rPr>
                <w:sz w:val="12"/>
                <w:szCs w:val="12"/>
                <w:color w:val="auto"/>
              </w:rPr>
            </w:pPr>
          </w:p>
        </w:tc>
        <w:tc>
          <w:tcPr>
            <w:tcW w:w="1080" w:type="dxa"/>
            <w:vAlign w:val="bottom"/>
            <w:vMerge w:val="restart"/>
          </w:tcPr>
          <w:p>
            <w:pPr>
              <w:ind w:left="260"/>
              <w:spacing w:after="0"/>
              <w:rPr>
                <w:sz w:val="20"/>
                <w:szCs w:val="20"/>
                <w:color w:val="auto"/>
              </w:rPr>
            </w:pPr>
            <w:r>
              <w:rPr>
                <w:rFonts w:ascii="Arial" w:cs="Arial" w:eastAsia="Arial" w:hAnsi="Arial"/>
                <w:sz w:val="14"/>
                <w:szCs w:val="14"/>
                <w:color w:val="0000FF"/>
              </w:rPr>
              <w:t>05/04/2015</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vMerge w:val="restart"/>
          </w:tcPr>
          <w:p>
            <w:pPr>
              <w:spacing w:after="0" w:line="281" w:lineRule="exact"/>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420" w:type="dxa"/>
            <w:vAlign w:val="bottom"/>
          </w:tcPr>
          <w:p>
            <w:pPr>
              <w:spacing w:after="0"/>
              <w:rPr>
                <w:sz w:val="12"/>
                <w:szCs w:val="12"/>
                <w:color w:val="auto"/>
              </w:rPr>
            </w:pPr>
          </w:p>
        </w:tc>
        <w:tc>
          <w:tcPr>
            <w:tcW w:w="720" w:type="dxa"/>
            <w:vAlign w:val="bottom"/>
            <w:vMerge w:val="restart"/>
          </w:tcPr>
          <w:p>
            <w:pPr>
              <w:ind w:left="360"/>
              <w:spacing w:after="0"/>
              <w:rPr>
                <w:sz w:val="20"/>
                <w:szCs w:val="20"/>
                <w:color w:val="auto"/>
              </w:rPr>
            </w:pPr>
            <w:r>
              <w:rPr>
                <w:rFonts w:ascii="Arial" w:cs="Arial" w:eastAsia="Arial" w:hAnsi="Arial"/>
                <w:sz w:val="14"/>
                <w:szCs w:val="14"/>
                <w:color w:val="0000FF"/>
                <w:w w:val="96"/>
              </w:rPr>
              <w:t>9,083</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780" w:type="dxa"/>
            <w:vAlign w:val="bottom"/>
            <w:vMerge w:val="restart"/>
          </w:tcPr>
          <w:p>
            <w:pPr>
              <w:jc w:val="center"/>
              <w:spacing w:after="0"/>
              <w:rPr>
                <w:sz w:val="20"/>
                <w:szCs w:val="20"/>
                <w:color w:val="auto"/>
              </w:rPr>
            </w:pPr>
            <w:r>
              <w:rPr>
                <w:rFonts w:ascii="Arial" w:cs="Arial" w:eastAsia="Arial" w:hAnsi="Arial"/>
                <w:sz w:val="14"/>
                <w:szCs w:val="14"/>
                <w:color w:val="0000FF"/>
                <w:w w:val="85"/>
              </w:rPr>
              <w:t>08/11/2021</w:t>
            </w:r>
          </w:p>
        </w:tc>
        <w:tc>
          <w:tcPr>
            <w:tcW w:w="580" w:type="dxa"/>
            <w:vAlign w:val="bottom"/>
          </w:tcPr>
          <w:p>
            <w:pPr>
              <w:ind w:left="80"/>
              <w:spacing w:after="0" w:line="149" w:lineRule="exact"/>
              <w:rPr>
                <w:sz w:val="20"/>
                <w:szCs w:val="20"/>
                <w:color w:val="auto"/>
              </w:rPr>
            </w:pPr>
            <w:r>
              <w:rPr>
                <w:rFonts w:ascii="Arial" w:cs="Arial" w:eastAsia="Arial" w:hAnsi="Arial"/>
                <w:sz w:val="14"/>
                <w:szCs w:val="14"/>
                <w:color w:val="0000FF"/>
                <w:w w:val="84"/>
              </w:rPr>
              <w:t>Common</w:t>
            </w:r>
          </w:p>
        </w:tc>
        <w:tc>
          <w:tcPr>
            <w:tcW w:w="640" w:type="dxa"/>
            <w:vAlign w:val="bottom"/>
            <w:vMerge w:val="restart"/>
          </w:tcPr>
          <w:p>
            <w:pPr>
              <w:ind w:left="180"/>
              <w:spacing w:after="0"/>
              <w:rPr>
                <w:sz w:val="20"/>
                <w:szCs w:val="20"/>
                <w:color w:val="auto"/>
              </w:rPr>
            </w:pPr>
            <w:r>
              <w:rPr>
                <w:rFonts w:ascii="Arial" w:cs="Arial" w:eastAsia="Arial" w:hAnsi="Arial"/>
                <w:sz w:val="18"/>
                <w:szCs w:val="18"/>
                <w:color w:val="0000FF"/>
                <w:w w:val="97"/>
              </w:rPr>
              <w:t>9,083</w:t>
            </w:r>
          </w:p>
        </w:tc>
        <w:tc>
          <w:tcPr>
            <w:tcW w:w="700" w:type="dxa"/>
            <w:vAlign w:val="bottom"/>
            <w:gridSpan w:val="3"/>
            <w:vMerge w:val="restart"/>
          </w:tcPr>
          <w:p>
            <w:pPr>
              <w:jc w:val="right"/>
              <w:ind w:right="98"/>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780" w:type="dxa"/>
            <w:vAlign w:val="bottom"/>
            <w:vMerge w:val="restart"/>
          </w:tcPr>
          <w:p>
            <w:pPr>
              <w:ind w:left="320"/>
              <w:spacing w:after="0"/>
              <w:rPr>
                <w:sz w:val="20"/>
                <w:szCs w:val="20"/>
                <w:color w:val="auto"/>
              </w:rPr>
            </w:pPr>
            <w:r>
              <w:rPr>
                <w:rFonts w:ascii="Arial" w:cs="Arial" w:eastAsia="Arial" w:hAnsi="Arial"/>
                <w:sz w:val="14"/>
                <w:szCs w:val="14"/>
                <w:color w:val="0000FF"/>
                <w:w w:val="86"/>
              </w:rPr>
              <w:t>120,894</w:t>
            </w:r>
          </w:p>
        </w:tc>
        <w:tc>
          <w:tcPr>
            <w:tcW w:w="26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(Right to</w:t>
            </w:r>
          </w:p>
        </w:tc>
        <w:tc>
          <w:tcPr>
            <w:tcW w:w="6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58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640" w:type="dxa"/>
            <w:vAlign w:val="bottom"/>
            <w:vMerge w:val="continue"/>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made pursuant to a 10b5-1 trading plan adopted by the Reporting Person on December 26, 2014.</w:t>
      </w:r>
    </w:p>
    <w:p>
      <w:pPr>
        <w:spacing w:after="0" w:line="41" w:lineRule="exact"/>
        <w:rPr>
          <w:rFonts w:ascii="Arial" w:cs="Arial" w:eastAsia="Arial" w:hAnsi="Arial"/>
          <w:sz w:val="14"/>
          <w:szCs w:val="14"/>
          <w:color w:val="008000"/>
        </w:rPr>
      </w:pPr>
    </w:p>
    <w:p>
      <w:pPr>
        <w:ind w:left="40" w:right="1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transaction was executed in multiple trades in prices ranging from $10.70 to $10.97, inclusive. The price reported in Column 4 above reflects the weighted average sales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p>
      <w:pPr>
        <w:spacing w:after="0" w:line="30" w:lineRule="exact"/>
        <w:rPr>
          <w:rFonts w:ascii="Arial" w:cs="Arial" w:eastAsia="Arial" w:hAnsi="Arial"/>
          <w:sz w:val="14"/>
          <w:szCs w:val="14"/>
          <w:color w:val="008000"/>
        </w:rPr>
      </w:pPr>
    </w:p>
    <w:p>
      <w:pPr>
        <w:jc w:val="both"/>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is immediately exercisable in full, but the shares subject thereto vest according to the following schedule: Twenty-five percent (25%) of the shares subject to the option vest on the first anniversary measured from September 1, 2011, and the remaining shares subject to the option vest in 36 successive, equal monthly installments thereafter, subject to the Reporting Person's continued employment or service relationship with the Issuer on each such vesting date.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325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3251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Mark</w:t>
      </w:r>
      <w:r>
        <w:rPr>
          <w:sz w:val="20"/>
          <w:szCs w:val="20"/>
          <w:color w:val="auto"/>
        </w:rPr>
        <w:tab/>
      </w:r>
      <w:r>
        <w:rPr>
          <w:rFonts w:ascii="Arial" w:cs="Arial" w:eastAsia="Arial" w:hAnsi="Arial"/>
          <w:sz w:val="15"/>
          <w:szCs w:val="15"/>
          <w:color w:val="0000FF"/>
        </w:rPr>
        <w:t>05/05/2015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Kaufmann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705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053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11184"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2019-12-08T21:32:14Z</dcterms:created>
  <dcterms:modified xsi:type="dcterms:W3CDTF">2019-12-08T21:32:14Z</dcterms:modified>
</cp:coreProperties>
</file>