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Date of Report (Date of earliest event reported): November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241300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26-1303944</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03" w:lineRule="exact"/>
        <w:rPr>
          <w:sz w:val="24"/>
          <w:szCs w:val="24"/>
          <w:color w:val="auto"/>
        </w:rPr>
      </w:pPr>
    </w:p>
    <w:p>
      <w:pPr>
        <w:sectPr>
          <w:pgSz w:w="11900" w:h="16838" w:orient="portrait"/>
          <w:cols w:equalWidth="0" w:num="3">
            <w:col w:w="4500" w:space="720"/>
            <w:col w:w="2600" w:space="720"/>
            <w:col w:w="2500"/>
          </w:cols>
          <w:pgMar w:left="440" w:top="368" w:right="4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34175 Ardenwood Blvd.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Fremont, CA 94555</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263525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ARDX</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3.02 Unregistered Sales of Equity Securities.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November 22, 2019, Ardelyx, Inc. (the “Company”) entered into a Stock Purchase Agreement (the “Purchase Agreement”) with Kyowa Kirin Co., Ltd. Pursuant to the Purchase Agreement, the Company sold an aggregate of 2,873,563 shares of its common stock (the “Shares”) for aggregate gross proceeds of approximately $20.0 million (the “Private Placement”). The purchase price for each Share was $6.96. The Private Placement closed on November 25, 2019.</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Private Placement is exempt from registration pursuant to the exemption for transactions by an issuer not involving any public offering under Section 4(a)(2) the Securities Act of 1933, as amended (the “Securities Act”), and Regulation D under the Securities Act. The Shares were not registered under the Securities Act or any state securities laws and may not be offered or sold in the United States absent registration with the Securities and Exchange Commission or an applicable exemption from the registration requirements.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this Item 8.01 is contained in Item 3.02, which is incorporated herein by reference.</w:t>
      </w:r>
    </w:p>
    <w:p>
      <w:pPr>
        <w:sectPr>
          <w:pgSz w:w="11900" w:h="16838" w:orient="portrait"/>
          <w:cols w:equalWidth="0" w:num="1">
            <w:col w:w="11020"/>
          </w:cols>
          <w:pgMar w:left="440" w:top="270" w:right="4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December 2, 2019</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Elizabeth Grammer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General Counsel and Secretary</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2019-12-02T15:20:50Z</dcterms:created>
  <dcterms:modified xsi:type="dcterms:W3CDTF">2019-12-02T15:20:50Z</dcterms:modified>
</cp:coreProperties>
</file>