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1006475</wp:posOffset>
            </wp:positionH>
            <wp:positionV relativeFrom="page">
              <wp:posOffset>157480</wp:posOffset>
            </wp:positionV>
            <wp:extent cx="55486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48630" cy="8890"/>
                    </a:xfrm>
                    <a:prstGeom prst="rect">
                      <a:avLst/>
                    </a:prstGeom>
                    <a:noFill/>
                  </pic:spPr>
                </pic:pic>
              </a:graphicData>
            </a:graphic>
          </wp:anchor>
        </w:drawing>
        <w:drawing>
          <wp:anchor simplePos="0" relativeHeight="251657728" behindDoc="1" locked="0" layoutInCell="0" allowOverlap="1">
            <wp:simplePos x="0" y="0"/>
            <wp:positionH relativeFrom="page">
              <wp:posOffset>1006475</wp:posOffset>
            </wp:positionH>
            <wp:positionV relativeFrom="page">
              <wp:posOffset>183515</wp:posOffset>
            </wp:positionV>
            <wp:extent cx="55486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8630" cy="8890"/>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55880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75565</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71120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55880</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838" w:orient="portrait"/>
          <w:cols w:equalWidth="0" w:num="1">
            <w:col w:w="9019"/>
          </w:cols>
          <w:pgMar w:left="1440" w:top="415" w:right="1440" w:bottom="1440" w:gutter="0" w:footer="0" w:header="0"/>
        </w:sectPr>
      </w:pPr>
    </w:p>
    <w:p>
      <w:pPr>
        <w:spacing w:after="0" w:line="367"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1" w:lineRule="exact"/>
        <w:rPr>
          <w:sz w:val="24"/>
          <w:szCs w:val="24"/>
          <w:color w:val="auto"/>
        </w:rPr>
      </w:pPr>
    </w:p>
    <w:p>
      <w:pPr>
        <w:sectPr>
          <w:pgSz w:w="11900" w:h="16838" w:orient="portrait"/>
          <w:cols w:equalWidth="0" w:num="3">
            <w:col w:w="3500" w:space="720"/>
            <w:col w:w="2120" w:space="720"/>
            <w:col w:w="1959"/>
          </w:cols>
          <w:pgMar w:left="1440" w:top="415" w:right="1440" w:bottom="1440" w:gutter="0" w:footer="0" w:header="0"/>
          <w:type w:val="continuous"/>
        </w:sectPr>
      </w:pPr>
    </w:p>
    <w:p>
      <w:pPr>
        <w:jc w:val="center"/>
        <w:ind w:right="200"/>
        <w:spacing w:after="0" w:line="221" w:lineRule="auto"/>
        <w:rPr>
          <w:sz w:val="20"/>
          <w:szCs w:val="20"/>
          <w:color w:val="auto"/>
        </w:rPr>
      </w:pPr>
      <w:r>
        <w:rPr>
          <w:rFonts w:ascii="Arial" w:cs="Arial" w:eastAsia="Arial" w:hAnsi="Arial"/>
          <w:sz w:val="13"/>
          <w:szCs w:val="13"/>
          <w:b w:val="1"/>
          <w:bCs w:val="1"/>
          <w:color w:val="auto"/>
        </w:rPr>
        <w:t>(State or other jurisdiction</w:t>
      </w:r>
    </w:p>
    <w:p>
      <w:pPr>
        <w:spacing w:after="0" w:line="1" w:lineRule="exact"/>
        <w:rPr>
          <w:sz w:val="24"/>
          <w:szCs w:val="24"/>
          <w:color w:val="auto"/>
        </w:rPr>
      </w:pPr>
    </w:p>
    <w:p>
      <w:pPr>
        <w:jc w:val="center"/>
        <w:ind w:right="2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19"/>
        <w:spacing w:after="0" w:line="206" w:lineRule="auto"/>
        <w:rPr>
          <w:sz w:val="20"/>
          <w:szCs w:val="20"/>
          <w:color w:val="auto"/>
        </w:rPr>
      </w:pPr>
      <w:r>
        <w:rPr>
          <w:rFonts w:ascii="Arial" w:cs="Arial" w:eastAsia="Arial" w:hAnsi="Arial"/>
          <w:sz w:val="14"/>
          <w:szCs w:val="14"/>
          <w:b w:val="1"/>
          <w:bCs w:val="1"/>
          <w:color w:val="auto"/>
        </w:rPr>
        <w:t>(IRS Employer</w:t>
      </w:r>
    </w:p>
    <w:p>
      <w:pPr>
        <w:jc w:val="center"/>
        <w:ind w:right="819"/>
        <w:spacing w:after="0"/>
        <w:rPr>
          <w:sz w:val="20"/>
          <w:szCs w:val="20"/>
          <w:color w:val="auto"/>
        </w:rPr>
      </w:pPr>
      <w:r>
        <w:rPr>
          <w:rFonts w:ascii="Arial" w:cs="Arial" w:eastAsia="Arial" w:hAnsi="Arial"/>
          <w:sz w:val="13"/>
          <w:szCs w:val="13"/>
          <w:b w:val="1"/>
          <w:bCs w:val="1"/>
          <w:color w:val="auto"/>
        </w:rPr>
        <w:t>Identification Number)</w:t>
      </w:r>
    </w:p>
    <w:p>
      <w:pPr>
        <w:spacing w:after="0" w:line="151" w:lineRule="exact"/>
        <w:rPr>
          <w:sz w:val="24"/>
          <w:szCs w:val="24"/>
          <w:color w:val="auto"/>
        </w:rPr>
      </w:pPr>
    </w:p>
    <w:p>
      <w:pPr>
        <w:sectPr>
          <w:pgSz w:w="11900" w:h="16838" w:orient="portrait"/>
          <w:cols w:equalWidth="0" w:num="3">
            <w:col w:w="3480" w:space="720"/>
            <w:col w:w="1860" w:space="720"/>
            <w:col w:w="2239"/>
          </w:cols>
          <w:pgMar w:left="1440" w:top="415" w:right="1440"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34175 Ardenwood Blvd., Suite 200</w:t>
      </w:r>
    </w:p>
    <w:p>
      <w:pPr>
        <w:jc w:val="center"/>
        <w:ind w:right="-20"/>
        <w:spacing w:after="0" w:line="193" w:lineRule="auto"/>
        <w:rPr>
          <w:sz w:val="20"/>
          <w:szCs w:val="20"/>
          <w:color w:val="auto"/>
        </w:rPr>
      </w:pPr>
      <w:r>
        <w:rPr>
          <w:rFonts w:ascii="Arial" w:cs="Arial" w:eastAsia="Arial" w:hAnsi="Arial"/>
          <w:sz w:val="18"/>
          <w:szCs w:val="18"/>
          <w:b w:val="1"/>
          <w:bCs w:val="1"/>
          <w:color w:val="auto"/>
        </w:rPr>
        <w:t>Fremont, CA 94555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9019"/>
          </w:cols>
          <w:pgMar w:left="1440" w:top="415" w:right="1440" w:bottom="1440" w:gutter="0" w:footer="0" w:header="0"/>
          <w:type w:val="continuous"/>
        </w:sectPr>
      </w:pP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68580</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50" w:lineRule="exact"/>
        <w:rPr>
          <w:sz w:val="24"/>
          <w:szCs w:val="24"/>
          <w:color w:val="auto"/>
        </w:rPr>
      </w:pPr>
    </w:p>
    <w:p>
      <w:pPr>
        <w:ind w:left="160" w:right="259"/>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80" w:hanging="32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80" w:hanging="32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80" w:hanging="32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480" w:hanging="329"/>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88" w:lineRule="exact"/>
        <w:rPr>
          <w:sz w:val="24"/>
          <w:szCs w:val="24"/>
          <w:color w:val="auto"/>
        </w:rPr>
      </w:pPr>
    </w:p>
    <w:p>
      <w:pPr>
        <w:ind w:left="160" w:right="339"/>
        <w:spacing w:after="0" w:line="22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jc w:val="both"/>
        <w:ind w:left="160" w:right="319"/>
        <w:spacing w:after="0" w:line="20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2" w:lineRule="exact"/>
        <w:rPr>
          <w:sz w:val="24"/>
          <w:szCs w:val="24"/>
          <w:color w:val="auto"/>
        </w:rPr>
      </w:pPr>
    </w:p>
    <w:tbl>
      <w:tblPr>
        <w:tblLayout w:type="fixed"/>
        <w:tblInd w:w="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Title of each class</w:t>
            </w:r>
          </w:p>
        </w:tc>
        <w:tc>
          <w:tcPr>
            <w:tcW w:w="2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Trading Symbol(s)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40" w:type="dxa"/>
            <w:vAlign w:val="bottom"/>
            <w:vMerge w:val="restart"/>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0" w:type="dxa"/>
            <w:vAlign w:val="bottom"/>
            <w:vMerge w:val="restart"/>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auto"/>
                <w:w w:val="92"/>
              </w:rPr>
              <w:t>Common Stock, par value $0.0001</w:t>
            </w:r>
          </w:p>
        </w:tc>
        <w:tc>
          <w:tcPr>
            <w:tcW w:w="440" w:type="dxa"/>
            <w:vAlign w:val="bottom"/>
            <w:vMerge w:val="continue"/>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rPr>
              <w:t>ARDX</w:t>
            </w:r>
          </w:p>
        </w:tc>
        <w:tc>
          <w:tcPr>
            <w:tcW w:w="440" w:type="dxa"/>
            <w:vAlign w:val="bottom"/>
            <w:vMerge w:val="continue"/>
          </w:tcPr>
          <w:p>
            <w:pPr>
              <w:spacing w:after="0"/>
              <w:rPr>
                <w:sz w:val="15"/>
                <w:szCs w:val="15"/>
                <w:color w:val="auto"/>
              </w:rPr>
            </w:pP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The Nasdaq Global Market</w:t>
            </w:r>
          </w:p>
        </w:tc>
        <w:tc>
          <w:tcPr>
            <w:tcW w:w="0" w:type="dxa"/>
            <w:vAlign w:val="bottom"/>
          </w:tcPr>
          <w:p>
            <w:pPr>
              <w:spacing w:after="0"/>
              <w:rPr>
                <w:sz w:val="1"/>
                <w:szCs w:val="1"/>
                <w:color w:val="auto"/>
              </w:rPr>
            </w:pPr>
          </w:p>
        </w:tc>
      </w:tr>
      <w:tr>
        <w:trPr>
          <w:trHeight w:val="182"/>
        </w:trPr>
        <w:tc>
          <w:tcPr>
            <w:tcW w:w="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5"/>
        </w:trPr>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15" w:right="1440" w:bottom="1440" w:gutter="0" w:footer="0" w:header="0"/>
          <w:type w:val="continuous"/>
        </w:sectPr>
      </w:pPr>
    </w:p>
    <w:bookmarkStart w:id="1" w:name="page2"/>
    <w:bookmarkEnd w:id="1"/>
    <w:p>
      <w:pPr>
        <w:ind w:left="160"/>
        <w:spacing w:after="0"/>
        <w:tabs>
          <w:tab w:leader="none" w:pos="11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81" w:lineRule="exact"/>
        <w:rPr>
          <w:sz w:val="20"/>
          <w:szCs w:val="20"/>
          <w:color w:val="auto"/>
        </w:rPr>
      </w:pPr>
    </w:p>
    <w:p>
      <w:pPr>
        <w:jc w:val="both"/>
        <w:ind w:left="160" w:right="159"/>
        <w:spacing w:after="0" w:line="224" w:lineRule="auto"/>
        <w:rPr>
          <w:sz w:val="20"/>
          <w:szCs w:val="20"/>
          <w:color w:val="auto"/>
        </w:rPr>
      </w:pPr>
      <w:r>
        <w:rPr>
          <w:rFonts w:ascii="Arial" w:cs="Arial" w:eastAsia="Arial" w:hAnsi="Arial"/>
          <w:sz w:val="18"/>
          <w:szCs w:val="18"/>
          <w:color w:val="auto"/>
        </w:rPr>
        <w:t>On August 9, 2019, Ardelyx, Inc. (the “Company”) announced its financial results for the quarter ended June 30, 2019. The full text of the press release issued in connection with the announcement is furnished as Exhibit 99.1 to this Current Report on Form 8-K.</w:t>
      </w:r>
    </w:p>
    <w:p>
      <w:pPr>
        <w:spacing w:after="0" w:line="163" w:lineRule="exact"/>
        <w:rPr>
          <w:sz w:val="20"/>
          <w:szCs w:val="20"/>
          <w:color w:val="auto"/>
        </w:rPr>
      </w:pPr>
    </w:p>
    <w:p>
      <w:pPr>
        <w:jc w:val="both"/>
        <w:ind w:left="160" w:right="359"/>
        <w:spacing w:after="0" w:line="249"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59" w:lineRule="exact"/>
        <w:rPr>
          <w:sz w:val="20"/>
          <w:szCs w:val="20"/>
          <w:color w:val="auto"/>
        </w:rPr>
      </w:pPr>
    </w:p>
    <w:p>
      <w:pPr>
        <w:ind w:left="160"/>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 Exhibits.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ind w:left="280"/>
        <w:spacing w:after="0" w:line="233" w:lineRule="auto"/>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0</wp:posOffset>
            </wp:positionV>
            <wp:extent cx="4982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ind w:left="16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Ardelyx,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-123190</wp:posOffset>
            </wp:positionV>
            <wp:extent cx="300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476250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160" w:right="479"/>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97" w:lineRule="exact"/>
        <w:rPr>
          <w:sz w:val="20"/>
          <w:szCs w:val="20"/>
          <w:color w:val="auto"/>
        </w:rPr>
      </w:pPr>
    </w:p>
    <w:p>
      <w:pPr>
        <w:ind w:left="160"/>
        <w:spacing w:after="0"/>
        <w:tabs>
          <w:tab w:leader="none" w:pos="462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7"/>
          <w:szCs w:val="17"/>
          <w:color w:val="auto"/>
        </w:rPr>
        <w:t>ARDELYX, INC.</w:t>
      </w:r>
    </w:p>
    <w:p>
      <w:pPr>
        <w:spacing w:after="0" w:line="14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6350</wp:posOffset>
            </wp:positionV>
            <wp:extent cx="2478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ind w:left="4980"/>
        <w:spacing w:after="0" w:line="217" w:lineRule="auto"/>
        <w:rPr>
          <w:sz w:val="20"/>
          <w:szCs w:val="20"/>
          <w:color w:val="auto"/>
        </w:rPr>
      </w:pPr>
      <w:r>
        <w:rPr>
          <w:rFonts w:ascii="Arial" w:cs="Arial" w:eastAsia="Arial" w:hAnsi="Arial"/>
          <w:sz w:val="18"/>
          <w:szCs w:val="18"/>
          <w:color w:val="auto"/>
        </w:rPr>
        <w:t>Mark Kaufmann</w:t>
      </w: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459105</wp:posOffset>
            </wp:positionV>
            <wp:extent cx="55486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5011420</wp:posOffset>
            </wp:positionH>
            <wp:positionV relativeFrom="page">
              <wp:posOffset>88900</wp:posOffset>
            </wp:positionV>
            <wp:extent cx="1646555" cy="43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46555" cy="437515"/>
                    </a:xfrm>
                    <a:prstGeom prst="rect">
                      <a:avLst/>
                    </a:prstGeom>
                    <a:noFill/>
                  </pic:spPr>
                </pic:pic>
              </a:graphicData>
            </a:graphic>
          </wp:anchor>
        </w:drawing>
        <w:t>Exhibit 99.1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Reports Second Quarter 2019 Financial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Business Highlights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AMPLIFY clinical trial to read out 3Q19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PHREEDOM clinical trial to read out 4Q19</w:t>
      </w:r>
    </w:p>
    <w:p>
      <w:pPr>
        <w:spacing w:after="0" w:line="23"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 xml:space="preserve">FREMONT, Calif., August 9, 2019 </w:t>
      </w:r>
      <w:r>
        <w:rPr>
          <w:rFonts w:ascii="Arial" w:cs="Arial" w:eastAsia="Arial" w:hAnsi="Arial"/>
          <w:sz w:val="17"/>
          <w:szCs w:val="17"/>
          <w:color w:val="auto"/>
        </w:rPr>
        <w:t>-- Ardelyx, Inc. (NASDAQ: ARDX), a specialized biopharmaceutical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focused on developing first-in-class medicines to improve treatment choices for people with cardiorenal diseases, today reported business highlights and financial results for the second quarter ended June 30, 2019.</w:t>
      </w:r>
    </w:p>
    <w:p>
      <w:pPr>
        <w:spacing w:after="0" w:line="3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are excited for a catalyst-rich second half of 2019 with planned completion of the final stages of development for tenapanor before we seek approval for its use in treating hyperphosphatemia in end-stage renal disease patients on dialysis,” said Mike Raab, president and chief executive officer of Ardelyx. “There continues to be a high unmet need for novel hyperphosphatemia treatments to help ESRD patients achieve phosphorus goals. If positive, the results from our ongoing second Phase 3 clinical trial, PHREEDOM, investigating tenapanor as monotherapy, will allow us to file our NDA next year. If approved, tenapanor will provide patients and health care providers with a novel, first-in-class and much more patient-friendly approach to managing phosphorus levels in dialysis patients. We look forward to announcing results for PHREEDOM in the fourth quarter of this year, and announcing results for AMPLIFY, our ongoing Phase 3 clinical trial evaluating tenapanor’s use in combination with phosphate binders in the third quarter of this year.”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Expected 2019 Milestones</w:t>
      </w:r>
    </w:p>
    <w:p>
      <w:pPr>
        <w:spacing w:after="0" w:line="202" w:lineRule="exact"/>
        <w:rPr>
          <w:sz w:val="20"/>
          <w:szCs w:val="20"/>
          <w:color w:val="auto"/>
        </w:rPr>
      </w:pPr>
    </w:p>
    <w:p>
      <w:pPr>
        <w:ind w:left="660" w:right="220" w:hanging="333"/>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Results from the PHREEDOM clinical trial, the company’s second Phase 3 clinical trial evaluating tenapanor as a monotherapy treatment for hyperphosphatemia in patients with end-stage renal disease (ESRD) who are on dialysis, are currently expected to be announced in the fourth quarter of 2019.</w:t>
      </w:r>
    </w:p>
    <w:p>
      <w:pPr>
        <w:spacing w:after="0" w:line="43" w:lineRule="exact"/>
        <w:rPr>
          <w:rFonts w:ascii="Arial" w:cs="Arial" w:eastAsia="Arial" w:hAnsi="Arial"/>
          <w:sz w:val="17"/>
          <w:szCs w:val="17"/>
          <w:color w:val="auto"/>
        </w:rPr>
      </w:pPr>
    </w:p>
    <w:p>
      <w:pPr>
        <w:ind w:left="660" w:right="340" w:hanging="333"/>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Results from the AMPLIFY clinical trial, the company’s Phase 3 clinical trial evaluating tenapanor’s efficacy in combination with phosphate binders, are currently expected to be announced in the third quarter of 2019.</w:t>
      </w:r>
    </w:p>
    <w:p>
      <w:pPr>
        <w:spacing w:after="0" w:line="2" w:lineRule="exact"/>
        <w:rPr>
          <w:rFonts w:ascii="Arial" w:cs="Arial" w:eastAsia="Arial" w:hAnsi="Arial"/>
          <w:sz w:val="16"/>
          <w:szCs w:val="16"/>
          <w:color w:val="auto"/>
        </w:rPr>
      </w:pPr>
    </w:p>
    <w:p>
      <w:pPr>
        <w:ind w:left="660" w:right="140" w:hanging="333"/>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company’s New Drug Application for U.S. marketing authorization of tenapanor for patients with IBS-C has a target action date under the Prescription Drug User Fee Act (PDUFA) of September 12, 2019.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Financial Results</w:t>
      </w:r>
    </w:p>
    <w:p>
      <w:pPr>
        <w:spacing w:after="0" w:line="27" w:lineRule="exact"/>
        <w:rPr>
          <w:sz w:val="20"/>
          <w:szCs w:val="20"/>
          <w:color w:val="auto"/>
        </w:rPr>
      </w:pPr>
    </w:p>
    <w:p>
      <w:pPr>
        <w:jc w:val="both"/>
        <w:ind w:left="660" w:right="140" w:hanging="333"/>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Position: As of June 30, 2019, Ardelyx had total capital resources including cash, cash equivalents and short-term investments of $123.9 million compared to total capital resources including cash, cash equivalents and short-term investments of $168.1 million as of December 31, 2018.</w:t>
      </w:r>
    </w:p>
    <w:p>
      <w:pPr>
        <w:spacing w:after="0" w:line="68" w:lineRule="exact"/>
        <w:rPr>
          <w:rFonts w:ascii="Arial" w:cs="Arial" w:eastAsia="Arial" w:hAnsi="Arial"/>
          <w:sz w:val="18"/>
          <w:szCs w:val="18"/>
          <w:color w:val="auto"/>
        </w:rPr>
      </w:pPr>
    </w:p>
    <w:p>
      <w:pPr>
        <w:ind w:left="660" w:right="20" w:hanging="333"/>
        <w:spacing w:after="0" w:line="29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R&amp;D Expenses: Research and development expenses were $19.4 million for the three months ended June 30, 2019, an increase of $3.4 million, or 21 percent, compared to $16.0 million for the three months ended June 30, 2018. The increase included a $7.5 million increase in expense primarily related to the Company’s manufacturing of tenapanor, the continued clinical development of tenapanor for the treatment of hyperphosphatemia in ESRD patients on dialysis and the Company’s hyperkalemia program, RDX013, partially offset by an out-of-period adjustment that reduced clinical trial expenses by $4.1 million related to the tenapanor clinical trials.</w:t>
      </w:r>
    </w:p>
    <w:p>
      <w:pPr>
        <w:spacing w:after="0" w:line="43" w:lineRule="exact"/>
        <w:rPr>
          <w:rFonts w:ascii="Arial" w:cs="Arial" w:eastAsia="Arial" w:hAnsi="Arial"/>
          <w:sz w:val="16"/>
          <w:szCs w:val="16"/>
          <w:color w:val="auto"/>
        </w:rPr>
      </w:pPr>
    </w:p>
    <w:p>
      <w:pPr>
        <w:ind w:left="660" w:right="40" w:hanging="333"/>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G&amp;A Expenses: General and administrative expenses were $5.4 million for the three months ended June 30, 2019, a decrease of $0.7 million, or 12 percent, compared to $6.1 million for the three months ended June 30, 2018. The decrease was primarily related to a decrease in professional services and a reduction in stock-based compensation costs partially offset by an increase in headcount and related personnel costs.</w:t>
      </w:r>
    </w:p>
    <w:p>
      <w:pPr>
        <w:spacing w:after="0" w:line="49" w:lineRule="exact"/>
        <w:rPr>
          <w:rFonts w:ascii="Arial" w:cs="Arial" w:eastAsia="Arial" w:hAnsi="Arial"/>
          <w:sz w:val="17"/>
          <w:szCs w:val="17"/>
          <w:color w:val="auto"/>
        </w:rPr>
      </w:pPr>
    </w:p>
    <w:p>
      <w:pPr>
        <w:ind w:left="660" w:right="22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Net loss for the three months ended June 30, 2019 was $25.5 million, or $0.41 per share, compared to a net loss of $22.3 million, or $0.42 per share, for the 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26" w:right="1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5011420</wp:posOffset>
            </wp:positionH>
            <wp:positionV relativeFrom="page">
              <wp:posOffset>88900</wp:posOffset>
            </wp:positionV>
            <wp:extent cx="1646555"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46555" cy="437515"/>
                    </a:xfrm>
                    <a:prstGeom prst="rect">
                      <a:avLst/>
                    </a:prstGeom>
                    <a:noFill/>
                  </pic:spPr>
                </pic:pic>
              </a:graphicData>
            </a:graphic>
          </wp:anchor>
        </w:drawing>
        <w:t>About Ardelyx, Inc.</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Ardelyx is focused on enhancing the way people with cardiorenal diseases are treated by developing first-in-class medicines. Ardelyx’s cardiorenal pipeline includes the Phase 3 development of tenapanor for the treatment of hyperphosphatemia in people with end-stage renal disease (ESRD) who are on dialysis, and RDX013, a potassium secretagogue program for the potential treatment of high potassium, or hyperkalemia, a problem among certain patients with kidney and/or heart disease. In addition, Ardelyx has completed Phase 3 development of tenapanor for the treatment of irritable bowel syndrome with constipation (IBS-C) and submitted a new drug application, or NDA, to the U.S. Food and Drug Administration, or FDA, for the treatment of patients with IBS-C which has been granted a target action date under the Prescription Drug User Fee Act (PDUFA) of September 12, 2019. To efficiently bring its treatments to market, Ardelyx is pursuing strategic collaborations for tenapanor for IBS-C and hyperphosphatemia in certain territories. Ardelyx has established agreements with Kyowa Kirin (formerly known as Kyowa Hakko Kirin) in Japan, Fosun Pharma in China and Knight Therapeutics in Canada. For more information, please visit http://www.ardelyx.com and connect with us on Twitter @Ardelyx.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for Ardelyx’s product candidates in treating the diseases and conditions for which they are being developed, the potential for the use of tenapanor as monotherapy and in combination with phosphate binders for the treatment of hyperphosphatemia, Ardelyx’s expected timing for receipt and announcement of data from its ongoing Phase 3 clinical trials of tenapanor for the treatment of hyperphosphatemia in ESRD patients, and Ardelyx’s expected timing for filing of its NDA for tenapanor for hyperphosphatemia.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the clinical development process, including the regulatory approval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August 9, 2019, and its future current and periodic reports to be filed with the Securities and Exchange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Kimia Keshtbod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510-745-1751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kkeshtbod@ardelyx.com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Sylvia Wheeler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swheeler@wheelhouselsa.com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Alex Santos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asantos@wheelhouselsa.com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26" w:right="14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5011420</wp:posOffset>
            </wp:positionH>
            <wp:positionV relativeFrom="page">
              <wp:posOffset>88900</wp:posOffset>
            </wp:positionV>
            <wp:extent cx="164655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46555" cy="437515"/>
                    </a:xfrm>
                    <a:prstGeom prst="rect">
                      <a:avLst/>
                    </a:prstGeom>
                    <a:noFill/>
                  </pic:spPr>
                </pic:pic>
              </a:graphicData>
            </a:graphic>
          </wp:anchor>
        </w:drawing>
        <w:t>Ardelyx,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9"/>
              </w:rPr>
              <w:t>(Unaudited)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20" w:type="dxa"/>
            <w:vAlign w:val="bottom"/>
          </w:tcPr>
          <w:p>
            <w:pPr>
              <w:ind w:left="400"/>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tcPr>
          <w:p>
            <w:pPr>
              <w:ind w:left="16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89,626</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78,768</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89,321</w:t>
            </w:r>
          </w:p>
        </w:tc>
        <w:tc>
          <w:tcPr>
            <w:tcW w:w="20" w:type="dxa"/>
            <w:vAlign w:val="bottom"/>
          </w:tcPr>
          <w:p>
            <w:pPr>
              <w:spacing w:after="0"/>
              <w:rPr>
                <w:sz w:val="18"/>
                <w:szCs w:val="18"/>
                <w:color w:val="auto"/>
              </w:rPr>
            </w:pPr>
          </w:p>
        </w:tc>
      </w:tr>
      <w:tr>
        <w:trPr>
          <w:trHeight w:val="216"/>
        </w:trPr>
        <w:tc>
          <w:tcPr>
            <w:tcW w:w="53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Unbilled license revenue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r>
      <w:tr>
        <w:trPr>
          <w:trHeight w:val="216"/>
        </w:trPr>
        <w:tc>
          <w:tcPr>
            <w:tcW w:w="5320" w:type="dxa"/>
            <w:vAlign w:val="bottom"/>
          </w:tcPr>
          <w:p>
            <w:pPr>
              <w:ind w:left="400"/>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5,611</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Right-of-use assets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Prepaid and other assets</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20" w:type="dxa"/>
            <w:vAlign w:val="bottom"/>
          </w:tcPr>
          <w:p>
            <w:pPr>
              <w:spacing w:after="0"/>
              <w:rPr>
                <w:sz w:val="18"/>
                <w:szCs w:val="18"/>
                <w:color w:val="auto"/>
              </w:rPr>
            </w:pPr>
          </w:p>
        </w:tc>
      </w:tr>
      <w:tr>
        <w:trPr>
          <w:trHeight w:val="217"/>
        </w:trPr>
        <w:tc>
          <w:tcPr>
            <w:tcW w:w="5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137,980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183,332</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20" w:type="dxa"/>
            <w:vAlign w:val="bottom"/>
          </w:tcPr>
          <w:p>
            <w:pPr>
              <w:ind w:left="400"/>
              <w:spacing w:after="0"/>
              <w:rPr>
                <w:sz w:val="20"/>
                <w:szCs w:val="20"/>
                <w:color w:val="auto"/>
              </w:rPr>
            </w:pPr>
            <w:r>
              <w:rPr>
                <w:rFonts w:ascii="Arial" w:cs="Arial" w:eastAsia="Arial" w:hAnsi="Arial"/>
                <w:sz w:val="18"/>
                <w:szCs w:val="18"/>
                <w:color w:val="auto"/>
              </w:rPr>
              <w:t>Accounts payable and other current liabilities</w:t>
            </w:r>
          </w:p>
        </w:tc>
        <w:tc>
          <w:tcPr>
            <w:tcW w:w="1720" w:type="dxa"/>
            <w:vAlign w:val="bottom"/>
            <w:gridSpan w:val="2"/>
          </w:tcPr>
          <w:p>
            <w:pPr>
              <w:ind w:left="16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14,015</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16,728</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Uncharged license fees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16"/>
        </w:trPr>
        <w:tc>
          <w:tcPr>
            <w:tcW w:w="5320" w:type="dxa"/>
            <w:vAlign w:val="bottom"/>
          </w:tcPr>
          <w:p>
            <w:pPr>
              <w:ind w:left="400"/>
              <w:spacing w:after="0"/>
              <w:rPr>
                <w:sz w:val="20"/>
                <w:szCs w:val="20"/>
                <w:color w:val="auto"/>
              </w:rPr>
            </w:pPr>
            <w:r>
              <w:rPr>
                <w:rFonts w:ascii="Arial" w:cs="Arial" w:eastAsia="Arial" w:hAnsi="Arial"/>
                <w:sz w:val="18"/>
                <w:szCs w:val="18"/>
                <w:color w:val="auto"/>
              </w:rPr>
              <w:t>Current portion of operating lease liability</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lease liability, net of current portion</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320" w:type="dxa"/>
            <w:vAlign w:val="bottom"/>
          </w:tcPr>
          <w:p>
            <w:pPr>
              <w:ind w:left="400"/>
              <w:spacing w:after="0"/>
              <w:rPr>
                <w:sz w:val="20"/>
                <w:szCs w:val="20"/>
                <w:color w:val="auto"/>
              </w:rPr>
            </w:pPr>
            <w:r>
              <w:rPr>
                <w:rFonts w:ascii="Arial" w:cs="Arial" w:eastAsia="Arial" w:hAnsi="Arial"/>
                <w:sz w:val="18"/>
                <w:szCs w:val="18"/>
                <w:color w:val="auto"/>
              </w:rPr>
              <w:t>Loan payable, long term</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49,209</w:t>
            </w:r>
          </w:p>
        </w:tc>
        <w:tc>
          <w:tcPr>
            <w:tcW w:w="20" w:type="dxa"/>
            <w:vAlign w:val="bottom"/>
          </w:tcPr>
          <w:p>
            <w:pPr>
              <w:spacing w:after="0"/>
              <w:rPr>
                <w:sz w:val="18"/>
                <w:szCs w:val="18"/>
                <w:color w:val="auto"/>
              </w:rPr>
            </w:pPr>
          </w:p>
        </w:tc>
      </w:tr>
      <w:tr>
        <w:trPr>
          <w:trHeight w:val="216"/>
        </w:trPr>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r>
      <w:tr>
        <w:trPr>
          <w:trHeight w:val="216"/>
        </w:trPr>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Stockholders’ equity</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115,813</w:t>
            </w:r>
          </w:p>
        </w:tc>
        <w:tc>
          <w:tcPr>
            <w:tcW w:w="20" w:type="dxa"/>
            <w:vAlign w:val="bottom"/>
          </w:tcPr>
          <w:p>
            <w:pPr>
              <w:spacing w:after="0"/>
              <w:rPr>
                <w:sz w:val="18"/>
                <w:szCs w:val="18"/>
                <w:color w:val="auto"/>
              </w:rPr>
            </w:pPr>
          </w:p>
        </w:tc>
      </w:tr>
      <w:tr>
        <w:trPr>
          <w:trHeight w:val="217"/>
        </w:trPr>
        <w:tc>
          <w:tcPr>
            <w:tcW w:w="5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137,980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183,332</w:t>
            </w:r>
          </w:p>
        </w:tc>
        <w:tc>
          <w:tcPr>
            <w:tcW w:w="20" w:type="dxa"/>
            <w:vAlign w:val="bottom"/>
          </w:tcPr>
          <w:p>
            <w:pPr>
              <w:spacing w:after="0"/>
              <w:rPr>
                <w:sz w:val="18"/>
                <w:szCs w:val="18"/>
                <w:color w:val="auto"/>
              </w:rPr>
            </w:pPr>
          </w:p>
        </w:tc>
      </w:tr>
    </w:tbl>
    <w:p>
      <w:pPr>
        <w:ind w:right="440" w:firstLine="3"/>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on Form 10-K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026" w:right="1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5011420</wp:posOffset>
            </wp:positionH>
            <wp:positionV relativeFrom="page">
              <wp:posOffset>88900</wp:posOffset>
            </wp:positionV>
            <wp:extent cx="1646555" cy="43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46555" cy="437515"/>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600" w:type="dxa"/>
            <w:vAlign w:val="bottom"/>
            <w:gridSpan w:val="8"/>
          </w:tcPr>
          <w:p>
            <w:pPr>
              <w:ind w:left="120"/>
              <w:spacing w:after="0"/>
              <w:rPr>
                <w:sz w:val="20"/>
                <w:szCs w:val="20"/>
                <w:color w:val="auto"/>
              </w:rPr>
            </w:pPr>
            <w:r>
              <w:rPr>
                <w:rFonts w:ascii="Arial" w:cs="Arial" w:eastAsia="Arial" w:hAnsi="Arial"/>
                <w:sz w:val="18"/>
                <w:szCs w:val="18"/>
                <w:b w:val="1"/>
                <w:bCs w:val="1"/>
                <w:color w:val="auto"/>
                <w:w w:val="96"/>
              </w:rPr>
              <w:t>Three Months Ended June 30,</w:t>
            </w:r>
          </w:p>
        </w:tc>
        <w:tc>
          <w:tcPr>
            <w:tcW w:w="2160" w:type="dxa"/>
            <w:vAlign w:val="bottom"/>
            <w:gridSpan w:val="6"/>
          </w:tcPr>
          <w:p>
            <w:pPr>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(Unaudited)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(Unaudited)</w:t>
            </w:r>
          </w:p>
        </w:tc>
        <w:tc>
          <w:tcPr>
            <w:tcW w:w="18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3"/>
              </w:rPr>
              <w:t>(Unaudited)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40"/>
              <w:spacing w:after="0"/>
              <w:rPr>
                <w:sz w:val="20"/>
                <w:szCs w:val="20"/>
                <w:color w:val="auto"/>
              </w:rPr>
            </w:pPr>
            <w:r>
              <w:rPr>
                <w:rFonts w:ascii="Arial" w:cs="Arial" w:eastAsia="Arial" w:hAnsi="Arial"/>
                <w:sz w:val="18"/>
                <w:szCs w:val="18"/>
                <w:color w:val="auto"/>
              </w:rPr>
              <w:t>Licensing revenue</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19,475</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16,046</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39,856</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24,846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22,184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41,725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(39,839)</w:t>
            </w:r>
          </w:p>
        </w:tc>
        <w:tc>
          <w:tcPr>
            <w:tcW w:w="0" w:type="dxa"/>
            <w:vAlign w:val="bottom"/>
          </w:tcPr>
          <w:p>
            <w:pPr>
              <w:spacing w:after="0"/>
              <w:rPr>
                <w:sz w:val="1"/>
                <w:szCs w:val="1"/>
                <w:color w:val="auto"/>
              </w:rPr>
            </w:pPr>
          </w:p>
        </w:tc>
      </w:tr>
      <w:tr>
        <w:trPr>
          <w:trHeight w:val="216"/>
        </w:trPr>
        <w:tc>
          <w:tcPr>
            <w:tcW w:w="4300" w:type="dxa"/>
            <w:vAlign w:val="bottom"/>
          </w:tcPr>
          <w:p>
            <w:pPr>
              <w:ind w:left="140"/>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(22,291)</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(51,611)</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(39,310)</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basic &amp; diluted</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71"/>
        </w:trPr>
        <w:tc>
          <w:tcPr>
            <w:tcW w:w="4300" w:type="dxa"/>
            <w:vAlign w:val="bottom"/>
          </w:tcPr>
          <w:p>
            <w:pPr>
              <w:spacing w:after="0" w:line="171" w:lineRule="exact"/>
              <w:rPr>
                <w:sz w:val="20"/>
                <w:szCs w:val="20"/>
                <w:color w:val="auto"/>
              </w:rPr>
            </w:pPr>
            <w:r>
              <w:rPr>
                <w:rFonts w:ascii="Arial" w:cs="Arial" w:eastAsia="Arial" w:hAnsi="Arial"/>
                <w:sz w:val="18"/>
                <w:szCs w:val="18"/>
                <w:b w:val="1"/>
                <w:bCs w:val="1"/>
                <w:color w:val="auto"/>
                <w:w w:val="89"/>
              </w:rPr>
              <w:t>Shares used in computing net loss per share, basic and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62,651,863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5"/>
              </w:rPr>
              <w:t>52,824,483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62,599,371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50,206,470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140"/>
              <w:spacing w:after="0"/>
              <w:rPr>
                <w:sz w:val="20"/>
                <w:szCs w:val="20"/>
                <w:color w:val="auto"/>
              </w:rPr>
            </w:pPr>
            <w:r>
              <w:rPr>
                <w:rFonts w:ascii="Arial" w:cs="Arial" w:eastAsia="Arial" w:hAnsi="Arial"/>
                <w:sz w:val="18"/>
                <w:szCs w:val="18"/>
                <w:b w:val="1"/>
                <w:bCs w:val="1"/>
                <w:color w:val="auto"/>
              </w:rPr>
              <w:t>diluted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26" w:right="141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2019-12-28T07:19:44Z</dcterms:created>
  <dcterms:modified xsi:type="dcterms:W3CDTF">2019-12-28T07:19:44Z</dcterms:modified>
</cp:coreProperties>
</file>