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8"/>
        </w:trPr>
        <w:tc>
          <w:tcPr>
            <w:tcW w:w="28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8"/>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76"/>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99"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4"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right="200"/>
        <w:spacing w:after="0" w:line="303" w:lineRule="auto"/>
        <w:rPr>
          <w:sz w:val="20"/>
          <w:szCs w:val="20"/>
          <w:color w:val="auto"/>
        </w:rPr>
      </w:pPr>
      <w:r>
        <w:rPr>
          <w:rFonts w:ascii="Arial" w:cs="Arial" w:eastAsia="Arial" w:hAnsi="Arial"/>
          <w:sz w:val="16"/>
          <w:szCs w:val="16"/>
          <w:color w:val="auto"/>
        </w:rPr>
        <w:t>On March 2, 2023, Ardelyx, Inc. (the “Company”) announced its financial results for the quarter and year ended December 31, 2022. The Company also announced that as of February 28, 2023, it had an unaudited cash, cash equivalents and short-term investments balance of $121.0 million. The full text of the press release issued in connection with the announcement is furnished as Exhibit 99.1 to this Current Report on Form 8-K.</w:t>
      </w:r>
    </w:p>
    <w:p>
      <w:pPr>
        <w:spacing w:after="0" w:line="3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99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2" w:lineRule="exact"/>
              <w:rPr>
                <w:sz w:val="20"/>
                <w:szCs w:val="20"/>
                <w:color w:val="auto"/>
              </w:rPr>
            </w:pPr>
            <w:r>
              <w:rPr>
                <w:rFonts w:ascii="Arial" w:cs="Arial" w:eastAsia="Arial" w:hAnsi="Arial"/>
                <w:sz w:val="18"/>
                <w:szCs w:val="18"/>
                <w:color w:val="0000FF"/>
                <w:w w:val="89"/>
              </w:rPr>
              <w:t>Press release of Ardelyx, Inc.</w:t>
            </w:r>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and Operations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2985770</wp:posOffset>
            </wp:positionH>
            <wp:positionV relativeFrom="page">
              <wp:posOffset>88900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Reports Fourth Quarter and Full Year 2022 Financial Results and Provides Business Update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successful launch of IBSRELA, ending FY 2022 with $15.6 million in net product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Resubmission of XPHOZAH New Drug Application expected in early-Q2 2023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ends Q4 with approximately $123.9 million in cash and investments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for 4:30 PM Eastern Time</w:t>
      </w:r>
    </w:p>
    <w:p>
      <w:pPr>
        <w:spacing w:after="0" w:line="200" w:lineRule="exact"/>
        <w:rPr>
          <w:sz w:val="20"/>
          <w:szCs w:val="20"/>
          <w:color w:val="auto"/>
        </w:rPr>
      </w:pPr>
    </w:p>
    <w:p>
      <w:pPr>
        <w:spacing w:after="0" w:line="345" w:lineRule="exact"/>
        <w:rPr>
          <w:sz w:val="20"/>
          <w:szCs w:val="20"/>
          <w:color w:val="auto"/>
        </w:rPr>
      </w:pPr>
    </w:p>
    <w:p>
      <w:pPr>
        <w:ind w:right="100"/>
        <w:spacing w:after="0" w:line="375" w:lineRule="auto"/>
        <w:rPr>
          <w:sz w:val="20"/>
          <w:szCs w:val="20"/>
          <w:color w:val="auto"/>
        </w:rPr>
      </w:pPr>
      <w:r>
        <w:rPr>
          <w:rFonts w:ascii="Arial" w:cs="Arial" w:eastAsia="Arial" w:hAnsi="Arial"/>
          <w:sz w:val="18"/>
          <w:szCs w:val="18"/>
          <w:b w:val="1"/>
          <w:bCs w:val="1"/>
          <w:color w:val="auto"/>
        </w:rPr>
        <w:t xml:space="preserve">WALTHAM, Mass., March 2, 2023 </w:t>
      </w:r>
      <w:r>
        <w:rPr>
          <w:rFonts w:ascii="Arial" w:cs="Arial" w:eastAsia="Arial" w:hAnsi="Arial"/>
          <w:sz w:val="18"/>
          <w:szCs w:val="18"/>
          <w:color w:val="auto"/>
        </w:rPr>
        <w:t>- Ardelyx, Inc. (Nasdaq: ARDX), a biopharmaceutical company founded with a mission to discover,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innovative first-in-class medicines that meet significant unmet medical needs, today reported financial results for the fourth quarter and full year ended December 31, 2022 and provided a business update.</w:t>
      </w:r>
    </w:p>
    <w:p>
      <w:pPr>
        <w:spacing w:after="0" w:line="208" w:lineRule="exact"/>
        <w:rPr>
          <w:sz w:val="20"/>
          <w:szCs w:val="20"/>
          <w:color w:val="auto"/>
        </w:rPr>
      </w:pPr>
    </w:p>
    <w:p>
      <w:pPr>
        <w:ind w:right="120"/>
        <w:spacing w:after="0" w:line="389" w:lineRule="auto"/>
        <w:rPr>
          <w:sz w:val="20"/>
          <w:szCs w:val="20"/>
          <w:color w:val="auto"/>
        </w:rPr>
      </w:pPr>
      <w:r>
        <w:rPr>
          <w:rFonts w:ascii="Arial" w:cs="Arial" w:eastAsia="Arial" w:hAnsi="Arial"/>
          <w:sz w:val="17"/>
          <w:szCs w:val="17"/>
          <w:color w:val="auto"/>
        </w:rPr>
        <w:t>“2022 was a remarkable year for Ardelyx, having met significant milestones that demonstrate our deep and profound commitment to bringing our novel mechanism products to patients in need. In April, we began the process of launching our first therapy, IBSRELA, for adult patients with irritable bowel syndrome with constipation and we are demonstrating significant, quarter-over-quarter prescription growth. In addition, after the positive outcome of our appeal process for XPHOZAH, and a productive Type A meeting with the Food and Drug Administration in February 2023, we believe we are now on the path to launching another important medicine in the second half of the year for patients on dialysis,” said Mike Raab, president and chief executive officer of Ardelyx. “Our efforts, our commitment to patients and our tenacity have positioned us well in 2023 as we continue to build growth and momentum for IBSRELA, execute on our plans for a successful launch of XPHOZAH, if approved, and create opportunities to expand our business to support the next phase of the company’s growth. As evidenced by our continued success with IBSRELA, we are well on our way to realizing our mission to discover, develop and commercialize novel mechanism products for patients with unmet medical needs. We are pleased with our progress and excited about the opportunity to reach even more patients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IBSRELA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(tenapanor) finishes 2022 with $15.6 million in net product sales, $8.7 million in Q4 2022</w:t>
      </w:r>
    </w:p>
    <w:p>
      <w:pPr>
        <w:spacing w:after="0" w:line="253" w:lineRule="exact"/>
        <w:rPr>
          <w:sz w:val="20"/>
          <w:szCs w:val="20"/>
          <w:color w:val="auto"/>
        </w:rPr>
      </w:pPr>
    </w:p>
    <w:p>
      <w:pPr>
        <w:ind w:right="80"/>
        <w:spacing w:after="0" w:line="370" w:lineRule="auto"/>
        <w:rPr>
          <w:sz w:val="20"/>
          <w:szCs w:val="20"/>
          <w:color w:val="auto"/>
        </w:rPr>
      </w:pPr>
      <w:r>
        <w:rPr>
          <w:rFonts w:ascii="Arial" w:cs="Arial" w:eastAsia="Arial" w:hAnsi="Arial"/>
          <w:sz w:val="18"/>
          <w:szCs w:val="18"/>
          <w:color w:val="auto"/>
        </w:rPr>
        <w:t xml:space="preserve">In March 2022, Ardelyx launched IBSRELA (tenapanor) for the treatment of irritable bowel syndrome with constipation (IBS-C) in the United States. The targeted commercial launch is focused on high-writing physicians and </w:t>
      </w:r>
      <w:r>
        <w:rPr>
          <w:rFonts w:ascii="Arial" w:cs="Arial" w:eastAsia="Arial" w:hAnsi="Arial"/>
          <w:sz w:val="21"/>
          <w:szCs w:val="21"/>
          <w:color w:val="auto"/>
        </w:rPr>
        <w:t>the patients who experience persistent symptoms, despite treatment</w:t>
      </w:r>
      <w:r>
        <w:rPr>
          <w:rFonts w:ascii="Arial" w:cs="Arial" w:eastAsia="Arial" w:hAnsi="Arial"/>
          <w:sz w:val="18"/>
          <w:szCs w:val="18"/>
          <w:color w:val="auto"/>
        </w:rPr>
        <w:t xml:space="preserve"> </w:t>
      </w:r>
      <w:r>
        <w:rPr>
          <w:rFonts w:ascii="Arial" w:cs="Arial" w:eastAsia="Arial" w:hAnsi="Arial"/>
          <w:sz w:val="21"/>
          <w:szCs w:val="21"/>
          <w:color w:val="auto"/>
        </w:rPr>
        <w:t xml:space="preserve">with a prescription therapy for IBS-C. </w:t>
      </w:r>
      <w:r>
        <w:rPr>
          <w:rFonts w:ascii="Arial" w:cs="Arial" w:eastAsia="Arial" w:hAnsi="Arial"/>
          <w:sz w:val="17"/>
          <w:szCs w:val="17"/>
          <w:color w:val="auto"/>
        </w:rPr>
        <w:t>Ardelyx has seen consistent month-over-month growth trends in both new and refill prescriptions, supported</w:t>
      </w:r>
      <w:r>
        <w:rPr>
          <w:rFonts w:ascii="Arial" w:cs="Arial" w:eastAsia="Arial" w:hAnsi="Arial"/>
          <w:sz w:val="21"/>
          <w:szCs w:val="21"/>
          <w:color w:val="auto"/>
        </w:rPr>
        <w:t xml:space="preserve"> </w:t>
      </w:r>
      <w:r>
        <w:rPr>
          <w:rFonts w:ascii="Arial" w:cs="Arial" w:eastAsia="Arial" w:hAnsi="Arial"/>
          <w:sz w:val="17"/>
          <w:szCs w:val="17"/>
          <w:color w:val="auto"/>
        </w:rPr>
        <w:t>by data from the independent research firm Spherix which reported in December that 60% of surveyed gastroenterologists had adopted IBSRELA with 32% of non-prescribers intending to adopt within three months.</w:t>
      </w:r>
    </w:p>
    <w:p>
      <w:pPr>
        <w:sectPr>
          <w:pgSz w:w="11900" w:h="16838" w:orient="portrait"/>
          <w:cols w:equalWidth="0" w:num="1">
            <w:col w:w="11240"/>
          </w:cols>
          <w:pgMar w:left="320" w:top="106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XPHOZAH</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(tenapanor) prepares for New Drug Application (NDA) resubmission in early Q2 2023</w:t>
      </w:r>
    </w:p>
    <w:p>
      <w:pPr>
        <w:spacing w:after="0" w:line="242" w:lineRule="exact"/>
        <w:rPr>
          <w:sz w:val="20"/>
          <w:szCs w:val="20"/>
          <w:color w:val="auto"/>
        </w:rPr>
      </w:pPr>
    </w:p>
    <w:p>
      <w:pPr>
        <w:spacing w:after="0" w:line="431" w:lineRule="auto"/>
        <w:rPr>
          <w:sz w:val="20"/>
          <w:szCs w:val="20"/>
          <w:color w:val="auto"/>
        </w:rPr>
      </w:pPr>
      <w:r>
        <w:rPr>
          <w:rFonts w:ascii="Arial" w:cs="Arial" w:eastAsia="Arial" w:hAnsi="Arial"/>
          <w:sz w:val="16"/>
          <w:szCs w:val="16"/>
          <w:color w:val="auto"/>
        </w:rPr>
        <w:t>In February, Ardelyx participated in a Type A meeting with members of the U.S. Food and Drug Administration’s (FDA) Division of Cardiology and Nephrology (DCN) to discuss resubmission of the NDA for XPHOZAH for the control of serum phosphorus in patients with chronic kidney disease (CKD) on dialysis. The meeting was very productive and provided Ardelyx with information required to complete its NDA resubmission. The company currently intends to submit the NDA early in the second quarter of 2023. Ardelyx is preparing to launch XPHOZAH, if approved, in the second half of 2023.</w:t>
      </w:r>
    </w:p>
    <w:p>
      <w:pPr>
        <w:spacing w:after="0" w:line="177" w:lineRule="exact"/>
        <w:rPr>
          <w:sz w:val="20"/>
          <w:szCs w:val="20"/>
          <w:color w:val="auto"/>
        </w:rPr>
      </w:pPr>
    </w:p>
    <w:p>
      <w:pPr>
        <w:ind w:right="20"/>
        <w:spacing w:after="0" w:line="367" w:lineRule="auto"/>
        <w:rPr>
          <w:sz w:val="20"/>
          <w:szCs w:val="20"/>
          <w:color w:val="auto"/>
        </w:rPr>
      </w:pPr>
      <w:r>
        <w:rPr>
          <w:rFonts w:ascii="Arial" w:cs="Arial" w:eastAsia="Arial" w:hAnsi="Arial"/>
          <w:sz w:val="18"/>
          <w:szCs w:val="18"/>
          <w:color w:val="auto"/>
        </w:rPr>
        <w:t>The resubmission of the NDA follows two significant developments for XPHOZAH that happened in the fourth quarter of 2022, providing a path to bring XPHOZAH to patients following a prolonged appeal process to the Complete Response Letter the company received in July 2021. In November, the Cardiovascular and Renal Drugs Advisory Committee voted nine to four that the benefits of treatment with XPHOZAH outweigh its risks for the control of serum phosphorus in adults with CKD on dialysis when administered as a monotherapy, and voted ten to two, with one abstention, that the benefits of treatment with XPHOZAH in combination with phosphate binder treatment outweigh its risks. Following the favorable outcome of the Advisory Committee meeting, in December, the FDA’s Office of New Drugs granted the appeal for XPHOZAH and directed the DCN to work with Ardelyx to develop an appropriate label.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Corporate Developments</w:t>
      </w:r>
    </w:p>
    <w:p>
      <w:pPr>
        <w:spacing w:after="0" w:line="310" w:lineRule="exact"/>
        <w:rPr>
          <w:sz w:val="20"/>
          <w:szCs w:val="20"/>
          <w:color w:val="auto"/>
        </w:rPr>
      </w:pPr>
    </w:p>
    <w:p>
      <w:pPr>
        <w:ind w:left="340" w:right="260" w:hanging="332"/>
        <w:spacing w:after="0" w:line="405" w:lineRule="auto"/>
        <w:tabs>
          <w:tab w:leader="none" w:pos="335"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February, the company released its first Environmental, Social and Governance (ESG) report, demonstrating the company’s commitment and progress towards initiatives and best practices that build a more equitable and sustainable society. The report is available on the company’s website.</w:t>
      </w:r>
    </w:p>
    <w:p>
      <w:pPr>
        <w:ind w:left="340" w:right="60" w:hanging="332"/>
        <w:spacing w:after="0" w:line="420" w:lineRule="auto"/>
        <w:tabs>
          <w:tab w:leader="none" w:pos="335"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February, the company reported that it had amended the debt financing agreement with SLR Investment Corp. it entered into in February 2022. The senior term loan facility’s March 1, 2027 maturity date is unchanged; however the interest only period for the $27.5 million that was drawn at the February 2022 closing may be extended by one year to March 31, 2025 if certain product revenue targets are achieved for the year ended 2023 or the company has received approval by the FDA for the NDA for XPHOZAH on or before November 30, 2023. In addition, the deadline to borrow an additional $22.5 million available under the facility has been extended to December 20, 2023, provided that the company has received approval by the FDA for the NDA for XPHOZAH on or before November 30, 2023 and that the company has achieved certain product revenue targets.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Financial Results</w:t>
      </w:r>
    </w:p>
    <w:p>
      <w:pPr>
        <w:spacing w:after="0" w:line="306" w:lineRule="exact"/>
        <w:rPr>
          <w:sz w:val="20"/>
          <w:szCs w:val="20"/>
          <w:color w:val="auto"/>
        </w:rPr>
      </w:pPr>
    </w:p>
    <w:p>
      <w:pPr>
        <w:ind w:left="340" w:right="80" w:hanging="332"/>
        <w:spacing w:after="0" w:line="362"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December 31, 2022, the company had total cash, cash equivalents and short-term investments of $123.9 million,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total cash, cash equivalents and short-term investments of $116.7 million as of December 31, 2021. As of February 28, 2023, the company had an unaudited cash, cash equivalents and short-term investments balance of $121.0 million, which included gross proceeds of $20.0 million for the sale of 7.7 million shares of the company’s common stock which were sold at a weighted average sales price of approximately $2.60 per share during the period January 1, 2023 to January 12, 2023 under the company’s sales agreement with Jefferies LLC, dated August 13, 2021, deemed to be “at-the-market offerings.”</w:t>
      </w:r>
    </w:p>
    <w:p>
      <w:pPr>
        <w:spacing w:after="0" w:line="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Product Sales: </w:t>
      </w:r>
      <w:r>
        <w:rPr>
          <w:rFonts w:ascii="Arial" w:cs="Arial" w:eastAsia="Arial" w:hAnsi="Arial"/>
          <w:sz w:val="18"/>
          <w:szCs w:val="18"/>
          <w:color w:val="auto"/>
        </w:rPr>
        <w:t>Net product sales for IBSRELA were $15.6 million during the year ended December 31, 2022.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Revenue: </w:t>
      </w:r>
      <w:r>
        <w:rPr>
          <w:rFonts w:ascii="Arial" w:cs="Arial" w:eastAsia="Arial" w:hAnsi="Arial"/>
          <w:sz w:val="18"/>
          <w:szCs w:val="18"/>
          <w:color w:val="auto"/>
        </w:rPr>
        <w:t>The company generated $36.6 million in collaboration revenue for the year ended December 31,</w:t>
      </w:r>
    </w:p>
    <w:p>
      <w:pPr>
        <w:sectPr>
          <w:pgSz w:w="11900" w:h="16838" w:orient="portrait"/>
          <w:cols w:equalWidth="0" w:num="1">
            <w:col w:w="11220"/>
          </w:cols>
          <w:pgMar w:left="320" w:top="888" w:right="359" w:bottom="1440" w:gutter="0" w:footer="0" w:header="0"/>
        </w:sectPr>
      </w:pPr>
    </w:p>
    <w:bookmarkStart w:id="5" w:name="page6"/>
    <w:bookmarkEnd w:id="5"/>
    <w:p>
      <w:pPr>
        <w:ind w:left="340" w:right="80"/>
        <w:spacing w:after="0" w:line="363" w:lineRule="auto"/>
        <w:rPr>
          <w:sz w:val="20"/>
          <w:szCs w:val="20"/>
          <w:color w:val="auto"/>
        </w:rPr>
      </w:pPr>
      <w:r>
        <w:rPr>
          <w:rFonts w:ascii="Arial" w:cs="Arial" w:eastAsia="Arial" w:hAnsi="Arial"/>
          <w:sz w:val="18"/>
          <w:szCs w:val="18"/>
          <w:color w:val="auto"/>
        </w:rPr>
        <w:t>2022, as compared to $10.1 million for the year ended December 31, 2021. The increase in collaboration revenue was primarily the result of $35.0 million in milestone payments and payments under the 2022 amendment to the license agreement between Ardelyx and Kyowa Kirin Co, Ltd (Kyowa Kirin), Ardelyx’s collaboration partner in Japan, earned upon Kyowa Kirin's submission of a New Drug Application to the Japanese Ministry of Health, Labour and Welfare for tenapanor for the improvement of hyperphosphatemia in adult patients with CKD on dialysis. The company also realized increased product supply revenue in connection with its obligation to supply drug substance to Kyowa Kirin under its license agreement with Kyowa Kirin. Partially offsetting these increases was the full recognition through the end of 2021 of upfront payments associated with the Research Collaboration Agreement entered into with Kyowa Kirin.</w:t>
      </w:r>
    </w:p>
    <w:p>
      <w:pPr>
        <w:spacing w:after="0" w:line="5" w:lineRule="exact"/>
        <w:rPr>
          <w:sz w:val="20"/>
          <w:szCs w:val="20"/>
          <w:color w:val="auto"/>
        </w:rPr>
      </w:pPr>
    </w:p>
    <w:p>
      <w:pPr>
        <w:ind w:left="340" w:right="60" w:hanging="332"/>
        <w:spacing w:after="0" w:line="362"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R&amp;D Expenses</w:t>
      </w:r>
      <w:r>
        <w:rPr>
          <w:rFonts w:ascii="Arial" w:cs="Arial" w:eastAsia="Arial" w:hAnsi="Arial"/>
          <w:sz w:val="18"/>
          <w:szCs w:val="18"/>
          <w:color w:val="auto"/>
        </w:rPr>
        <w:t>: Research and development expenses were $35.2 million for the year ended December 31, 2022, a decrease of $55.9 million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$91.1 million for the year ended December 31, 2021. Research and development expenses included non-cash stock compensation expense of approximately $3.2 million and $4.1 million in the years ended December 31, 2022, and December 31, 2021, respectively. The decrease in R&amp;D expenses is primarily due to lower clinical study costs as a result of the completion of the OPTIMIZE study, lower tenapanor manufacturing expenses due to the company’s capitalization of costs associated with the production of IBSRELA to inventory, and lower expenses for research following the reduction in the research function in the fourth quarter of 2021.</w:t>
      </w:r>
    </w:p>
    <w:p>
      <w:pPr>
        <w:spacing w:after="0" w:line="3" w:lineRule="exact"/>
        <w:rPr>
          <w:rFonts w:ascii="Arial" w:cs="Arial" w:eastAsia="Arial" w:hAnsi="Arial"/>
          <w:sz w:val="18"/>
          <w:szCs w:val="18"/>
          <w:color w:val="auto"/>
        </w:rPr>
      </w:pPr>
    </w:p>
    <w:p>
      <w:pPr>
        <w:ind w:left="340" w:right="60" w:hanging="332"/>
        <w:spacing w:after="0" w:line="363"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$76.6 million for the year ended December 31, 2022, an increase of $4.3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$72.3 million for the year ended December 31, 2021. Selling, general and administrative expenses included non-cash stock compensation expense of approximately $7.5 million and $7.9 million in the years ended December 31, 2022, and December 31, 2021, respectively. The increase in selling, general and administrative expenses was primarily due to increased costs associated with the ongoing commercial launch of IBSRELA during 2022.</w:t>
      </w:r>
    </w:p>
    <w:p>
      <w:pPr>
        <w:ind w:left="340" w:hanging="332"/>
        <w:spacing w:after="0" w:line="391"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year ended December 31, 2022 was $67.2 million, or $(0.42) per share, compared to net loss of $158.2 million, or $(1.52)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for the year ended December 31,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337" w:lineRule="exact"/>
        <w:rPr>
          <w:sz w:val="20"/>
          <w:szCs w:val="20"/>
          <w:color w:val="auto"/>
        </w:rPr>
      </w:pPr>
    </w:p>
    <w:p>
      <w:pPr>
        <w:ind w:right="340"/>
        <w:spacing w:after="0" w:line="435" w:lineRule="auto"/>
        <w:rPr>
          <w:sz w:val="20"/>
          <w:szCs w:val="20"/>
          <w:color w:val="auto"/>
        </w:rPr>
      </w:pPr>
      <w:r>
        <w:rPr>
          <w:rFonts w:ascii="Arial" w:cs="Arial" w:eastAsia="Arial" w:hAnsi="Arial"/>
          <w:sz w:val="16"/>
          <w:szCs w:val="16"/>
          <w:color w:val="auto"/>
        </w:rPr>
        <w:t>The company will host a conference call today, March 2, 2023, at 4:30 PM ET to discuss today's announcement. To participate in the conference call, please dial (877) 270-2148 (domestic) or (412) 902-6510 (international) and ask to be joined into the Ardelyx call. A webcast of the call can also be accessed by visiting the Investor page of the company's website, www.ardelyx.com, and will be available on the website for 30 days following the call.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0575" cy="1139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139825"/>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WARNING: RISK OF SERIOUS DEHYDRATION IN PEDIATRIC PATIENTS</w:t>
      </w:r>
    </w:p>
    <w:p>
      <w:pPr>
        <w:spacing w:after="0" w:line="364" w:lineRule="exact"/>
        <w:rPr>
          <w:sz w:val="20"/>
          <w:szCs w:val="20"/>
          <w:color w:val="auto"/>
        </w:rPr>
      </w:pPr>
    </w:p>
    <w:p>
      <w:pPr>
        <w:jc w:val="both"/>
        <w:ind w:left="40" w:right="720"/>
        <w:spacing w:after="0" w:line="373" w:lineRule="auto"/>
        <w:rPr>
          <w:sz w:val="20"/>
          <w:szCs w:val="20"/>
          <w:color w:val="auto"/>
        </w:rPr>
      </w:pPr>
      <w:r>
        <w:rPr>
          <w:rFonts w:ascii="Arial" w:cs="Arial" w:eastAsia="Arial" w:hAnsi="Arial"/>
          <w:sz w:val="18"/>
          <w:szCs w:val="18"/>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ectPr>
          <w:pgSz w:w="11900" w:h="16838" w:orient="portrait"/>
          <w:cols w:equalWidth="0" w:num="1">
            <w:col w:w="11220"/>
          </w:cols>
          <w:pgMar w:left="320" w:top="112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CONTRAINDICATIONS</w:t>
      </w:r>
    </w:p>
    <w:p>
      <w:pPr>
        <w:spacing w:after="0" w:line="108"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IBSRELA is contraindicated in patients less than 6 years of age due to the risk of serious dehydration.</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IBSRELA is contraindicated in patients with known or suspected mechanical gastrointestinal obstruction.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WARNINGS AND PRECAUTIONS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Serious Dehydration in Pediatric Patients</w:t>
      </w:r>
    </w:p>
    <w:p>
      <w:pPr>
        <w:spacing w:after="0" w:line="108" w:lineRule="exact"/>
        <w:rPr>
          <w:sz w:val="20"/>
          <w:szCs w:val="20"/>
          <w:color w:val="auto"/>
        </w:rPr>
      </w:pPr>
    </w:p>
    <w:p>
      <w:pPr>
        <w:jc w:val="both"/>
        <w:ind w:left="340" w:right="100" w:hanging="332"/>
        <w:spacing w:after="0" w:line="363"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3" w:lineRule="exact"/>
        <w:rPr>
          <w:rFonts w:ascii="Arial" w:cs="Arial" w:eastAsia="Arial" w:hAnsi="Arial"/>
          <w:sz w:val="18"/>
          <w:szCs w:val="18"/>
          <w:color w:val="auto"/>
        </w:rPr>
      </w:pPr>
    </w:p>
    <w:p>
      <w:pPr>
        <w:ind w:left="340" w:hanging="332"/>
        <w:spacing w:after="0" w:line="405"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w:t>
      </w:r>
    </w:p>
    <w:p>
      <w:pPr>
        <w:ind w:left="340"/>
        <w:spacing w:after="0"/>
        <w:rPr>
          <w:sz w:val="20"/>
          <w:szCs w:val="20"/>
          <w:color w:val="auto"/>
        </w:rPr>
      </w:pPr>
      <w:r>
        <w:rPr>
          <w:rFonts w:ascii="Arial" w:cs="Arial" w:eastAsia="Arial" w:hAnsi="Arial"/>
          <w:sz w:val="18"/>
          <w:szCs w:val="18"/>
          <w:color w:val="auto"/>
        </w:rPr>
        <w:t>age.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Diarrhea</w:t>
      </w:r>
    </w:p>
    <w:p>
      <w:pPr>
        <w:spacing w:after="0" w:line="108" w:lineRule="exact"/>
        <w:rPr>
          <w:sz w:val="20"/>
          <w:szCs w:val="20"/>
          <w:color w:val="auto"/>
        </w:rPr>
      </w:pPr>
    </w:p>
    <w:p>
      <w:pPr>
        <w:ind w:right="360"/>
        <w:spacing w:after="0" w:line="365" w:lineRule="auto"/>
        <w:rPr>
          <w:sz w:val="20"/>
          <w:szCs w:val="20"/>
          <w:color w:val="auto"/>
        </w:rPr>
      </w:pPr>
      <w:r>
        <w:rPr>
          <w:rFonts w:ascii="Arial" w:cs="Arial" w:eastAsia="Arial" w:hAnsi="Arial"/>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MOST COMMON ADVERSE REACTIONS</w:t>
      </w:r>
    </w:p>
    <w:p>
      <w:pPr>
        <w:spacing w:after="0" w:line="108" w:lineRule="exact"/>
        <w:rPr>
          <w:sz w:val="20"/>
          <w:szCs w:val="20"/>
          <w:color w:val="auto"/>
        </w:rPr>
      </w:pPr>
    </w:p>
    <w:p>
      <w:pPr>
        <w:ind w:right="660"/>
        <w:spacing w:after="0" w:line="357" w:lineRule="auto"/>
        <w:rPr>
          <w:sz w:val="20"/>
          <w:szCs w:val="20"/>
          <w:color w:val="auto"/>
        </w:rPr>
      </w:pPr>
      <w:r>
        <w:rPr>
          <w:rFonts w:ascii="Arial" w:cs="Arial" w:eastAsia="Arial" w:hAnsi="Arial"/>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IBSRELA (tenapanor) is indicated for the treatment of Irritable Bowel Syndrome with Constipation (IBS-C) in adults.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see full Prescribing Information, including Boxed Warning, for additional risk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 Inc.</w:t>
      </w:r>
    </w:p>
    <w:p>
      <w:pPr>
        <w:spacing w:after="0" w:line="337" w:lineRule="exact"/>
        <w:rPr>
          <w:sz w:val="20"/>
          <w:szCs w:val="20"/>
          <w:color w:val="auto"/>
        </w:rPr>
      </w:pPr>
    </w:p>
    <w:p>
      <w:pPr>
        <w:ind w:right="40"/>
        <w:spacing w:after="0" w:line="366" w:lineRule="auto"/>
        <w:rPr>
          <w:sz w:val="20"/>
          <w:szCs w:val="20"/>
          <w:color w:val="auto"/>
        </w:rPr>
      </w:pPr>
      <w:r>
        <w:rPr>
          <w:rFonts w:ascii="Arial" w:cs="Arial" w:eastAsia="Arial" w:hAnsi="Arial"/>
          <w:sz w:val="18"/>
          <w:szCs w:val="18"/>
          <w:color w:val="auto"/>
        </w:rPr>
        <w:t>Ardelyx was founded with a mission to discover, develop and commercialize innovative, first-in-class medicines that meet significant unmet medical needs. Ardelyx’s first approved product, IBSRELA® (tenapanor) is available in the United States and Canada. Ardelyx is developing XPHOZAH® (tenapanor), a novel product candidate for the control of serum phosphorus in adult patients with chronic kidney disease (CKD) on dialysis, which has completed three successful Phase 3 trials. Ardelyx has a Phase 2 potassium lowering compound, RDX013, for the potential treatment of elevated serum potassium, or hyperkalemia, a problem among certain patients with kidney and/or heart disease and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 For more information, please visit https://ardelyx.com/ and connect with us on Twitter, LinkedIn and Facebook.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337" w:lineRule="exact"/>
        <w:rPr>
          <w:sz w:val="20"/>
          <w:szCs w:val="20"/>
          <w:color w:val="auto"/>
        </w:rPr>
      </w:pPr>
    </w:p>
    <w:p>
      <w:pPr>
        <w:ind w:right="140"/>
        <w:spacing w:after="0" w:line="381" w:lineRule="auto"/>
        <w:rPr>
          <w:sz w:val="20"/>
          <w:szCs w:val="20"/>
          <w:color w:val="auto"/>
        </w:rPr>
      </w:pPr>
      <w:r>
        <w:rPr>
          <w:rFonts w:ascii="Arial" w:cs="Arial" w:eastAsia="Arial" w:hAnsi="Arial"/>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potential commercial opportunities and other opportunities for the</w:t>
      </w:r>
    </w:p>
    <w:p>
      <w:pPr>
        <w:sectPr>
          <w:pgSz w:w="11900" w:h="16838" w:orient="portrait"/>
          <w:cols w:equalWidth="0" w:num="1">
            <w:col w:w="11200"/>
          </w:cols>
          <w:pgMar w:left="320" w:top="945" w:right="379" w:bottom="1440" w:gutter="0" w:footer="0" w:header="0"/>
        </w:sectPr>
      </w:pPr>
    </w:p>
    <w:bookmarkStart w:id="7" w:name="page8"/>
    <w:bookmarkEnd w:id="7"/>
    <w:p>
      <w:pPr>
        <w:spacing w:after="0" w:line="392" w:lineRule="auto"/>
        <w:rPr>
          <w:sz w:val="20"/>
          <w:szCs w:val="20"/>
          <w:color w:val="auto"/>
        </w:rPr>
      </w:pPr>
      <w:r>
        <w:rPr>
          <w:rFonts w:ascii="Arial" w:cs="Arial" w:eastAsia="Arial" w:hAnsi="Arial"/>
          <w:sz w:val="17"/>
          <w:szCs w:val="17"/>
          <w:color w:val="auto"/>
        </w:rPr>
        <w:t>company, Ardelyx’s current expectation for both the timing of the NDA submission and potential FDA approval for XPHOZAH, and the potential extension of the interest only period for Ardelyx's senior term loan facility.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commercialization of drugs and uncertainties regarding the FDA regulatory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March 2, 2023, and its future current and periodic reports to be filed with the Securities and Exchange Commission.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Caitlin Lowie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clowie@ardelyx.com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Kimia Keshtbod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kkeshtbod@ardelyx.com</w:t>
      </w:r>
    </w:p>
    <w:p>
      <w:pPr>
        <w:sectPr>
          <w:pgSz w:w="11900" w:h="16838" w:orient="portrait"/>
          <w:cols w:equalWidth="0" w:num="1">
            <w:col w:w="11220"/>
          </w:cols>
          <w:pgMar w:left="320" w:top="1124" w:right="35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December 31, 2021</w:t>
            </w:r>
          </w:p>
        </w:tc>
      </w:tr>
      <w:tr>
        <w:trPr>
          <w:trHeight w:val="26"/>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88"/>
        </w:trPr>
        <w:tc>
          <w:tcPr>
            <w:tcW w:w="73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(1)</w:t>
            </w:r>
          </w:p>
        </w:tc>
      </w:tr>
      <w:tr>
        <w:trPr>
          <w:trHeight w:val="23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96,140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72,428</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commercial manufacturing</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Inventory, current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non-current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30"/>
        </w:trPr>
        <w:tc>
          <w:tcPr>
            <w:tcW w:w="7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and other assets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8,202</w:t>
            </w:r>
          </w:p>
        </w:tc>
      </w:tr>
      <w:tr>
        <w:trPr>
          <w:trHeight w:val="248"/>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4,277</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3,492</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9,748</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royalty obligation related to the sale of future royalties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82,617</w:t>
            </w:r>
          </w:p>
        </w:tc>
      </w:tr>
      <w:tr>
        <w:trPr>
          <w:trHeight w:val="248"/>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2021.</w:t>
      </w:r>
    </w:p>
    <w:p>
      <w:pPr>
        <w:sectPr>
          <w:pgSz w:w="11900" w:h="16838" w:orient="portrait"/>
          <w:cols w:equalWidth="0" w:num="1">
            <w:col w:w="11060"/>
          </w:cols>
          <w:pgMar w:left="320" w:top="1431" w:right="519" w:bottom="1440" w:gutter="0" w:footer="0" w:header="0"/>
        </w:sectPr>
      </w:pPr>
    </w:p>
    <w:bookmarkStart w:id="9" w:name="page10"/>
    <w:bookmarkEnd w:id="9"/>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Three Months Ended December 31,</w:t>
            </w: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Twelve Months Ended December 31,</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8,701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supply revenue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Licensing revenue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Collaborative development revenue</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44,178</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52,158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91,140</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72,303</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164,443</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(63,759)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(154,346)</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w w:val="94"/>
              </w:rPr>
              <w:t>Non-cash interest expense related to the sale of future royalties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(158,161)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10,695</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(36,234)</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(67,207)</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(158,165)</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share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3"/>
              </w:rPr>
              <w:t>Shares used in computing net income (loss) per share - basic</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192,430,121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115,260,610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158,690,083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104,205,645</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Shares used in computing net income (loss) per share - diluted</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193,840,751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115,260,610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158,690,083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104,205,645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40"/>
      </w:cols>
      <w:pgMar w:left="38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2023-03-02T15:15:17Z</dcterms:created>
  <dcterms:modified xsi:type="dcterms:W3CDTF">2023-03-02T15:15:17Z</dcterms:modified>
</cp:coreProperties>
</file>