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Cadoret-Manier Onaiza</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00" w:type="dxa"/>
            <w:vAlign w:val="bottom"/>
            <w:gridSpan w:val="7"/>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ARDELYX,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03/12/2020</w:t>
            </w: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ARDELYX, INC.</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34175 ARDENWOOD BLVD, SUITE 200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FREMONT</w:t>
            </w:r>
          </w:p>
        </w:tc>
        <w:tc>
          <w:tcPr>
            <w:tcW w:w="1220" w:type="dxa"/>
            <w:vAlign w:val="bottom"/>
            <w:gridSpan w:val="3"/>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spacing w:after="0"/>
              <w:rPr>
                <w:sz w:val="20"/>
                <w:szCs w:val="20"/>
                <w:color w:val="auto"/>
              </w:rPr>
            </w:pPr>
            <w:r>
              <w:rPr>
                <w:rFonts w:ascii="Arial" w:cs="Arial" w:eastAsia="Arial" w:hAnsi="Arial"/>
                <w:sz w:val="17"/>
                <w:szCs w:val="17"/>
                <w:color w:val="0000FF"/>
              </w:rPr>
              <w:t>94555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60" w:type="dxa"/>
            <w:vAlign w:val="bottom"/>
            <w:tcBorders>
              <w:top w:val="single" w:sz="8" w:color="2C2C2C"/>
            </w:tcBorders>
            <w:gridSpan w:val="19"/>
          </w:tcPr>
          <w:p>
            <w:pPr>
              <w:ind w:left="2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146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660" w:type="dxa"/>
            <w:vAlign w:val="bottom"/>
            <w:tcBorders>
              <w:top w:val="single" w:sz="8" w:color="2C2C2C"/>
            </w:tcBorders>
            <w:gridSpan w:val="19"/>
          </w:tcPr>
          <w:p>
            <w:pPr>
              <w:ind w:lef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5.23</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Arial" w:cs="Arial" w:eastAsia="Arial" w:hAnsi="Arial"/>
                <w:sz w:val="13"/>
                <w:szCs w:val="13"/>
                <w:color w:val="0000FF"/>
              </w:rPr>
              <w:t>03/12/2020</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65,890</w:t>
            </w:r>
          </w:p>
        </w:tc>
        <w:tc>
          <w:tcPr>
            <w:tcW w:w="340" w:type="dxa"/>
            <w:vAlign w:val="bottom"/>
          </w:tcPr>
          <w:p>
            <w:pPr>
              <w:spacing w:after="0"/>
              <w:rPr>
                <w:sz w:val="16"/>
                <w:szCs w:val="16"/>
                <w:color w:val="auto"/>
              </w:rPr>
            </w:pPr>
          </w:p>
        </w:tc>
        <w:tc>
          <w:tcPr>
            <w:tcW w:w="760" w:type="dxa"/>
            <w:vAlign w:val="bottom"/>
            <w:gridSpan w:val="3"/>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03/12/2030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65,890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65,890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8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36 successive, equal monthly installments on each monthly anniversary of March 12, 2020, subject to the Reporting Person's continued employment or service relationship with the Issuer on each such vesting date.</w:t>
      </w:r>
    </w:p>
    <w:p>
      <w:pPr>
        <w:spacing w:after="0" w:line="51"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986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Onaiza</w:t>
      </w:r>
      <w:r>
        <w:rPr>
          <w:sz w:val="20"/>
          <w:szCs w:val="20"/>
          <w:color w:val="auto"/>
        </w:rPr>
        <w:tab/>
      </w:r>
      <w:r>
        <w:rPr>
          <w:rFonts w:ascii="Arial" w:cs="Arial" w:eastAsia="Arial" w:hAnsi="Arial"/>
          <w:sz w:val="15"/>
          <w:szCs w:val="15"/>
          <w:color w:val="0000FF"/>
        </w:rPr>
        <w:t>03/16/2020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Cadoret-Manier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679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79450" cy="8255"/>
                    </a:xfrm>
                    <a:prstGeom prst="rect">
                      <a:avLst/>
                    </a:prstGeom>
                    <a:noFill/>
                  </pic:spPr>
                </pic:pic>
              </a:graphicData>
            </a:graphic>
          </wp:anchor>
        </w:drawing>
      </w:r>
    </w:p>
    <w:p>
      <w:pPr>
        <w:spacing w:after="0" w:line="4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99355"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2020-03-16T18:36:53Z</dcterms:created>
  <dcterms:modified xsi:type="dcterms:W3CDTF">2020-03-16T18:36:53Z</dcterms:modified>
</cp:coreProperties>
</file>