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001-36485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ARDELYX,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5" w:type="dxa"/>
        <w:jc w:val="left"/>
        <w:tblInd w:w="0" w:type="dxa"/>
        <w:tblLayout w:type="fixed"/>
        <w:tblCellMar>
          <w:top w:w="28" w:type="dxa"/>
          <w:left w:w="28" w:type="dxa"/>
          <w:bottom w:w="28" w:type="dxa"/>
          <w:right w:w="28" w:type="dxa"/>
        </w:tblCellMar>
      </w:tblPr>
      <w:tblGrid>
        <w:gridCol w:w="1822"/>
        <w:gridCol w:w="1601"/>
        <w:gridCol w:w="1617"/>
        <w:gridCol w:w="871"/>
        <w:gridCol w:w="871"/>
        <w:gridCol w:w="1243"/>
      </w:tblGrid>
      <w:tr>
        <w:trPr/>
        <w:tc>
          <w:tcPr>
            <w:tcW w:w="182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26-1303944</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400 Fifth Avenue, Suite 210, Waltham, Massachusetts</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02451</w:t>
            </w:r>
          </w:p>
          <w:p>
            <w:pPr>
              <w:pStyle w:val="TableContents"/>
              <w:bidi w:val="0"/>
              <w:spacing w:before="0" w:after="0"/>
              <w:jc w:val="center"/>
              <w:rPr/>
            </w:pPr>
            <w:r>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pPr>
      <w:r>
        <w:rPr>
          <w:rFonts w:ascii="Times New Roman;sans-serif" w:hAnsi="Times New Roman;sans-serif"/>
          <w:b/>
          <w:color w:val="000000"/>
          <w:sz w:val="20"/>
        </w:rPr>
        <w:t>(510)</w:t>
      </w:r>
      <w:r>
        <w:rPr>
          <w:color w:val="000000"/>
        </w:rPr>
        <w:t xml:space="preserve"> </w:t>
      </w:r>
      <w:r>
        <w:rPr>
          <w:rFonts w:ascii="Times New Roman;sans-serif" w:hAnsi="Times New Roman;sans-serif"/>
          <w:b/>
          <w:color w:val="000000"/>
          <w:sz w:val="20"/>
        </w:rPr>
        <w:t>745-1700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986" w:type="dxa"/>
        <w:jc w:val="left"/>
        <w:tblInd w:w="0" w:type="dxa"/>
        <w:tblLayout w:type="fixed"/>
        <w:tblCellMar>
          <w:top w:w="28" w:type="dxa"/>
          <w:left w:w="28" w:type="dxa"/>
          <w:bottom w:w="28" w:type="dxa"/>
          <w:right w:w="28" w:type="dxa"/>
        </w:tblCellMar>
      </w:tblPr>
      <w:tblGrid>
        <w:gridCol w:w="927"/>
        <w:gridCol w:w="813"/>
        <w:gridCol w:w="824"/>
        <w:gridCol w:w="109"/>
        <w:gridCol w:w="109"/>
        <w:gridCol w:w="109"/>
        <w:gridCol w:w="484"/>
        <w:gridCol w:w="484"/>
        <w:gridCol w:w="486"/>
        <w:gridCol w:w="109"/>
        <w:gridCol w:w="109"/>
        <w:gridCol w:w="109"/>
        <w:gridCol w:w="970"/>
        <w:gridCol w:w="970"/>
        <w:gridCol w:w="137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bidi w:val="0"/>
        <w:spacing w:lineRule="auto" w:line="288" w:before="14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    </w:t>
      </w:r>
      <w:r>
        <w:rPr>
          <w:rFonts w:ascii="Times New Roman;sans-serif" w:hAnsi="Times New Roman;sans-serif"/>
          <w:b w:val="false"/>
          <w:color w:val="000000"/>
          <w:sz w:val="16"/>
        </w:rPr>
        <w:t>No </w:t>
      </w:r>
      <w:r>
        <w:rPr>
          <w:color w:val="000000"/>
        </w:rPr>
        <w:t>☐</w:t>
      </w:r>
    </w:p>
    <w:p>
      <w:pPr>
        <w:pStyle w:val="TextBody"/>
        <w:bidi w:val="0"/>
        <w:spacing w:lineRule="auto" w:line="288" w:before="1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w:t>
      </w:r>
      <w:r>
        <w:rPr>
          <w:color w:val="000000"/>
        </w:rPr>
        <w:t> ☒</w:t>
      </w:r>
    </w:p>
    <w:p>
      <w:pPr>
        <w:pStyle w:val="TextBody"/>
        <w:bidi w:val="0"/>
        <w:spacing w:lineRule="auto" w:line="288" w:before="2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number of issued and outstanding shares of the registrant’s Common Stock, $0.0001 par value per share, as of July 26, 2024, was 235,428,183.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in this Quarterly Report on Form 10-Q the terms “Ardelyx”, “we,” “us,” “our” and “the Company” refer to Ardelyx,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whether any legislative, regulatory or judicial action is taken to further delay the inclusion of XPHOZAH, along with other oral ESRD-related drugs without an injectable or intravenous equivalent, are bundled into the ESRD prospective payment system (ESRD PPS);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adequacy of reimbursement and coverage of XPHOZAH beginning January 1, 2025 for all patients, regardless of insurance coverage, in the event that legislative, regulatory or judicial action to further delay the inclusion of oral only drugs in the ESRD PPS is not taken;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estimates of our expenses, future revenue, capital requirements, our needs for additional financing and our ability to obtain additional capital;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other risks and uncertainties, including those under the caption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SUMMARY OF PRINCIPAL RISKS ASSOCIATED WITH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risks and uncertainties affecting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not profitable and have incurred losses since our inception, and we expect to continue to incur operating losses in the future as we commercialize IBSRELA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XPHOZAH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incur manufacturing and development costs for tenapanor, and incur additional expenses related to our ongoing operations and our pursuit of future business opportunities and incur research and development costs.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will require additional financing for the foreseeable future as we invest in the commercialization of IBSRELA and XPHOZAH in the U.S. and incur additional expenses related to our ongoing operations. The inability to access necessary capital when needed on acceptable terms, or at all, could force us to reduce our efforts to commercialize IBSRELA or XPHOZAH, or to delay or limit our pursuit of other future business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have generated limited revenue from product sales and may never be profitable.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There is no guarantee that we will achieve sufficient market acceptance for XPHOZAH, secure and maintain adequate coverage and reimbursement for XPHOZAH, or generate sufficient revenue from product sales of XPHOZAH.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the event that legislative, regulatory or judicial action to further delay the inclusion of oral only drugs in the ESRD prospective payment system (ESRD PPS) is not taken, XPHOZAH will become part of the ESRD PPS on January 1, 2025, after which time, coverage for XPHOZAH for Medicare beneficiaries will no longer be available under Medicare Part D, and as a result the revenue that we may generate on sales of XPHOZAH will be negatively and materially impacted.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IBSRELA and/or XPHOZAH may cause undesirable side effects or have other properties that could limit the commercial success of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future results depend on contract manufacturing organizations (CMOs), many of whom are our single source manufacturers.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operating activities may be restricted as a result of covenants related to the indebtedness under our loan and security agreement with SLR Investment Corp. (SLR), as amended, and we may be required to repay the outstanding indebtedness in an event of default, which could have a materially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risk factors described above should be read together with the text of the full risk factors below in the section entitled “Risk Factors” and the other information set forth in this Quarterly Report on Form 10-Q, including our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REGARDING TRADEMARKS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ARDELYX</w:t>
      </w:r>
      <w:r>
        <w:rPr>
          <w:rFonts w:ascii="Times New Roman;sans-serif" w:hAnsi="Times New Roman;sans-serif"/>
          <w:b w:val="false"/>
          <w:color w:val="000000"/>
          <w:sz w:val="13"/>
        </w:rPr>
        <w:t>®</w:t>
      </w:r>
      <w:r>
        <w:rPr>
          <w:rFonts w:ascii="Times New Roman;sans-serif" w:hAnsi="Times New Roman;sans-serif"/>
          <w:b w:val="false"/>
          <w:color w:val="000000"/>
          <w:sz w:val="20"/>
        </w:rPr>
        <w:t>, IBSRELA</w:t>
      </w:r>
      <w:r>
        <w:rPr>
          <w:rFonts w:ascii="Times New Roman;sans-serif" w:hAnsi="Times New Roman;sans-serif"/>
          <w:b w:val="false"/>
          <w:color w:val="000000"/>
          <w:sz w:val="13"/>
        </w:rPr>
        <w:t>®</w:t>
      </w:r>
      <w:r>
        <w:rPr>
          <w:rFonts w:ascii="Times New Roman;sans-serif" w:hAnsi="Times New Roman;sans-serif"/>
          <w:b w:val="false"/>
          <w:color w:val="000000"/>
          <w:sz w:val="20"/>
        </w:rPr>
        <w:t>, and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are trademarks of Ardelyx. All other trademarks, trade names and service marks appearing in this Quarterly Report on Form 10-Q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ARDELYX, INC.</w:t>
      </w:r>
    </w:p>
    <w:tbl>
      <w:tblPr>
        <w:tblW w:w="8670" w:type="dxa"/>
        <w:jc w:val="left"/>
        <w:tblInd w:w="0" w:type="dxa"/>
        <w:tblLayout w:type="fixed"/>
        <w:tblCellMar>
          <w:top w:w="28" w:type="dxa"/>
          <w:left w:w="28" w:type="dxa"/>
          <w:bottom w:w="28" w:type="dxa"/>
          <w:right w:w="28" w:type="dxa"/>
        </w:tblCellMar>
      </w:tblPr>
      <w:tblGrid>
        <w:gridCol w:w="2890"/>
        <w:gridCol w:w="2539"/>
        <w:gridCol w:w="2550"/>
        <w:gridCol w:w="202"/>
        <w:gridCol w:w="202"/>
        <w:gridCol w:w="287"/>
      </w:tblGrid>
      <w:tr>
        <w:trPr/>
        <w:tc>
          <w:tcPr>
            <w:tcW w:w="2890"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49e600fac94d4eb1f7709a36ca491b_13">
              <w:r>
                <w:rPr>
                  <w:rStyle w:val="InternetLink"/>
                  <w:rFonts w:ascii="Times New Roman;sans-serif" w:hAnsi="Times New Roman;sans-serif"/>
                  <w:b/>
                  <w:color w:val="0000FF"/>
                  <w:sz w:val="20"/>
                  <w:u w:val="single"/>
                </w:rPr>
                <w:t>PART I. FINANCIAL INFORMATION</w:t>
              </w:r>
            </w:hyperlink>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6">
              <w:r>
                <w:rPr>
                  <w:rStyle w:val="InternetLink"/>
                  <w:rFonts w:ascii="Times New Roman;sans-serif" w:hAnsi="Times New Roman;sans-serif"/>
                  <w:b w:val="false"/>
                  <w:color w:val="0000FF"/>
                  <w:sz w:val="20"/>
                  <w:u w:val="single"/>
                </w:rPr>
                <w:t>Item 1. Financial Statements: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9">
              <w:r>
                <w:rPr>
                  <w:rStyle w:val="InternetLink"/>
                  <w:rFonts w:ascii="Times New Roman;sans-serif" w:hAnsi="Times New Roman;sans-serif"/>
                  <w:b w:val="false"/>
                  <w:color w:val="0000FF"/>
                  <w:sz w:val="20"/>
                  <w:u w:val="single"/>
                </w:rPr>
                <w:t>Condensed Balance Sheets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22">
              <w:r>
                <w:rPr>
                  <w:rStyle w:val="InternetLink"/>
                  <w:rFonts w:ascii="Times New Roman;sans-serif" w:hAnsi="Times New Roman;sans-serif"/>
                  <w:b w:val="false"/>
                  <w:color w:val="0000FF"/>
                  <w:sz w:val="20"/>
                  <w:u w:val="single"/>
                </w:rPr>
                <w:t>Condensed Statements of Operations and Comprehensive Loss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25">
              <w:r>
                <w:rPr>
                  <w:rStyle w:val="InternetLink"/>
                  <w:rFonts w:ascii="Times New Roman;sans-serif" w:hAnsi="Times New Roman;sans-serif"/>
                  <w:b w:val="false"/>
                  <w:color w:val="0000FF"/>
                  <w:sz w:val="20"/>
                  <w:u w:val="single"/>
                </w:rPr>
                <w:t>Condensed Statements of Changes in Stockholders' Equity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28">
              <w:r>
                <w:rPr>
                  <w:rStyle w:val="InternetLink"/>
                  <w:rFonts w:ascii="Times New Roman;sans-serif" w:hAnsi="Times New Roman;sans-serif"/>
                  <w:b w:val="false"/>
                  <w:color w:val="0000FF"/>
                  <w:sz w:val="20"/>
                  <w:u w:val="single"/>
                </w:rPr>
                <w:t>Condensed Statements of Cash Flows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31">
              <w:r>
                <w:rPr>
                  <w:rStyle w:val="InternetLink"/>
                  <w:rFonts w:ascii="Times New Roman;sans-serif" w:hAnsi="Times New Roman;sans-serif"/>
                  <w:b w:val="false"/>
                  <w:color w:val="0000FF"/>
                  <w:sz w:val="20"/>
                  <w:u w:val="single"/>
                </w:rPr>
                <w:t>Notes to Condensed Financial Statements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21">
              <w:r>
                <w:rPr>
                  <w:rStyle w:val="InternetLink"/>
                  <w:rFonts w:ascii="Times New Roman;sans-serif" w:hAnsi="Times New Roman;sans-serif"/>
                  <w:b w:val="false"/>
                  <w:strike w:val="false"/>
                  <w:dstrike w:val="false"/>
                  <w:color w:val="0000FF"/>
                  <w:sz w:val="20"/>
                  <w:u w:val="none"/>
                  <w:effect w:val="none"/>
                </w:rPr>
                <w:t>Item 3. Quantitative and Qualitative Disclosures About Market Risk</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24">
              <w:r>
                <w:rPr>
                  <w:rStyle w:val="InternetLink"/>
                  <w:rFonts w:ascii="Times New Roman;sans-serif" w:hAnsi="Times New Roman;sans-serif"/>
                  <w:b w:val="false"/>
                  <w:strike w:val="false"/>
                  <w:dstrike w:val="false"/>
                  <w:color w:val="0000FF"/>
                  <w:sz w:val="20"/>
                  <w:u w:val="none"/>
                  <w:effect w:val="none"/>
                </w:rPr>
                <w:t>Item 4. Controls and Procedures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49e600fac94d4eb1f7709a36ca491b_127">
              <w:r>
                <w:rPr>
                  <w:rStyle w:val="InternetLink"/>
                  <w:rFonts w:ascii="Times New Roman;sans-serif" w:hAnsi="Times New Roman;sans-serif"/>
                  <w:b/>
                  <w:color w:val="0000FF"/>
                  <w:sz w:val="20"/>
                  <w:u w:val="single"/>
                </w:rPr>
                <w:t>PART II. OTHER INFORMATION</w:t>
              </w:r>
            </w:hyperlink>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30">
              <w:r>
                <w:rPr>
                  <w:rStyle w:val="InternetLink"/>
                  <w:rFonts w:ascii="Times New Roman;sans-serif" w:hAnsi="Times New Roman;sans-serif"/>
                  <w:b w:val="false"/>
                  <w:color w:val="0000FF"/>
                  <w:sz w:val="20"/>
                  <w:u w:val="single"/>
                </w:rPr>
                <w:t>Item 1. Legal Proceedings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33">
              <w:r>
                <w:rPr>
                  <w:rStyle w:val="InternetLink"/>
                  <w:rFonts w:ascii="Times New Roman;sans-serif" w:hAnsi="Times New Roman;sans-serif"/>
                  <w:b w:val="false"/>
                  <w:color w:val="0000FF"/>
                  <w:sz w:val="20"/>
                  <w:u w:val="single"/>
                </w:rPr>
                <w:t>Item 1A. Risk Factors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36">
              <w:r>
                <w:rPr>
                  <w:rStyle w:val="InternetLink"/>
                  <w:rFonts w:ascii="Times New Roman;sans-serif" w:hAnsi="Times New Roman;sans-serif"/>
                  <w:b w:val="false"/>
                  <w:color w:val="0000FF"/>
                  <w:sz w:val="20"/>
                  <w:u w:val="single"/>
                </w:rPr>
                <w:t>Item 2. Unregistered Sales of Equity Securities and Use of Proceeds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39">
              <w:r>
                <w:rPr>
                  <w:rStyle w:val="InternetLink"/>
                  <w:rFonts w:ascii="Times New Roman;sans-serif" w:hAnsi="Times New Roman;sans-serif"/>
                  <w:b w:val="false"/>
                  <w:color w:val="0000FF"/>
                  <w:sz w:val="20"/>
                  <w:u w:val="single"/>
                </w:rPr>
                <w:t>Item 3. Defaults Upon Senior Securities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42">
              <w:r>
                <w:rPr>
                  <w:rStyle w:val="InternetLink"/>
                  <w:rFonts w:ascii="Times New Roman;sans-serif" w:hAnsi="Times New Roman;sans-serif"/>
                  <w:b w:val="false"/>
                  <w:color w:val="0000FF"/>
                  <w:sz w:val="20"/>
                  <w:u w:val="single"/>
                </w:rPr>
                <w:t>Item 4. Mine Safety Disclosures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45">
              <w:r>
                <w:rPr>
                  <w:rStyle w:val="InternetLink"/>
                  <w:rFonts w:ascii="Times New Roman;sans-serif" w:hAnsi="Times New Roman;sans-serif"/>
                  <w:b w:val="false"/>
                  <w:color w:val="0000FF"/>
                  <w:sz w:val="20"/>
                  <w:u w:val="single"/>
                </w:rPr>
                <w:t>Item 5. Other Information</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51">
              <w:r>
                <w:rPr>
                  <w:rStyle w:val="InternetLink"/>
                  <w:rFonts w:ascii="Times New Roman;sans-serif" w:hAnsi="Times New Roman;sans-serif"/>
                  <w:b w:val="false"/>
                  <w:color w:val="0000FF"/>
                  <w:sz w:val="20"/>
                  <w:u w:val="single"/>
                </w:rPr>
                <w:t>Item 6. Exhibits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49e600fac94d4eb1f7709a36ca491b_154">
              <w:r>
                <w:rPr>
                  <w:rStyle w:val="InternetLink"/>
                  <w:rFonts w:ascii="Times New Roman;sans-serif" w:hAnsi="Times New Roman;sans-serif"/>
                  <w:b w:val="false"/>
                  <w:color w:val="0000FF"/>
                  <w:sz w:val="20"/>
                  <w:u w:val="single"/>
                </w:rPr>
                <w:t>Signatures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53"/>
        <w:gridCol w:w="2359"/>
        <w:gridCol w:w="2327"/>
        <w:gridCol w:w="211"/>
        <w:gridCol w:w="826"/>
        <w:gridCol w:w="109"/>
        <w:gridCol w:w="109"/>
        <w:gridCol w:w="109"/>
        <w:gridCol w:w="109"/>
        <w:gridCol w:w="211"/>
        <w:gridCol w:w="826"/>
        <w:gridCol w:w="156"/>
      </w:tblGrid>
      <w:tr>
        <w:trPr/>
        <w:tc>
          <w:tcPr>
            <w:tcW w:w="2853"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royalty obligation related to the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500,000,000 shares authorized; 235,401,398 and 232,453,190 shares issued and outstanding as of June 30,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77"/>
        <w:gridCol w:w="1207"/>
        <w:gridCol w:w="1214"/>
        <w:gridCol w:w="264"/>
        <w:gridCol w:w="922"/>
        <w:gridCol w:w="109"/>
        <w:gridCol w:w="109"/>
        <w:gridCol w:w="109"/>
        <w:gridCol w:w="109"/>
        <w:gridCol w:w="264"/>
        <w:gridCol w:w="922"/>
        <w:gridCol w:w="109"/>
        <w:gridCol w:w="109"/>
        <w:gridCol w:w="109"/>
        <w:gridCol w:w="109"/>
        <w:gridCol w:w="241"/>
        <w:gridCol w:w="945"/>
        <w:gridCol w:w="109"/>
        <w:gridCol w:w="109"/>
        <w:gridCol w:w="109"/>
        <w:gridCol w:w="109"/>
        <w:gridCol w:w="264"/>
        <w:gridCol w:w="922"/>
        <w:gridCol w:w="155"/>
      </w:tblGrid>
      <w:tr>
        <w:trPr/>
        <w:tc>
          <w:tcPr>
            <w:tcW w:w="15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of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234,571,192 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214,951,127 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233,818,576 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211,009,029 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(44,050)</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ARDELYX,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38"/>
        <w:gridCol w:w="296"/>
        <w:gridCol w:w="297"/>
        <w:gridCol w:w="593"/>
        <w:gridCol w:w="593"/>
        <w:gridCol w:w="196"/>
        <w:gridCol w:w="109"/>
        <w:gridCol w:w="109"/>
        <w:gridCol w:w="109"/>
        <w:gridCol w:w="214"/>
        <w:gridCol w:w="366"/>
        <w:gridCol w:w="111"/>
        <w:gridCol w:w="109"/>
        <w:gridCol w:w="109"/>
        <w:gridCol w:w="109"/>
        <w:gridCol w:w="211"/>
        <w:gridCol w:w="976"/>
        <w:gridCol w:w="109"/>
        <w:gridCol w:w="109"/>
        <w:gridCol w:w="109"/>
        <w:gridCol w:w="109"/>
        <w:gridCol w:w="211"/>
        <w:gridCol w:w="842"/>
        <w:gridCol w:w="109"/>
        <w:gridCol w:w="109"/>
        <w:gridCol w:w="109"/>
        <w:gridCol w:w="109"/>
        <w:gridCol w:w="320"/>
        <w:gridCol w:w="730"/>
        <w:gridCol w:w="166"/>
        <w:gridCol w:w="109"/>
        <w:gridCol w:w="109"/>
        <w:gridCol w:w="109"/>
        <w:gridCol w:w="211"/>
        <w:gridCol w:w="826"/>
        <w:gridCol w:w="155"/>
      </w:tblGrid>
      <w:tr>
        <w:trPr/>
        <w:tc>
          <w:tcPr>
            <w:tcW w:w="10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233,959,744 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235,401,398 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4"/>
        <w:gridCol w:w="347"/>
        <w:gridCol w:w="348"/>
        <w:gridCol w:w="593"/>
        <w:gridCol w:w="593"/>
        <w:gridCol w:w="196"/>
        <w:gridCol w:w="109"/>
        <w:gridCol w:w="109"/>
        <w:gridCol w:w="109"/>
        <w:gridCol w:w="214"/>
        <w:gridCol w:w="366"/>
        <w:gridCol w:w="111"/>
        <w:gridCol w:w="109"/>
        <w:gridCol w:w="109"/>
        <w:gridCol w:w="109"/>
        <w:gridCol w:w="211"/>
        <w:gridCol w:w="976"/>
        <w:gridCol w:w="109"/>
        <w:gridCol w:w="109"/>
        <w:gridCol w:w="109"/>
        <w:gridCol w:w="109"/>
        <w:gridCol w:w="211"/>
        <w:gridCol w:w="842"/>
        <w:gridCol w:w="109"/>
        <w:gridCol w:w="109"/>
        <w:gridCol w:w="109"/>
        <w:gridCol w:w="109"/>
        <w:gridCol w:w="320"/>
        <w:gridCol w:w="730"/>
        <w:gridCol w:w="166"/>
        <w:gridCol w:w="109"/>
        <w:gridCol w:w="109"/>
        <w:gridCol w:w="109"/>
        <w:gridCol w:w="211"/>
        <w:gridCol w:w="826"/>
        <w:gridCol w:w="157"/>
      </w:tblGrid>
      <w:tr>
        <w:trPr/>
        <w:tc>
          <w:tcPr>
            <w:tcW w:w="9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232,453,190 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1,564,269 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235,401,398 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73"/>
        <w:gridCol w:w="352"/>
        <w:gridCol w:w="353"/>
        <w:gridCol w:w="593"/>
        <w:gridCol w:w="593"/>
        <w:gridCol w:w="196"/>
        <w:gridCol w:w="109"/>
        <w:gridCol w:w="109"/>
        <w:gridCol w:w="109"/>
        <w:gridCol w:w="214"/>
        <w:gridCol w:w="366"/>
        <w:gridCol w:w="111"/>
        <w:gridCol w:w="109"/>
        <w:gridCol w:w="109"/>
        <w:gridCol w:w="109"/>
        <w:gridCol w:w="211"/>
        <w:gridCol w:w="826"/>
        <w:gridCol w:w="109"/>
        <w:gridCol w:w="109"/>
        <w:gridCol w:w="109"/>
        <w:gridCol w:w="109"/>
        <w:gridCol w:w="211"/>
        <w:gridCol w:w="844"/>
        <w:gridCol w:w="109"/>
        <w:gridCol w:w="109"/>
        <w:gridCol w:w="109"/>
        <w:gridCol w:w="109"/>
        <w:gridCol w:w="320"/>
        <w:gridCol w:w="730"/>
        <w:gridCol w:w="166"/>
        <w:gridCol w:w="109"/>
        <w:gridCol w:w="109"/>
        <w:gridCol w:w="109"/>
        <w:gridCol w:w="211"/>
        <w:gridCol w:w="826"/>
        <w:gridCol w:w="156"/>
      </w:tblGrid>
      <w:tr>
        <w:trPr/>
        <w:tc>
          <w:tcPr>
            <w:tcW w:w="107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214,462,050 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at-the-market offerings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3,036,482 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217,862,921 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74"/>
        <w:gridCol w:w="401"/>
        <w:gridCol w:w="403"/>
        <w:gridCol w:w="593"/>
        <w:gridCol w:w="593"/>
        <w:gridCol w:w="196"/>
        <w:gridCol w:w="109"/>
        <w:gridCol w:w="109"/>
        <w:gridCol w:w="109"/>
        <w:gridCol w:w="214"/>
        <w:gridCol w:w="366"/>
        <w:gridCol w:w="111"/>
        <w:gridCol w:w="109"/>
        <w:gridCol w:w="109"/>
        <w:gridCol w:w="109"/>
        <w:gridCol w:w="211"/>
        <w:gridCol w:w="826"/>
        <w:gridCol w:w="109"/>
        <w:gridCol w:w="109"/>
        <w:gridCol w:w="109"/>
        <w:gridCol w:w="109"/>
        <w:gridCol w:w="211"/>
        <w:gridCol w:w="844"/>
        <w:gridCol w:w="109"/>
        <w:gridCol w:w="109"/>
        <w:gridCol w:w="109"/>
        <w:gridCol w:w="109"/>
        <w:gridCol w:w="320"/>
        <w:gridCol w:w="730"/>
        <w:gridCol w:w="166"/>
        <w:gridCol w:w="109"/>
        <w:gridCol w:w="109"/>
        <w:gridCol w:w="109"/>
        <w:gridCol w:w="211"/>
        <w:gridCol w:w="826"/>
        <w:gridCol w:w="156"/>
      </w:tblGrid>
      <w:tr>
        <w:trPr/>
        <w:tc>
          <w:tcPr>
            <w:tcW w:w="97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198,575,016 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at-the-market offerings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18,513,773 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217,862,921 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999" w:type="dxa"/>
        <w:jc w:val="center"/>
        <w:tblInd w:w="0" w:type="dxa"/>
        <w:tblLayout w:type="fixed"/>
        <w:tblCellMar>
          <w:top w:w="28" w:type="dxa"/>
          <w:left w:w="28" w:type="dxa"/>
          <w:bottom w:w="28" w:type="dxa"/>
          <w:right w:w="28" w:type="dxa"/>
        </w:tblCellMar>
      </w:tblPr>
      <w:tblGrid>
        <w:gridCol w:w="2679"/>
        <w:gridCol w:w="2350"/>
        <w:gridCol w:w="2366"/>
        <w:gridCol w:w="211"/>
        <w:gridCol w:w="796"/>
        <w:gridCol w:w="109"/>
        <w:gridCol w:w="109"/>
        <w:gridCol w:w="109"/>
        <w:gridCol w:w="109"/>
        <w:gridCol w:w="211"/>
        <w:gridCol w:w="796"/>
        <w:gridCol w:w="154"/>
      </w:tblGrid>
      <w:tr>
        <w:trPr/>
        <w:tc>
          <w:tcPr>
            <w:tcW w:w="267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and redemptions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2022 Loan Agreement,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at the market offering, net of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equity incentive and stock purchase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disclosure of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disclosure of non-cash activities: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services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ARDELYX, INC</w:t>
      </w:r>
      <w:r>
        <w:rPr>
          <w:rFonts w:ascii="Times New Roman;sans-serif" w:hAnsi="Times New Roman;sans-serif"/>
          <w:b w:val="false"/>
          <w:color w:val="000000"/>
          <w:sz w:val="20"/>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ORGANIZATION AND BASIS OF PRESENTATION</w:t>
      </w:r>
    </w:p>
    <w:p>
      <w:pPr>
        <w:pStyle w:val="TextBody"/>
        <w:bidi w:val="0"/>
        <w:spacing w:lineRule="auto" w:line="288" w:before="240" w:after="283"/>
        <w:jc w:val="both"/>
        <w:rPr/>
      </w:pPr>
      <w:r>
        <w:rPr>
          <w:rFonts w:ascii="Times New Roman;sans-serif" w:hAnsi="Times New Roman;sans-serif"/>
          <w:b w:val="false"/>
          <w:color w:val="000000"/>
          <w:sz w:val="20"/>
        </w:rPr>
        <w:t>Ardelyx, Inc. (Company, we, us or our) is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for the treatment of adults with irritable bowel syndrome with constipation (IBS-C). Tenapanor, branded as XPHOZAH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is approved in the U.S. to reduce serum phosphorus in adults with chronic kidney disease (CKD) on dialysis as add-on therapy in patients who have an inadequate response to phosphate binders or who are intolerant of any dose of phosphate binder therapy.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one business segment, which is the development and commercialization of biopharmaceutical products.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financial statements and related financial information should be read in conjunction with the audited financial statements and the related notes thereto included in our Annual Report on Form 10-K for the year ended December 31, 2023. The results for the three and six months ended June 30, 2024 are not necessarily indicative of results to be expected for the entire year ending December 31, 2024, or for any other interim period or future year.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expected demand for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cash, cash equivalents and short-term investments of approximately $186.0 million. We have incurred operating losses since inception in 2007 and our accumulated deficit as of June 30, 2024 is $889.2 million. We have addressed our operating cash flow requirements through cash generated from product sales of IBSRELA and XPHOZAH, proceeds from the sale of shares of our common stock under our at-the-market offering, the receipt of milestone payments from our collaboration partners and payments from our Japanese collaboration partner under the second amendment to our License Agreement, and funds from our loan agreements with SLR Investment Corp. (SLR), as amended. We believe our available cash, cash equivalents and short-term investments as of June 30, 2024 will be sufficient to fund our planned operations for at least a period of one year from the issuance of these condensed financial statements.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Note 2 to our audited financial statements for the fiscal year ended December 31, 2023, included in our Annual Report on Form 10-K. There have been no material changes in our significant accounting policies as previously disclosed in our Annual Report on Form 10-K for the fiscal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New Accounting Pronouncements - Recently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no new accounting pronouncements subsequent to filing our most recent Annual Report on Form 10-K.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Financial Accounting Standards Board (FASB) issued ASU No. 2023-06, Disclosure Improvements - Codification Amendments in Response to the SEC’s Disclosure Update and Simplification Initiative. The amendments in this Update modify the disclosure or presentation requirements of a variety of Topics in the Codification. The amendments are in response to the U.S. Securities and Exchange Commission's (SEC) Release No. 33-10532, Disclosure Update and Simplification, in which the SEC referred certain of its disclosure requirements that overlap with, but require incremental information to, generally accepted accounting principles to the FASB for potential incorporation into the Codification.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For all entities, if by June 30, 2027, the SEC has not removed the applicable requirement from Regulation S-X or Regulation S-K, the pending content of the related amendment will be removed from the Codification and will not become effective for any entity. Management is currently assessing the impact of this standard on the Company’s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 Improvements to Reportable Segment Disclosures. This Update requires publicly traded entities to provide enhanced disclosures about significant segment expenses regularly reviewed by the chief operating decision maker, including public traded entities with a single reportable segment. The amendments in this update are effective for fiscal years beginning after December 15, 2024, and interim periods within fiscal years beginning after December 15, 2024. Early adoption is permitted. Management is currently assessing the impact of this standard on the Company’s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 Improvements to Income Tax Disclosures, an amendment which modifies the measurement and recognition of credit losses for most financial assets and certain other instruments. The amendments in this Update provide more transparency about income tax information through improvements to income tax disclosures primarily related to the rate reconciliation and income taxes paid information. For public business entities, the amendments in this Update are effective for annual periods beginning after December 15, 2024. Early adoption is permitted on a prospective basis for annual financial statements that have not yet been issued or made available for issuance. Management is currently assessing the impact of this standard on the Company’s financial statements.</w:t>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CASH, CASH EQUIVALENTS AND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classified as cash, cash equivalents and short-term investments as of June 30, 2024 and December 31, 2023 are summarized below (in thousands):</w:t>
      </w:r>
    </w:p>
    <w:tbl>
      <w:tblPr>
        <w:tblW w:w="8948" w:type="dxa"/>
        <w:jc w:val="left"/>
        <w:tblInd w:w="0" w:type="dxa"/>
        <w:tblLayout w:type="fixed"/>
        <w:tblCellMar>
          <w:top w:w="28" w:type="dxa"/>
          <w:left w:w="28" w:type="dxa"/>
          <w:bottom w:w="28" w:type="dxa"/>
          <w:right w:w="28" w:type="dxa"/>
        </w:tblCellMar>
      </w:tblPr>
      <w:tblGrid>
        <w:gridCol w:w="1364"/>
        <w:gridCol w:w="1196"/>
        <w:gridCol w:w="1205"/>
        <w:gridCol w:w="262"/>
        <w:gridCol w:w="1027"/>
        <w:gridCol w:w="135"/>
        <w:gridCol w:w="109"/>
        <w:gridCol w:w="109"/>
        <w:gridCol w:w="109"/>
        <w:gridCol w:w="211"/>
        <w:gridCol w:w="406"/>
        <w:gridCol w:w="109"/>
        <w:gridCol w:w="109"/>
        <w:gridCol w:w="109"/>
        <w:gridCol w:w="109"/>
        <w:gridCol w:w="211"/>
        <w:gridCol w:w="541"/>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144,172 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investments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186,062 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903" w:type="dxa"/>
        <w:jc w:val="left"/>
        <w:tblInd w:w="0" w:type="dxa"/>
        <w:tblLayout w:type="fixed"/>
        <w:tblCellMar>
          <w:top w:w="28" w:type="dxa"/>
          <w:left w:w="28" w:type="dxa"/>
          <w:bottom w:w="28" w:type="dxa"/>
          <w:right w:w="28" w:type="dxa"/>
        </w:tblCellMar>
      </w:tblPr>
      <w:tblGrid>
        <w:gridCol w:w="1364"/>
        <w:gridCol w:w="1196"/>
        <w:gridCol w:w="1205"/>
        <w:gridCol w:w="262"/>
        <w:gridCol w:w="1027"/>
        <w:gridCol w:w="135"/>
        <w:gridCol w:w="109"/>
        <w:gridCol w:w="109"/>
        <w:gridCol w:w="109"/>
        <w:gridCol w:w="211"/>
        <w:gridCol w:w="466"/>
        <w:gridCol w:w="109"/>
        <w:gridCol w:w="109"/>
        <w:gridCol w:w="109"/>
        <w:gridCol w:w="109"/>
        <w:gridCol w:w="211"/>
        <w:gridCol w:w="43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162,605 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investments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184,075 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money market funds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our balance sheets. We use the specific identification method to determine the amount of realized gains or losses on sales of marketable securities. Realized gains or losses have not been significant and are included in other income, net, in the statement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short-term available-for sale securities held as of June 30, 2024 and December 31, 2023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or subject to credit losses, we write it down through the statement of operations and comprehensive loss to its fair value and establish that value as a new cost basis for the investment. Our unrealized losses as of June 30, 2024 and December 31, 2023 were not material. We determined that none of our available-for-sale securities were other-than-temporarily impaired as of June 30, 2024 and December 31, 2023, and no investment was in a continuous unrealized loss position for more than one year. As such, we believe that it is more likely than not that the investments will be held until maturity or a forecasted recovery of fair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three-level hierarchy for the inputs to valuation techniques is briefly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
        <w:gridCol w:w="216"/>
        <w:gridCol w:w="218"/>
        <w:gridCol w:w="2885"/>
        <w:gridCol w:w="2743"/>
        <w:gridCol w:w="3897"/>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are based on quoted prices in active markets for identical assets or liabilities and readily accessible by us at the reporting date.</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unobservable inputs for which there is little or no market data, which require us to develop our own assumptions.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 of our financial assets and liabilities that are measured or disclosed on a recurring basis by level within the fair value hierarchy (in thousands):</w:t>
      </w:r>
    </w:p>
    <w:tbl>
      <w:tblPr>
        <w:tblW w:w="8617" w:type="dxa"/>
        <w:jc w:val="left"/>
        <w:tblInd w:w="0" w:type="dxa"/>
        <w:tblLayout w:type="fixed"/>
        <w:tblCellMar>
          <w:top w:w="28" w:type="dxa"/>
          <w:left w:w="28" w:type="dxa"/>
          <w:bottom w:w="28" w:type="dxa"/>
          <w:right w:w="28" w:type="dxa"/>
        </w:tblCellMar>
      </w:tblPr>
      <w:tblGrid>
        <w:gridCol w:w="1272"/>
        <w:gridCol w:w="1117"/>
        <w:gridCol w:w="113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3"/>
        <w:gridCol w:w="411"/>
        <w:gridCol w:w="155"/>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tbl>
      <w:tblPr>
        <w:tblW w:w="8669" w:type="dxa"/>
        <w:jc w:val="left"/>
        <w:tblInd w:w="0" w:type="dxa"/>
        <w:tblLayout w:type="fixed"/>
        <w:tblCellMar>
          <w:top w:w="28" w:type="dxa"/>
          <w:left w:w="28" w:type="dxa"/>
          <w:bottom w:w="28" w:type="dxa"/>
          <w:right w:w="28" w:type="dxa"/>
        </w:tblCellMar>
      </w:tblPr>
      <w:tblGrid>
        <w:gridCol w:w="1272"/>
        <w:gridCol w:w="1117"/>
        <w:gridCol w:w="113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6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for exit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securities, commercial paper, and asset-backed securities as Level 2. In certain cases, where there is limited activity or less transparency around inputs to valuation, securities or derivative liabilities, such as the 2022 Exit Fee valuation as of December 31, 2023, as defined and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are classified as Level 3. As of June 30, 2024, the conditions for payment of the 2022 Exit Fee were met and it was therefore valued at its full contractual amount as there were no unobservable inputs.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reflected in the condensed balance sheets for accounts receivable, prepaid expenses and other current assets, accounts payable and accrued expenses approximate their fair values at both June 30, 2024 and December 31, 2023 due to their short-term nature.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June 30,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principal amount outstanding under our term loan facilities is subject to a variable interest rate. Therefore, we believe the carrying amount of the term loan facility approximates fair value as of June 30, 2024 and December 31, 2023. See </w:t>
      </w:r>
      <w:r>
        <w:rPr>
          <w:rFonts w:ascii="Times New Roman;sans-serif" w:hAnsi="Times New Roman;sans-serif"/>
          <w:b w:val="false"/>
          <w:i/>
          <w:color w:val="000000"/>
          <w:sz w:val="20"/>
        </w:rPr>
        <w:t>Note 8. Borrowing</w:t>
      </w:r>
      <w:r>
        <w:rPr>
          <w:color w:val="000000"/>
        </w:rPr>
        <w:t xml:space="preserve"> </w:t>
      </w:r>
      <w:r>
        <w:rPr>
          <w:rFonts w:ascii="Times New Roman;sans-serif" w:hAnsi="Times New Roman;sans-serif"/>
          <w:b w:val="false"/>
          <w:color w:val="000000"/>
          <w:sz w:val="20"/>
        </w:rPr>
        <w:t>for a description of the Level 2 inputs used to estimate the fair value of the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carrying value of the deferred royalty obligation related to the sale of future royalties approximates its fair value as of June 30, 2024 and December 31, 2023 and is based on our current estimates of future royalties and commercialization milestones expected to be paid to us by Kyowa Kirin Co., Ltd. (Kyowa Kirin) over the life of the agreement. See </w:t>
      </w:r>
      <w:r>
        <w:rPr>
          <w:rFonts w:ascii="Times New Roman;sans-serif" w:hAnsi="Times New Roman;sans-serif"/>
          <w:b w:val="false"/>
          <w:i/>
          <w:color w:val="000000"/>
          <w:sz w:val="20"/>
        </w:rPr>
        <w:t>Note 7. Deferred Royalty Obligation Related to the Sale of Future Royalties</w:t>
      </w:r>
      <w:r>
        <w:rPr>
          <w:color w:val="000000"/>
        </w:rPr>
        <w:t xml:space="preserve"> </w:t>
      </w:r>
      <w:r>
        <w:rPr>
          <w:rFonts w:ascii="Times New Roman;sans-serif" w:hAnsi="Times New Roman;sans-serif"/>
          <w:b w:val="false"/>
          <w:color w:val="000000"/>
          <w:sz w:val="20"/>
        </w:rPr>
        <w:t>for a description of the Level 3 inputs used to estimate the fair value of the liability.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INVENTORY</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as of June 30, 2024 and December 31, 2023 consisted of the following (in thousands): </w:t>
      </w:r>
    </w:p>
    <w:tbl>
      <w:tblPr>
        <w:tblW w:w="5648" w:type="dxa"/>
        <w:jc w:val="left"/>
        <w:tblInd w:w="0" w:type="dxa"/>
        <w:tblLayout w:type="fixed"/>
        <w:tblCellMar>
          <w:top w:w="28" w:type="dxa"/>
          <w:left w:w="28" w:type="dxa"/>
          <w:bottom w:w="28" w:type="dxa"/>
          <w:right w:w="28" w:type="dxa"/>
        </w:tblCellMar>
      </w:tblPr>
      <w:tblGrid>
        <w:gridCol w:w="706"/>
        <w:gridCol w:w="620"/>
        <w:gridCol w:w="624"/>
        <w:gridCol w:w="109"/>
        <w:gridCol w:w="109"/>
        <w:gridCol w:w="109"/>
        <w:gridCol w:w="258"/>
        <w:gridCol w:w="883"/>
        <w:gridCol w:w="133"/>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inventory, we had prepaid commercial manufacturing of $14.8 million and $23.2 million as of June 30, 2024 and December 31, 2023, respectively, which consisted of prepayments to third party contract manufacturing organizations, including prepayments of zero and $4.2 million as of June 30, 2024 and December 31, 2023 that are expected to be converted into inventory after 12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during the three and six months ended June 30, 2024 and 2023 were as follows (in thousands):</w:t>
      </w:r>
    </w:p>
    <w:tbl>
      <w:tblPr>
        <w:tblW w:w="10205" w:type="dxa"/>
        <w:jc w:val="left"/>
        <w:tblInd w:w="0" w:type="dxa"/>
        <w:tblLayout w:type="fixed"/>
        <w:tblCellMar>
          <w:top w:w="28" w:type="dxa"/>
          <w:left w:w="28" w:type="dxa"/>
          <w:bottom w:w="28" w:type="dxa"/>
          <w:right w:w="28" w:type="dxa"/>
        </w:tblCellMar>
      </w:tblPr>
      <w:tblGrid>
        <w:gridCol w:w="1728"/>
        <w:gridCol w:w="1492"/>
        <w:gridCol w:w="1499"/>
        <w:gridCol w:w="227"/>
        <w:gridCol w:w="778"/>
        <w:gridCol w:w="117"/>
        <w:gridCol w:w="117"/>
        <w:gridCol w:w="117"/>
        <w:gridCol w:w="117"/>
        <w:gridCol w:w="227"/>
        <w:gridCol w:w="778"/>
        <w:gridCol w:w="117"/>
        <w:gridCol w:w="109"/>
        <w:gridCol w:w="109"/>
        <w:gridCol w:w="109"/>
        <w:gridCol w:w="211"/>
        <w:gridCol w:w="826"/>
        <w:gridCol w:w="109"/>
        <w:gridCol w:w="109"/>
        <w:gridCol w:w="109"/>
        <w:gridCol w:w="109"/>
        <w:gridCol w:w="211"/>
        <w:gridCol w:w="721"/>
        <w:gridCol w:w="159"/>
      </w:tblGrid>
      <w:tr>
        <w:trPr/>
        <w:tc>
          <w:tcPr>
            <w:tcW w:w="172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IBSRELA</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XPHOZAH</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 net</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Customers who contributed greater than 10% of our total gross product revenue during the three and six months ended June 30, 2024 and 2023 was as follows (as a percentage of total gross product revenue):</w:t>
      </w:r>
    </w:p>
    <w:tbl>
      <w:tblPr>
        <w:tblW w:w="8972" w:type="dxa"/>
        <w:jc w:val="left"/>
        <w:tblInd w:w="0" w:type="dxa"/>
        <w:tblLayout w:type="fixed"/>
        <w:tblCellMar>
          <w:top w:w="28" w:type="dxa"/>
          <w:left w:w="28" w:type="dxa"/>
          <w:bottom w:w="28" w:type="dxa"/>
          <w:right w:w="28" w:type="dxa"/>
        </w:tblCellMar>
      </w:tblPr>
      <w:tblGrid>
        <w:gridCol w:w="1163"/>
        <w:gridCol w:w="1019"/>
        <w:gridCol w:w="1027"/>
        <w:gridCol w:w="292"/>
        <w:gridCol w:w="219"/>
        <w:gridCol w:w="545"/>
        <w:gridCol w:w="219"/>
        <w:gridCol w:w="219"/>
        <w:gridCol w:w="219"/>
        <w:gridCol w:w="292"/>
        <w:gridCol w:w="219"/>
        <w:gridCol w:w="545"/>
        <w:gridCol w:w="109"/>
        <w:gridCol w:w="109"/>
        <w:gridCol w:w="109"/>
        <w:gridCol w:w="292"/>
        <w:gridCol w:w="219"/>
        <w:gridCol w:w="488"/>
        <w:gridCol w:w="196"/>
        <w:gridCol w:w="196"/>
        <w:gridCol w:w="196"/>
        <w:gridCol w:w="292"/>
        <w:gridCol w:w="219"/>
        <w:gridCol w:w="569"/>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BioRidge Pharma, LLC</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Drug Corporation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and ending reserve balances for each significant category of discounts and allowances, which constitute variable consideration, were as follows (in thousands):</w:t>
      </w:r>
    </w:p>
    <w:tbl>
      <w:tblPr>
        <w:tblW w:w="10205" w:type="dxa"/>
        <w:jc w:val="left"/>
        <w:tblInd w:w="0" w:type="dxa"/>
        <w:tblLayout w:type="fixed"/>
        <w:tblCellMar>
          <w:top w:w="28" w:type="dxa"/>
          <w:left w:w="28" w:type="dxa"/>
          <w:bottom w:w="28" w:type="dxa"/>
          <w:right w:w="28" w:type="dxa"/>
        </w:tblCellMar>
      </w:tblPr>
      <w:tblGrid>
        <w:gridCol w:w="817"/>
        <w:gridCol w:w="704"/>
        <w:gridCol w:w="709"/>
        <w:gridCol w:w="547"/>
        <w:gridCol w:w="1209"/>
        <w:gridCol w:w="285"/>
        <w:gridCol w:w="109"/>
        <w:gridCol w:w="109"/>
        <w:gridCol w:w="109"/>
        <w:gridCol w:w="539"/>
        <w:gridCol w:w="1574"/>
        <w:gridCol w:w="278"/>
        <w:gridCol w:w="109"/>
        <w:gridCol w:w="109"/>
        <w:gridCol w:w="109"/>
        <w:gridCol w:w="332"/>
        <w:gridCol w:w="969"/>
        <w:gridCol w:w="170"/>
        <w:gridCol w:w="109"/>
        <w:gridCol w:w="109"/>
        <w:gridCol w:w="109"/>
        <w:gridCol w:w="211"/>
        <w:gridCol w:w="721"/>
        <w:gridCol w:w="159"/>
      </w:tblGrid>
      <w:tr>
        <w:trPr/>
        <w:tc>
          <w:tcPr>
            <w:tcW w:w="81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Copay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w:t>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Credits/payments</w:t>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(19,334)</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Adjustments to prior period provisions recorded in the current period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6. COLLABORATION AND LICENSING AGREEMENTS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Kyowa Kirin Co., Ltd. (Kyowa Kirin)</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2017, we entered into an exclusive license agreement with Kyowa Kirin (2017 Kyowa Kirin Agreement), under which we granted Kyowa Kirin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Kyowa Kirin Agreement, Kyowa Kirin is responsible for all costs and expenses incurred in the development and commercialization of tenapanor for all licensed indications in Japan. We are responsible for supplying the tenapanor drug substance for Kyowa Kirin’s use in development and commercialization throughout the term of the 2017 Kyowa Kirin Agreement, provided that Kyowa Kirin may exercise an option to manufacture the tenapanor drug substance under certain conditions. In October 2022, we entered into a Commercial Supply Agreement with Kyowa Kirin to further define the obligations of the parties with respect to the commercial supply of tenapanor drug substance (2022 Kyowa Kirin Supply Agreement). As detailed below under the heading </w:t>
      </w:r>
      <w:r>
        <w:rPr>
          <w:rFonts w:ascii="Times New Roman;sans-serif" w:hAnsi="Times New Roman;sans-serif"/>
          <w:b w:val="false"/>
          <w:i/>
          <w:color w:val="000000"/>
          <w:sz w:val="20"/>
        </w:rPr>
        <w:t>Deferred Revenue</w:t>
      </w:r>
      <w:r>
        <w:rPr>
          <w:color w:val="000000"/>
        </w:rPr>
        <w:t xml:space="preserve"> </w:t>
      </w:r>
      <w:r>
        <w:rPr>
          <w:rFonts w:ascii="Times New Roman;sans-serif" w:hAnsi="Times New Roman;sans-serif"/>
          <w:b w:val="false"/>
          <w:color w:val="000000"/>
          <w:sz w:val="20"/>
        </w:rPr>
        <w:t xml:space="preserve">we have received advanced payments from Kyowa Kirin for the manufacturing of tenapanor drug substance that will be used to satisfy Kyowa Kirin needs. </w:t>
      </w:r>
    </w:p>
    <w:p>
      <w:pPr>
        <w:pStyle w:val="TextBody"/>
        <w:bidi w:val="0"/>
        <w:spacing w:lineRule="auto" w:line="288" w:before="240" w:after="283"/>
        <w:jc w:val="both"/>
        <w:rPr/>
      </w:pPr>
      <w:r>
        <w:rPr>
          <w:rFonts w:ascii="Times New Roman;sans-serif" w:hAnsi="Times New Roman;sans-serif"/>
          <w:b w:val="false"/>
          <w:color w:val="000000"/>
          <w:sz w:val="20"/>
        </w:rPr>
        <w:t>We assessed these arrangements in accordance with Accounting Standards Update (ASU) No. 2014-09, Revenue from Contracts with Customers (Topic 606) and related amendments (ASC 606) and concluded that the contract counterparty, Kyowa Kirin, is a customer. Under the terms of the 2017 Kyowa Kirin Agreement, we received</w:t>
      </w:r>
      <w:r>
        <w:rPr>
          <w:color w:val="000000"/>
        </w:rPr>
        <w:t xml:space="preserve"> </w:t>
      </w:r>
      <w:r>
        <w:rPr>
          <w:rFonts w:ascii="Times New Roman;sans-serif" w:hAnsi="Times New Roman;sans-serif"/>
          <w:b w:val="false"/>
          <w:color w:val="000000"/>
          <w:sz w:val="20"/>
        </w:rPr>
        <w:t xml:space="preserve">$30.0 million in upfront license fees, which was recognized as revenue when the agreement was executed. Based on our assessment, management determined that the license and the manufacturing supply services were its material performance obligations at the inception of the 2017 Kyowa Kirin Agreement, and as such, each of the performance obligations is distinct. </w:t>
      </w:r>
    </w:p>
    <w:p>
      <w:pPr>
        <w:pStyle w:val="TextBody"/>
        <w:bidi w:val="0"/>
        <w:spacing w:lineRule="auto" w:line="288" w:before="240" w:after="283"/>
        <w:jc w:val="both"/>
        <w:rPr/>
      </w:pPr>
      <w:r>
        <w:rPr>
          <w:rFonts w:ascii="Times New Roman;sans-serif" w:hAnsi="Times New Roman;sans-serif"/>
          <w:b w:val="false"/>
          <w:color w:val="000000"/>
          <w:sz w:val="20"/>
        </w:rPr>
        <w:t>We may be entitled to receive up to</w:t>
      </w:r>
      <w:r>
        <w:rPr>
          <w:color w:val="000000"/>
        </w:rPr>
        <w:t xml:space="preserve"> </w:t>
      </w:r>
      <w:r>
        <w:rPr>
          <w:rFonts w:ascii="Times New Roman;sans-serif" w:hAnsi="Times New Roman;sans-serif"/>
          <w:b w:val="false"/>
          <w:color w:val="000000"/>
          <w:sz w:val="20"/>
        </w:rPr>
        <w:t xml:space="preserve">$55.0 million in total development and regulatory milestones, of which $35.0 million has been received and recognized as revenue as of June 30, 2024. We may also be eligible to receive approximately ¥8.5 billion for commercialization milestones, or approximately $52.8 million at the currency exchange rate on June 30, 2024, as well as reimbursement of costs plus a reasonable overhead for the supply of product and royalties on net sales throughout the term of the agreement.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royalties and commercial milestone payments we may receive under the 2017 Kyowa Kirin Agreement are remitted to HealthCare Royalty Partners IV, L.P. (HCR) upon receipt pursuant to a Royalty and Sales Milestone Interest Acquisition Agreement (HCR Agreement). The variable consideration related to the remaining milestone payments was fully constrained at June 30, 2024. </w:t>
      </w:r>
    </w:p>
    <w:p>
      <w:pPr>
        <w:pStyle w:val="TextBody"/>
        <w:bidi w:val="0"/>
        <w:spacing w:lineRule="auto" w:line="288" w:before="240" w:after="283"/>
        <w:jc w:val="both"/>
        <w:rPr/>
      </w:pPr>
      <w:r>
        <w:rPr>
          <w:rFonts w:ascii="Times New Roman;sans-serif" w:hAnsi="Times New Roman;sans-serif"/>
          <w:b w:val="false"/>
          <w:color w:val="000000"/>
          <w:sz w:val="20"/>
        </w:rPr>
        <w:t xml:space="preserve">In April 2022, we entered into a second amendment to the 2017 Kyowa Kirin Agreement (2022 Amendment). Under the terms of the 2022 Amendment, we and Kyowa Kirin agreed to a reduction in the royalty rate payable to us by Kyowa Kirin upon net sales of tenapanor for hyperphosphatemia in Japan. The royalty rate will be reduced from the high teens to low double digits for a two-year period of time following the first commercial sale in Japan, and then to mid-single digits for the remainder of the royalty term.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commercial milestones and royalties we may receive under the 2017 Kyowa Kirin Agreement will be remitted to HCR pursuant to the HCR Agreement. As consideration for the reduction in the royalty rate, Kyowa Kirin agreed to pay us up to an additional $40.0 million payable in two tranches, with the first payment due following Kyowa Kirin's filing with the Japanese Ministry of Health, Labour and Welfare (MHLW) of its application for marketing approval for tenapanor and the second payment due following Kyowa Kirin’s receipt of regulatory approval to market tenapanor for hyperphosphatemia in Japan, both of which occurred as of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that Kyowa Kirin submitted a New Drug Application (NDA) to the Japanese MHLW for tenapanor for the improvement of hyperphosphatemia in adult patients with CKD on dialysis, which resulted in payment to us from Kyowa Kirin for an aggregate of $35.0 million for milestone payments and payments under the 2022 Amendment. We received these payments during the fourth quarter of 2022 and recorded them as licensing revenue on our condensed statement of operations and comprehensive loss.</w:t>
      </w:r>
    </w:p>
    <w:p>
      <w:pPr>
        <w:pStyle w:val="TextBody"/>
        <w:bidi w:val="0"/>
        <w:spacing w:lineRule="auto" w:line="288" w:before="240" w:after="283"/>
        <w:jc w:val="both"/>
        <w:rPr/>
      </w:pPr>
      <w:r>
        <w:rPr>
          <w:rFonts w:ascii="Times New Roman;sans-serif" w:hAnsi="Times New Roman;sans-serif"/>
          <w:b w:val="false"/>
          <w:color w:val="000000"/>
          <w:sz w:val="20"/>
        </w:rPr>
        <w:t>In September 2023, we announced that Kyowa Kirin received approval from the Japanese MHLW for the NDA for tenapanor for the improvement of hyperphosphatemia in adult patients with CKD on dialysis, which resulted in payment to us from Kyowa Kirin for an aggregate of $30.0 million for milestone payments and payments under the 2022 Amendment. We received these payments in October 2023 and recorded them as licensing revenue on our condensed statement of operations and comprehensive loss when earned during the three months ended September 30, 2023. 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 patients in Japan. During the three and six months ended June 30, 2024, we recognized $0.6 million and $1.0 million, respectively, of non-cash royalty revenue related to the sale of future royalties which we remit to HCR upon receipt in accordance with the HCR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we recognized $13 thousand and $2.1 million, respectively, of product supply revenue pursuant to the 2017 Kyowa Kirin Agreement. During the three and six months ended June 30, 2023, we recognized $3.3 million of product supply revenue pursuant to the 2017 Kyowa Kirin Agreement.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Shanghai Fosun Pharmaceutical Industrial Development Co. Ltd. (Fosun Pharma)</w:t>
      </w:r>
    </w:p>
    <w:p>
      <w:pPr>
        <w:pStyle w:val="TextBody"/>
        <w:bidi w:val="0"/>
        <w:spacing w:lineRule="auto" w:line="288" w:before="240" w:after="283"/>
        <w:jc w:val="both"/>
        <w:rPr/>
      </w:pPr>
      <w:r>
        <w:rPr>
          <w:rFonts w:ascii="Times New Roman;sans-serif" w:hAnsi="Times New Roman;sans-serif"/>
          <w:b w:val="false"/>
          <w:color w:val="000000"/>
          <w:sz w:val="20"/>
        </w:rPr>
        <w:t>In December 2017, we entered into an exclusive license agreement with Fosun Pharma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w:t>
      </w:r>
      <w:r>
        <w:rPr>
          <w:color w:val="000000"/>
        </w:rPr>
        <w:t xml:space="preserve"> </w:t>
      </w:r>
      <w:r>
        <w:rPr>
          <w:rFonts w:ascii="Times New Roman;sans-serif" w:hAnsi="Times New Roman;sans-serif"/>
          <w:b w:val="false"/>
          <w:color w:val="000000"/>
          <w:sz w:val="20"/>
        </w:rPr>
        <w:t xml:space="preserve">$12.0 million in upfront license fees which was recognized as revenue when the agreement was executed. Based on our assessment, we determined that the license and the manufacturing supply services represented the material performance obligations at the inception of the agreement and, as such, each of the performance obligations are distinct. </w:t>
      </w:r>
    </w:p>
    <w:p>
      <w:pPr>
        <w:pStyle w:val="TextBody"/>
        <w:bidi w:val="0"/>
        <w:spacing w:lineRule="auto" w:line="288" w:before="240" w:after="283"/>
        <w:jc w:val="both"/>
        <w:rPr/>
      </w:pPr>
      <w:r>
        <w:rPr>
          <w:rFonts w:ascii="Times New Roman;sans-serif" w:hAnsi="Times New Roman;sans-serif"/>
          <w:b w:val="false"/>
          <w:color w:val="000000"/>
          <w:sz w:val="20"/>
        </w:rPr>
        <w:t>We may be entitled to receive development and commercialization milestones of up to</w:t>
      </w:r>
      <w:r>
        <w:rPr>
          <w:color w:val="000000"/>
        </w:rPr>
        <w:t xml:space="preserve"> </w:t>
      </w:r>
      <w:r>
        <w:rPr>
          <w:rFonts w:ascii="Times New Roman;sans-serif" w:hAnsi="Times New Roman;sans-serif"/>
          <w:b w:val="false"/>
          <w:color w:val="000000"/>
          <w:sz w:val="20"/>
        </w:rPr>
        <w:t>$113.0 million, of which $8.0 million has been received and recognized as revenue as of June 30, 2024, as well as reimbursement of cost plus a reasonable overhead for the supply of product and tiered royalties on net sales ranging from the mid-teens to</w:t>
      </w:r>
      <w:r>
        <w:rPr>
          <w:color w:val="000000"/>
        </w:rPr>
        <w:t xml:space="preserve"> </w:t>
      </w:r>
      <w:r>
        <w:rPr>
          <w:rFonts w:ascii="Times New Roman;sans-serif" w:hAnsi="Times New Roman;sans-serif"/>
          <w:b w:val="false"/>
          <w:color w:val="000000"/>
          <w:sz w:val="20"/>
        </w:rPr>
        <w:t>20%. The variable consideration related to the remaining development milestone payments was fully constrained at June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we announced that an NDA for tenapanor had been accepted for review by China’s Center for Drug Evaluation of the National Medical Products Administration (NMPA) for the control of serum phosphorus in adult patients with CKD on hemodialysis. This acceptance triggered a $2.0 million milestone payment to us under the terms of the Fosun Agreement. We received this payment during the third quarter of 2023 and recorded it as licensing revenue on our condensed statement of operations and comprehensive loss when earned during the three months ended September 30, 2023. In October 2023, we announced that the U.S. FDA had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was received during the first quarter of 2024. Also, in October 2023, we announced that Fosun Pharma received approval from the Hong Kong Department of Health for the marketing application for tenapanor for the treatment of irritable bowel syndrome with constipation (IBS-C).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and 2023, we did not recognize a material amount of revenue pursuant to the Fosun Agreement.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Knight Therapeutics, Inc. (Knight)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we entered into an exclusive license agreement with Knight Therapeutics, Inc., (Knight Agreement) for the development, commercialization and distribution of tenapanor in Canada for hyperphosphatemia and IBS-C. We assessed this arrangement in accordance with ASC 606 and concluded that the contract counterparty, Knight, is a customer. Based on our assessment, we determined that the license and the manufacturing supply services were the material performance obligations at the inception of the agreement and, as such, each of the performance obligations are distinct.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Under the terms of the Knight Agreement, we received a</w:t>
      </w:r>
      <w:r>
        <w:rPr>
          <w:color w:val="000000"/>
        </w:rPr>
        <w:t xml:space="preserve"> </w:t>
      </w:r>
      <w:r>
        <w:rPr>
          <w:rFonts w:ascii="Times New Roman;sans-serif" w:hAnsi="Times New Roman;sans-serif"/>
          <w:b w:val="false"/>
          <w:color w:val="000000"/>
          <w:sz w:val="20"/>
        </w:rPr>
        <w:t>$2.3 million non-refundable, one-time upfront payment in March 2018 and may be eligible to receive additional development and commercialization milestone payments worth up to CAD 22.2 million, or approximately $16.2 million at the currency exchange rate on June 30, 2024, of which $0.7 million has been received and recognized as revenue as of June 30, 2024. We are also eligible to receive royalties ranging from the mid-single digits to the low twenties throughout the term of the agreement, and a transfer price for manufacturing services.</w:t>
      </w:r>
      <w:r>
        <w:rPr>
          <w:color w:val="000000"/>
        </w:rPr>
        <w:t xml:space="preserve"> </w:t>
      </w:r>
      <w:r>
        <w:rPr>
          <w:rFonts w:ascii="Times New Roman;sans-serif" w:hAnsi="Times New Roman;sans-serif"/>
          <w:b w:val="false"/>
          <w:color w:val="000000"/>
          <w:sz w:val="20"/>
        </w:rPr>
        <w:t>The variable consideration related to the remaining development milestone payments was fully constrained at June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and 2023, we did not recognize a material amount of revenue pursuant to the Knight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AstraZeneca AB (AstraZeneca)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2015, we entered into a termination agreement with AstraZeneca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other NHE3 products, up to a maximum of $75.0 million in aggregate for (i) and (ii). As of June 30, 2024, to date in aggregate, we have recognized $40.2 million of the $75.0 million, which has been recorded as other cost of revenue on our condensed statements of operations and comprehensive loss. During the three and six months ended June 30, 2024, we recognized $7.9 million and $12.6 million, respectively, as other cost of revenue related to the AstraZeneca Termination Agreement. During the three and six months ended June 30, 2023 we recognized $1.9 million and $3.0 million, respectively, as other cost of revenue related to the AstraZeneca Termination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changes in our current and non-current deferred revenue balances during the reporting period, which are all attributable to the 2017 Kyowa Kirin Agreement (in thousands):</w:t>
      </w:r>
    </w:p>
    <w:tbl>
      <w:tblPr>
        <w:tblW w:w="10205" w:type="dxa"/>
        <w:jc w:val="left"/>
        <w:tblInd w:w="0" w:type="dxa"/>
        <w:tblLayout w:type="fixed"/>
        <w:tblCellMar>
          <w:top w:w="28" w:type="dxa"/>
          <w:left w:w="28" w:type="dxa"/>
          <w:bottom w:w="28" w:type="dxa"/>
          <w:right w:w="28" w:type="dxa"/>
        </w:tblCellMar>
      </w:tblPr>
      <w:tblGrid>
        <w:gridCol w:w="1761"/>
        <w:gridCol w:w="1510"/>
        <w:gridCol w:w="1519"/>
        <w:gridCol w:w="384"/>
        <w:gridCol w:w="336"/>
        <w:gridCol w:w="340"/>
        <w:gridCol w:w="109"/>
        <w:gridCol w:w="109"/>
        <w:gridCol w:w="109"/>
        <w:gridCol w:w="583"/>
        <w:gridCol w:w="301"/>
        <w:gridCol w:w="302"/>
        <w:gridCol w:w="109"/>
        <w:gridCol w:w="109"/>
        <w:gridCol w:w="109"/>
        <w:gridCol w:w="384"/>
        <w:gridCol w:w="284"/>
        <w:gridCol w:w="287"/>
        <w:gridCol w:w="109"/>
        <w:gridCol w:w="109"/>
        <w:gridCol w:w="109"/>
        <w:gridCol w:w="547"/>
        <w:gridCol w:w="283"/>
        <w:gridCol w:w="403"/>
      </w:tblGrid>
      <w:tr>
        <w:trPr/>
        <w:tc>
          <w:tcPr>
            <w:tcW w:w="176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Non-Current</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w:t>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invoiced as prepayments for product supply</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for revenue recognized for product supply</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Reclassify amounts to be recognized in the next twelve months</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w:t>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DEFERRED ROYALTY OBLIGATION RELATED TO THE SALE OF FUTURE ROYALTIES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and HealthCare Royalty Partners IV, L.P. (HCR) entered into a Royalty and Sales Milestone Interest Acquisition Agreement (HCR Agreement). Under the terms of the HCR Agreement, HCR has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consideration for the sale of the Royalty Interest Payments, HCR paid to us a $10.0 million upfront payment in June 2022 and a $5.0 million payment, which we received in October 2023, as a result of Kyowa Kirin's receipt of regulatory approval to market tenapanor for hyperphosphatemia in Japan. We are eligible to receive another $5.0 million payment in the event net sales by Kyowa Kirin in Japan exceed a certain annual target level by the end of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Kyowa Kirin Agreement, to create or incur any liens with respect to the Royalty Interest Payments, the 2017 Kyowa Kirin Agreement or certain patents, or to sell, license or transfer certain patents in the field and territory described in the 2017 Kyowa Kirin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Kyowa Kirin Agreement in any manner which is likely to cause a material adverse effect on the Royalty Interest Payments, the occurrence of a termination of the 2017 Kyowa Kirin Agreement under certain circumstances or we or our assets become subject to certain legal proceedings, such as bankruptcy proceedings, or we are unable to pay our debts as they become due.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$10.0 million upfront payment from HCR received in June 2022 and the $5.0 million payment received in October 2023 have been recorded as a deferred royalty obligation related to the sale of future royalties (deferred royalty obligation) on our balance sheets. Due to our ongoing manufacturing obligations under the 2017 Kyowa Kirin Agreement, we account for the proceeds as imputed debt and therefore will recognize royalties earned under the arrangement as non-cash royalty revenue. Non-cash interest expense will be recognized over the life of the HCR Agreement using the effective interest method based on the imputed interest rate derived from estimated amounts and timing of future royalty payments to be received from Kyowa Kirin. As part of the sale, we incurred approximately $0.4 million in transaction costs, which, along with the deferred royalty obligation, are being amortized to non-cash interest expense over the estimated life of the HCR Agreement using the effective interest method. As future royalties are remitted to us by Kyowa Kirin, and subsequently from us to HCR, the balance of the deferred royalty obligation will be effectively repaid over the life of the HCR Agreement. There are a number of factors that could materially affect the fair value of the deferred royalty obligation. Such factors include, but are not limited to, the amount and timing of potential future royalty payments to be received from Kyowa Kirin under the 2017 Kyowa Kirin agreement, changing standards of care, the introduction of competing products, manufacturing or other delays, intellectual property matters, adverse events that result in governmental health authority imposed restrictions on the use of the drug products, significant changes in foreign exchange rates as the royalties remitted to HCR are made in U.S. dollars while the underlying sales of the products by Kyowa Kirin are made in Japanese yen, and other events or circumstances that could result in reduced royalty payments from Kyowa Kirin, which are not within our control, and all of which would result in a reduction of non-cash royalty revenues and the non-cash interest expense over the life of the deferred royalty obligation. We periodically assess the estimated royalty payments from Kyowa Kirin and, to the extent that the amount or timing of such payments is materially different than our original estimates, we prospectively adjust the imputed interest rate and the related amortization of the deferred royalty obligation. As of June 30, 2024, our effective interest rate used to amortize the liability is 28.8%. During the three and six months ended June 30, 2024, we recognized $1.6 million and $3.3 million, respectively, of non-cash interest expense related to the deferred royalty obligation. During the three and six months ended June 30, 2023, we recognized $1.0 million and $1.9 million, respectively, of non-cash interest expense related to the deferred royalty obligation. As of June 30, 2024, we have received $0.4 million royalty payments from Kyowa Kirin and the deferred royalty obligation has been reduced accordingly.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8. BORROWING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Solar Capital and Western Alliance Bank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2018, we entered into a loan and security agreement (as amended on October 9, 2020, March 1, 2021, May 5, 2021, and July 29, 2021) (2018 Loan Agreement) with Solar Capital Ltd. and Western Alliance Bank (collectively, the 2018 Lenders). The 2018 Loan Agreement provided for a loan facility for up to $50.0 million with a maturity date of November 1, 2022 (2018 Loan). As of the Closing Date for the 2022 Loan, as discussed below, we owed $25.0 million in principal payments from the 2018 Loan, which we repaid in full at that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in connection with entering into the 2018 Loan Agreement, we entered into an agreement pursuant to which we agreed to pay $1.5 million in cash upon the occurrence of certain conditions (2018 Exit Fee). Our obligations for the 2018 Exit Fee remained outstanding following the full repayment of the 2018 Loan in February 2022 until October 2023 when we received approval from the U.S. FDA for XPHOZAH to reduce serum phosphorus in adults with CKD on dialysis as add-on therapy in patients who have an inadequate response to phosphate binders or who are intolerant of any dose of phosphate binder therapy. This triggered our obligation to pay the 2018 Exit Fee to the 2018 Lenders and we subsequently paid the 2018 Exit Fee in October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SLR Investment Corp.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2022 (Closing Date), we entered into a loan and security agreement (2022 Loan Agreement) with SLR Investment Corp. as collateral agent (Agent), and the lenders listed in the 2022 Loan Agreement (collectively, the 2022 Lenders). The 2022 Loan Agreement was subsequently amended in August 2022 (the First Amendment) and February 2023 (the Second Amendment). We concluded that the First Amendment and the Second Amendment were modifications to the 2022 Loan Agreement. The 2022 Loan Agreement, as amended by the First Amendment and the Second Amendment, provided for a senior secured loan facility, with $27.5 million (Term A Loan) funded on the Closing Date and an additional $22.5 million which was funded upon our election in October 2023 (Term B Loan, and together with the Term A Loan, the 2022 Original Loans). The 2022 Term A Loan funds were used to repay the 2018 Loan with the 2018 Lenders.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2023, we entered into a Third Amendment (the Third Amendment) to the 2022 Loan Agreement by and between us and the 2022 Lenders. The Third Amendment, among other things, (1) provided us with the option to draw an additional $50.0 million of committed capital by March 15, 2024 (the Term C Loan) provided we have drawn the Term B Loan; and (2) provides us with the option to draw up to an additional $50.0 million of uncommitted capital by December 31, 2026, subject to approval by the Agent’s investment committee (the Term D Loan and together with the Term A, B, and C Loans, the Four 2022 Loans). In February 2024, we provided the Agent with notice of our decision to draw the Term C Loan to support the commercial launch of XPHOZAH and received the proceeds of the Term C Loan in March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concluded that the Third Amendment was a modification to the 2022 Original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Third Amendment, the maturity date for the Four 2022 Loans is March 1, 2027. The interest rate for each of the Term A Loan and the Term B Loan is 7.95% plus a SOFR value equal to 0.022% plus the 1-month CME Term SOFR reference rate as published by the CME Term SOFR Administrator on the CME Term SOFR Administrator’s Website, subject to a SOFR floor of one percent. The interest rate for each of the Term C Loan and the Term D Loan is 4.25% plus a SOFR value equal to 0.022% plus the 1-month CME Term SOFR reference rate as published by the CME Term SOFR Administrator on the CME Term SOFR Administrator’s Website, subject to a SOFR floor of 4.7%.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Third Amendment, the period under which we are permitted to make interest-only payments on the Four 2022 Loans was extended to December 31, 2026, effective upon our decision to draw the Term B Loan in the amount of $22.5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obligated to pay $0.2 million, upon the closing of the Term A Loan, $0.1 million on the funding date of the Term B Loan, and $0.3 million on the funding date of the Term C Loan. In addition, we will be obligated to pay 0.5% of the aggregate original principal amount of the Term D Loan commitment, if requested by us and approved by the Agent’s investment committee, which shall be due on the earliest of (1) the funding of the Term D Loan, (2) if we request and the 2022 Lenders provide the Term D Loan commitment, the day immediately preceding the amortization date, and (3) if we request and the 2022 Lenders provide the Term D Loan commitment, the prepayment, refinancing, substitution or replacement of the Term C Loan on or prior to the date immediately preceding the amortization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obligated to pay a final fee equal to 4.95% of the aggregate original principal amount of the Four 2022 Loans, to the extent such loans are funded, upon the earliest to occur of the maturity date, the acceleration of the Four 2022 Loans, and the prepayment, refinancing, substitution, or replacement of the Four 2022 Loans.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may voluntarily prepay all amounts outstanding under the Four 2022 Loans, subject to a prepayment premium of (i) 3% of the outstanding principal amount of the Four 2022 Loans if prepaid prior to or on October 17, 2024, (ii) 2% of the outstanding principal amount of the Four 2022 Loans if prepaid after October 17, 2024 through and including October 17, 2025, or (iii) 1% of the outstanding principal amount of the Four 2022 Loans if prepaid after October 17, 2025 and prior to the maturity date. The Four 2022 Loans are secured by substantially all of our assets, except for our intellectual property and certain other customary exclusions. Additionally, as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in connection with the 2022 Original Loans, we entered into an agreement whereby we agreed to pay an exit fee in the amount of 2% of the 2022 Original Loans funded (2022 Exit Fee). Notwithstanding the prepayment or termination of the 2022 Loan, the 2022 Exit Fee will expire 10 years from the Closing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2022 Loan Agreement, as amended,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cash equivalents and available-for-sale investments to be less than the eighty percent (80%) of the outstanding Four 2022 Term Loan balance for any period in which our net revenue from the sale of any products, calculated on a trailing six (6) month basis and tested monthly, is less than sixty percent (60%) of the outstanding Four 2022 Loan balance.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2022 Loan Agreement, as amended, contains customary events of default that entitle the Agent to cause our indebtedness under the 2022 Loan Agreement to become immediately due and payable, and to exercise remedies against us and the collateral securing the Four 2022 Term Loans,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Original Loan balance as a non-current liability as of June 30, 2024 due to principal repayments beginning in January 2027. We have concluded that the provisions that could cause acceleration of the principal repayments are remote.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future payment obligations related to the 2022 Loan, excluding interest payments and the 2022 final fee, were as follows (in thousands):</w:t>
      </w:r>
    </w:p>
    <w:p>
      <w:pPr>
        <w:pStyle w:val="TextBody"/>
        <w:bidi w:val="0"/>
        <w:spacing w:before="0" w:after="0"/>
        <w:jc w:val="both"/>
        <w:rPr/>
      </w:pPr>
      <w:r>
        <w:rPr/>
      </w:r>
    </w:p>
    <w:tbl>
      <w:tblPr>
        <w:tblW w:w="5510" w:type="dxa"/>
        <w:jc w:val="left"/>
        <w:tblInd w:w="0" w:type="dxa"/>
        <w:tblLayout w:type="fixed"/>
        <w:tblCellMar>
          <w:top w:w="28" w:type="dxa"/>
          <w:left w:w="28" w:type="dxa"/>
          <w:bottom w:w="28" w:type="dxa"/>
          <w:right w:w="28" w:type="dxa"/>
        </w:tblCellMar>
      </w:tblPr>
      <w:tblGrid>
        <w:gridCol w:w="1566"/>
        <w:gridCol w:w="1372"/>
        <w:gridCol w:w="1381"/>
        <w:gridCol w:w="211"/>
        <w:gridCol w:w="826"/>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repayment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Unaccreted value of final fee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DERIVATIVE LIABILITIES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2018 Exit Fee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in connection with entering into the 2018 Loan Agreement, we entered into an agreement pursuant to which we agreed to pay $1.5 million in cash (2018 Exit Fee) upon any change of control transaction in respect of the Company or if we obtain both (i) U.S. FDA approval of XPHOZAH and (ii) U.S. FDA approval of IBSRELA, which was obtained on September 12, 2019 (2018 Exit Fee Agreement). Notwithstanding the February 2022 prepayment of the 2018 Loan, our obligation to pay the 2018 Exit Fee would have expired on May 16, 2028. We concluded that the 2018 Exit Fee was a freestanding derivative which was recorded at fair value as a derivative liability included in accrued expense and other current liabilities on the condensed balance sheets.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received approval from the U.S. FDA for XPHOZAH to reduce serum phosphorus in adults with chronic kidney disease (CKD) on dialysis as add-on therapy in patients who have an inadequate response to phosphate binders or who are intolerant of any dose of phosphate binder therapy. This triggered our obligation to pay the 2018 Exit Fee to the 2018 Lenders, which we paid in October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2022 Exit Fee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in connection with entering into the 2022 Original Loans, we entered into an agreement, whereby we agreed to pay an exit fee in the amount of 2% of the 2022 Original Loan funded (2022 Exit Fee) upon (i) any change of control transaction or (ii) our achievement of net revenue from the sale of any products equal to or greater than $100.0 million, measured on a six (6) months basis (Revenue Milestone), tested monthly at the end of each month. The Term C and Term D Loans do not result in payment of an additional exit fee.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 During the three months ended June 30, 2024, we achieved the Revenue Milestone and therefore expect to pay the $1.0 million 2022 Exit Fee to the Agent. As of June 30, 2024 and December 31, 2023, the estimated fair value of the 2022 Exit Fee was $1.0 million and $0.7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derivative liability was determined using a discounted cash flow analysis and was classified as a Level 3 measurement within the fair value hierarchy since our valuation utilized significant unobservable inputs prior to June 30, 2024. Specifically, the key assumptions included in the calculation of the estimated fair value of the 2022 Exit Fee derivative liability included: (i) our estimates of both the probability and timing of achieving the Revenue Milestone and (ii) the probability and timing of funding the Term B Loan, which was dependent upon (a) approval by the U.S. FDA for our NDA for the control of serum phosphorus in adult patients with CKD on dialysis by November 30, 2023, and (b) achievement of certain product revenue milestone targets. As of June 30, 2024, uncertainty around all of the noted valuation estimates had been removed, as the Term B Loan had been funded, the U.S. FDA had approved our NDA for the control of serum phosphorus in adult patients with CKD on dialysis prior to November 30, 2023, and we had achieved the Revenue Milestone.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recurring measurements are presented as other income, net in our condensed statements of operations and comprehensive loss and were as follows for the six months ended June 30, 2024 and 2023 (in thousands):</w:t>
      </w:r>
    </w:p>
    <w:tbl>
      <w:tblPr>
        <w:tblW w:w="6789" w:type="dxa"/>
        <w:jc w:val="left"/>
        <w:tblInd w:w="0" w:type="dxa"/>
        <w:tblLayout w:type="fixed"/>
        <w:tblCellMar>
          <w:top w:w="28" w:type="dxa"/>
          <w:left w:w="28" w:type="dxa"/>
          <w:bottom w:w="28" w:type="dxa"/>
          <w:right w:w="28" w:type="dxa"/>
        </w:tblCellMar>
      </w:tblPr>
      <w:tblGrid>
        <w:gridCol w:w="1643"/>
        <w:gridCol w:w="1446"/>
        <w:gridCol w:w="1456"/>
        <w:gridCol w:w="211"/>
        <w:gridCol w:w="616"/>
        <w:gridCol w:w="109"/>
        <w:gridCol w:w="109"/>
        <w:gridCol w:w="109"/>
        <w:gridCol w:w="109"/>
        <w:gridCol w:w="211"/>
        <w:gridCol w:w="61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exit fee derivative liabilities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estimated fair value: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Exit Fee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Exit Fee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exit fee derivative liabilities at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details of our facility leases presented in our condensed balance sheets (dollars in thousands):</w:t>
      </w:r>
    </w:p>
    <w:tbl>
      <w:tblPr>
        <w:tblW w:w="7270" w:type="dxa"/>
        <w:jc w:val="left"/>
        <w:tblInd w:w="0" w:type="dxa"/>
        <w:tblLayout w:type="fixed"/>
        <w:tblCellMar>
          <w:top w:w="28" w:type="dxa"/>
          <w:left w:w="28" w:type="dxa"/>
          <w:bottom w:w="28" w:type="dxa"/>
          <w:right w:w="28" w:type="dxa"/>
        </w:tblCellMar>
      </w:tblPr>
      <w:tblGrid>
        <w:gridCol w:w="1409"/>
        <w:gridCol w:w="1240"/>
        <w:gridCol w:w="1250"/>
        <w:gridCol w:w="455"/>
        <w:gridCol w:w="235"/>
        <w:gridCol w:w="585"/>
        <w:gridCol w:w="109"/>
        <w:gridCol w:w="109"/>
        <w:gridCol w:w="109"/>
        <w:gridCol w:w="586"/>
        <w:gridCol w:w="302"/>
        <w:gridCol w:w="881"/>
      </w:tblGrid>
      <w:tr>
        <w:trPr/>
        <w:tc>
          <w:tcPr>
            <w:tcW w:w="140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Facilities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life (years)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 costs, which are included in operating expenses in our condensed statements of operations and comprehensive loss, were as follows (in thousands):</w:t>
      </w:r>
    </w:p>
    <w:tbl>
      <w:tblPr>
        <w:tblW w:w="7852" w:type="dxa"/>
        <w:jc w:val="left"/>
        <w:tblInd w:w="0" w:type="dxa"/>
        <w:tblLayout w:type="fixed"/>
        <w:tblCellMar>
          <w:top w:w="28" w:type="dxa"/>
          <w:left w:w="28" w:type="dxa"/>
          <w:bottom w:w="28" w:type="dxa"/>
          <w:right w:w="28" w:type="dxa"/>
        </w:tblCellMar>
      </w:tblPr>
      <w:tblGrid>
        <w:gridCol w:w="896"/>
        <w:gridCol w:w="787"/>
        <w:gridCol w:w="792"/>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undiscounted cash payment obligations for our operating lease liabilities as of June 30, 2024 (in thousands):</w:t>
      </w:r>
    </w:p>
    <w:tbl>
      <w:tblPr>
        <w:tblW w:w="5015" w:type="dxa"/>
        <w:jc w:val="left"/>
        <w:tblInd w:w="0" w:type="dxa"/>
        <w:tblLayout w:type="fixed"/>
        <w:tblCellMar>
          <w:top w:w="28" w:type="dxa"/>
          <w:left w:w="28" w:type="dxa"/>
          <w:bottom w:w="28" w:type="dxa"/>
          <w:right w:w="28" w:type="dxa"/>
        </w:tblCellMar>
      </w:tblPr>
      <w:tblGrid>
        <w:gridCol w:w="1460"/>
        <w:gridCol w:w="1282"/>
        <w:gridCol w:w="1292"/>
        <w:gridCol w:w="211"/>
        <w:gridCol w:w="61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Imputed interest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STOCKHOLDERS’ EQUITY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Agreements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2020, we filed a Form S-3 registration statement, which became effective in August 2020 (2020 Registration Statement). In August 2021, we filed a prospectus supplement under the 2020 Registration Statement for the offering, issuance and sale by us of up to a maximum aggregate offering price of $150.0 million of our common stock that may be issued and sold, from time to time, under a sales agreement (2021 Open Market Sales Agreement) we entered into with Jefferies LLC (Jefferies), pursuant to which we may, from time to time, sell up to $150.0 million in shares of our common stock through Jefferies. Pursuant to the 2021 Open Market Sales Agreement, Jefferies, as our sales agent, receives a commission of up to 3.0% of the gross sales price for shares of common stock sold under the 2021 Open Market Sales Agreement. As of March 2023, we had received the maximum gross proceeds of $150.0 million under the 2021 Open Market Sales Agreement at a weighted average share price of approximately $1.57 per share, which included 15.5 million shares of our common stock for which we received gross proceeds of $51.9 million at a weighted average share price of approximately $3.35 during the quarter ended March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six months ended June 30, 2024 we completed no sales pursuant to the 2023 Open Market Sales Agreement. As of June 30, 2024, we have sold 16.8 million shares of our common stock and received gross proceeds of $70.0 million at a weighted average sales price of approximately $4.17 per share under the 2023 Open Market Sales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EQUITY INCENTIVE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for stock options, restricted stock units (RSUs), and our employee stock purchase program (ESPP) are recorded as operating expenses in our condensed statements of operations and comprehensive loss, as follows (in thousands):</w:t>
      </w:r>
    </w:p>
    <w:tbl>
      <w:tblPr>
        <w:tblW w:w="8331" w:type="dxa"/>
        <w:jc w:val="left"/>
        <w:tblInd w:w="0" w:type="dxa"/>
        <w:tblLayout w:type="fixed"/>
        <w:tblCellMar>
          <w:top w:w="28" w:type="dxa"/>
          <w:left w:w="28" w:type="dxa"/>
          <w:bottom w:w="28" w:type="dxa"/>
          <w:right w:w="28" w:type="dxa"/>
        </w:tblCellMar>
      </w:tblPr>
      <w:tblGrid>
        <w:gridCol w:w="1071"/>
        <w:gridCol w:w="941"/>
        <w:gridCol w:w="943"/>
        <w:gridCol w:w="240"/>
        <w:gridCol w:w="821"/>
        <w:gridCol w:w="124"/>
        <w:gridCol w:w="124"/>
        <w:gridCol w:w="124"/>
        <w:gridCol w:w="124"/>
        <w:gridCol w:w="240"/>
        <w:gridCol w:w="702"/>
        <w:gridCol w:w="124"/>
        <w:gridCol w:w="109"/>
        <w:gridCol w:w="109"/>
        <w:gridCol w:w="109"/>
        <w:gridCol w:w="218"/>
        <w:gridCol w:w="746"/>
        <w:gridCol w:w="112"/>
        <w:gridCol w:w="112"/>
        <w:gridCol w:w="112"/>
        <w:gridCol w:w="112"/>
        <w:gridCol w:w="218"/>
        <w:gridCol w:w="637"/>
        <w:gridCol w:w="159"/>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total unrecognized stock-based compensation expense, net of estimated forfeitures, and average remaining vesting period, included the following (dollars in thousands):</w:t>
      </w:r>
    </w:p>
    <w:tbl>
      <w:tblPr>
        <w:tblW w:w="9115" w:type="dxa"/>
        <w:jc w:val="left"/>
        <w:tblInd w:w="0" w:type="dxa"/>
        <w:tblLayout w:type="fixed"/>
        <w:tblCellMar>
          <w:top w:w="28" w:type="dxa"/>
          <w:left w:w="28" w:type="dxa"/>
          <w:bottom w:w="28" w:type="dxa"/>
          <w:right w:w="28" w:type="dxa"/>
        </w:tblCellMar>
      </w:tblPr>
      <w:tblGrid>
        <w:gridCol w:w="618"/>
        <w:gridCol w:w="543"/>
        <w:gridCol w:w="548"/>
        <w:gridCol w:w="664"/>
        <w:gridCol w:w="2273"/>
        <w:gridCol w:w="348"/>
        <w:gridCol w:w="109"/>
        <w:gridCol w:w="109"/>
        <w:gridCol w:w="109"/>
        <w:gridCol w:w="1109"/>
        <w:gridCol w:w="1109"/>
        <w:gridCol w:w="1576"/>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Remaining Vesting Period (Years)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grants</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grants</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50,934 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and related information for the six months ended June 30, 2024 is as follows (in thousands, except dollar amounts):</w:t>
      </w:r>
    </w:p>
    <w:tbl>
      <w:tblPr>
        <w:tblW w:w="6283" w:type="dxa"/>
        <w:jc w:val="left"/>
        <w:tblInd w:w="0" w:type="dxa"/>
        <w:tblLayout w:type="fixed"/>
        <w:tblCellMar>
          <w:top w:w="28" w:type="dxa"/>
          <w:left w:w="28" w:type="dxa"/>
          <w:bottom w:w="28" w:type="dxa"/>
          <w:right w:w="28" w:type="dxa"/>
        </w:tblCellMar>
      </w:tblPr>
      <w:tblGrid>
        <w:gridCol w:w="939"/>
        <w:gridCol w:w="825"/>
        <w:gridCol w:w="830"/>
        <w:gridCol w:w="540"/>
        <w:gridCol w:w="540"/>
        <w:gridCol w:w="541"/>
        <w:gridCol w:w="109"/>
        <w:gridCol w:w="109"/>
        <w:gridCol w:w="109"/>
        <w:gridCol w:w="419"/>
        <w:gridCol w:w="1015"/>
        <w:gridCol w:w="307"/>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per</w:t>
              <w:br/>
              <w:t>Share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22,168 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27,767 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June 30, 2024</w:t>
            </w:r>
          </w:p>
        </w:tc>
        <w:tc>
          <w:tcPr>
            <w:tcW w:w="1080"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13,276 </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30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RSUs activity and related information for the six months ended June 30, 2024 is as follows (in thousands, except dollar amounts):</w:t>
      </w:r>
    </w:p>
    <w:tbl>
      <w:tblPr>
        <w:tblW w:w="7683" w:type="dxa"/>
        <w:jc w:val="left"/>
        <w:tblInd w:w="0" w:type="dxa"/>
        <w:tblLayout w:type="fixed"/>
        <w:tblCellMar>
          <w:top w:w="28" w:type="dxa"/>
          <w:left w:w="28" w:type="dxa"/>
          <w:bottom w:w="28" w:type="dxa"/>
          <w:right w:w="28" w:type="dxa"/>
        </w:tblCellMar>
      </w:tblPr>
      <w:tblGrid>
        <w:gridCol w:w="1664"/>
        <w:gridCol w:w="1458"/>
        <w:gridCol w:w="1467"/>
        <w:gridCol w:w="345"/>
        <w:gridCol w:w="345"/>
        <w:gridCol w:w="336"/>
        <w:gridCol w:w="109"/>
        <w:gridCol w:w="109"/>
        <w:gridCol w:w="109"/>
        <w:gridCol w:w="419"/>
        <w:gridCol w:w="1015"/>
        <w:gridCol w:w="307"/>
      </w:tblGrid>
      <w:tr>
        <w:trPr/>
        <w:tc>
          <w:tcPr>
            <w:tcW w:w="166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 Date Fair</w:t>
              <w:br/>
              <w:t>Value Per Share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December 31, 2023</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June 30, 2024</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sold approximately 0.3 million shares of our common stock under the ESPP. The shares were purchased by employees at an average purchase price of $4.10 per share resulting in proceeds to us of approximately $1.0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Common Stock for Services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Amended and Restated Non-Employee Director Compensation Program, members of our board of directors may elect to receive shares of our stock in lieu of their cash fees. During the six months ended June 30, 2024, we issued 41 thousand shares of our common stock to members of the board of directors in accordance with the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13. NET LOSS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net loss by the weighted-average number of common shares outstanding during the period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six months ended June 30, 2024 and 2023, all potential common shares were determined to be anti-dilutive.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net loss per common share (in thousands, except per share amounts):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97"/>
        <w:gridCol w:w="1492"/>
        <w:gridCol w:w="1502"/>
        <w:gridCol w:w="215"/>
        <w:gridCol w:w="806"/>
        <w:gridCol w:w="110"/>
        <w:gridCol w:w="110"/>
        <w:gridCol w:w="110"/>
        <w:gridCol w:w="110"/>
        <w:gridCol w:w="215"/>
        <w:gridCol w:w="806"/>
        <w:gridCol w:w="110"/>
        <w:gridCol w:w="109"/>
        <w:gridCol w:w="109"/>
        <w:gridCol w:w="109"/>
        <w:gridCol w:w="211"/>
        <w:gridCol w:w="788"/>
        <w:gridCol w:w="109"/>
        <w:gridCol w:w="109"/>
        <w:gridCol w:w="109"/>
        <w:gridCol w:w="109"/>
        <w:gridCol w:w="211"/>
        <w:gridCol w:w="788"/>
        <w:gridCol w:w="161"/>
      </w:tblGrid>
      <w:tr>
        <w:trPr/>
        <w:tc>
          <w:tcPr>
            <w:tcW w:w="1697"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 basic and diluted</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the total numbers of securities that could potentially dilute net income per share in the future that were not considered in the diluted net loss per share calculations because the effect would have been anti-dilutive were as follows (in thousands):</w:t>
      </w:r>
    </w:p>
    <w:tbl>
      <w:tblPr>
        <w:tblW w:w="8343" w:type="dxa"/>
        <w:jc w:val="left"/>
        <w:tblInd w:w="0" w:type="dxa"/>
        <w:tblLayout w:type="fixed"/>
        <w:tblCellMar>
          <w:top w:w="28" w:type="dxa"/>
          <w:left w:w="28" w:type="dxa"/>
          <w:bottom w:w="28" w:type="dxa"/>
          <w:right w:w="28" w:type="dxa"/>
        </w:tblCellMar>
      </w:tblPr>
      <w:tblGrid>
        <w:gridCol w:w="1073"/>
        <w:gridCol w:w="946"/>
        <w:gridCol w:w="950"/>
        <w:gridCol w:w="291"/>
        <w:gridCol w:w="291"/>
        <w:gridCol w:w="291"/>
        <w:gridCol w:w="291"/>
        <w:gridCol w:w="291"/>
        <w:gridCol w:w="291"/>
        <w:gridCol w:w="291"/>
        <w:gridCol w:w="291"/>
        <w:gridCol w:w="291"/>
        <w:gridCol w:w="109"/>
        <w:gridCol w:w="109"/>
        <w:gridCol w:w="109"/>
        <w:gridCol w:w="258"/>
        <w:gridCol w:w="258"/>
        <w:gridCol w:w="258"/>
        <w:gridCol w:w="258"/>
        <w:gridCol w:w="258"/>
        <w:gridCol w:w="258"/>
        <w:gridCol w:w="258"/>
        <w:gridCol w:w="258"/>
        <w:gridCol w:w="364"/>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27,818</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ESPP shares issuable</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35,957</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34,944</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CONTINGENCIES</w:t>
      </w:r>
    </w:p>
    <w:p>
      <w:pPr>
        <w:pStyle w:val="TextBody"/>
        <w:bidi w:val="0"/>
        <w:spacing w:lineRule="auto" w:line="288" w:before="240" w:after="283"/>
        <w:jc w:val="both"/>
        <w:rPr/>
      </w:pPr>
      <w:r>
        <w:rPr>
          <w:rFonts w:ascii="Times New Roman;sans-serif" w:hAnsi="Times New Roman;sans-serif"/>
          <w:b w:val="false"/>
          <w:color w:val="000000"/>
          <w:sz w:val="20"/>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sans-serif" w:hAnsi="Times New Roman;sans-serif"/>
          <w:b w:val="false"/>
          <w:i/>
          <w:color w:val="000000"/>
          <w:sz w:val="20"/>
        </w:rPr>
        <w:t>Strezsak v. Ardelyx, Inc., et al.</w:t>
      </w:r>
      <w:r>
        <w:rPr>
          <w:rFonts w:ascii="Times New Roman;sans-serif" w:hAnsi="Times New Roman;sans-serif"/>
          <w:b w:val="false"/>
          <w:color w:val="000000"/>
          <w:sz w:val="20"/>
        </w:rPr>
        <w:t xml:space="preserve">, Case No. 4:21-cv-05868-HSG, and </w:t>
      </w:r>
      <w:r>
        <w:rPr>
          <w:rFonts w:ascii="Times New Roman;sans-serif" w:hAnsi="Times New Roman;sans-serif"/>
          <w:b w:val="false"/>
          <w:i/>
          <w:color w:val="000000"/>
          <w:sz w:val="20"/>
        </w:rPr>
        <w:t>Siegel v. Ardelyx, Inc., et al.</w:t>
      </w:r>
      <w:r>
        <w:rPr>
          <w:rFonts w:ascii="Times New Roman;sans-serif" w:hAnsi="Times New Roman;sans-serif"/>
          <w:b w:val="false"/>
          <w:color w:val="000000"/>
          <w:sz w:val="20"/>
        </w:rPr>
        <w:t>, Case No. 5:21-cv-06228-HSG (together, the Securities Class Actions). The complaints allege that the defendants violated Sections 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 second amended complaint under which the plaintiffs seek to represent all persons who purchased or otherwise acquired Ardelyx securities between March 6, 2020 and July 19, 2021. Defendants filed a motion to dismiss the amended complaint on June 2, 2023. On March 22, 2024, the court granted defendants’ motion to dismiss. The court provided plaintiffs a third opportunity to amend and plaintiffs filed a third amended complaint on April 19, 2024. Defendants filed a motion to dismiss the third amended complaint on June 3, 2024. A hearing on the motion to dismiss is currently set for October 3, 2024. We believe the plaintiff’s claims are without merit and we have not recorded any accrual for a contingent liability associated with these legal proceedings.</w:t>
      </w:r>
    </w:p>
    <w:p>
      <w:pPr>
        <w:pStyle w:val="TextBody"/>
        <w:bidi w:val="0"/>
        <w:spacing w:lineRule="auto" w:line="288" w:before="240" w:after="283"/>
        <w:jc w:val="both"/>
        <w:rPr/>
      </w:pPr>
      <w:r>
        <w:rPr>
          <w:rFonts w:ascii="Times New Roman;sans-serif" w:hAnsi="Times New Roman;sans-serif"/>
          <w:b w:val="false"/>
          <w:color w:val="000000"/>
          <w:sz w:val="20"/>
        </w:rPr>
        <w:t xml:space="preserve">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w:t>
      </w:r>
      <w:r>
        <w:rPr>
          <w:rFonts w:ascii="Times New Roman;sans-serif" w:hAnsi="Times New Roman;sans-serif"/>
          <w:b w:val="false"/>
          <w:i/>
          <w:color w:val="000000"/>
          <w:sz w:val="20"/>
        </w:rPr>
        <w:t>Go v. Raab</w:t>
      </w:r>
      <w:r>
        <w:rPr>
          <w:rFonts w:ascii="Times New Roman;sans-serif" w:hAnsi="Times New Roman;sans-serif"/>
          <w:b w:val="false"/>
          <w:color w:val="000000"/>
          <w:sz w:val="20"/>
        </w:rPr>
        <w:t xml:space="preserve">, et al., Case No. 4:21-cv-09455-HSG, and </w:t>
      </w:r>
      <w:r>
        <w:rPr>
          <w:rFonts w:ascii="Times New Roman;sans-serif" w:hAnsi="Times New Roman;sans-serif"/>
          <w:b w:val="false"/>
          <w:i/>
          <w:color w:val="000000"/>
          <w:sz w:val="20"/>
        </w:rPr>
        <w:t>Morris v. Raab</w:t>
      </w:r>
      <w:r>
        <w:rPr>
          <w:rFonts w:ascii="Times New Roman;sans-serif" w:hAnsi="Times New Roman;sans-serif"/>
          <w:b w:val="false"/>
          <w:color w:val="000000"/>
          <w:sz w:val="20"/>
        </w:rPr>
        <w:t>,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17, 2024, the Company, in partnership with the American Association of Kidney Patients (AAKP) and the National Minority Quality Forum (NMQF), filed a lawsuit in the United States District Court for the District of Columbia against the Centers for Medicare &amp; Medicaid Services (CMS), claiming that CMS has violated its statutory and regulatory authority under the Medicare Improvements for Patients and Providers Act (MIPPA), which established the ESRD PPS bundled payment system for dialysis services in 2008. Specifically, the lawsuit claims that CMS’s plan to move XPHOZAH, along with all oral-only drugs, into the ESRD PPS is inconsistent with MIPPA’s statutory provision, and contradicts CMS’s own regulations. XPHOZAH and other oral-only drugs, which are currently available to patients under Medicare Part D, are not administered by dialysis providers and cannot be taken during the delivery of maintenance dialysis. The Company, AAKP and NMQF are seeking relief under the Administrative Procedure Act to enjoin CMS from proceeding with its plan to include XPHOZAH in the ESRD PPS and eliminate coverage under Medicare Part D beginning on January 1,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As of June 30, 2024, there is no litigation pending that would reasonably be expected to have a material adverse effect on our results of operations and financial condition, and no contingent liabilities were accrued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2023.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both"/>
        <w:rPr/>
      </w:pPr>
      <w:r>
        <w:rPr>
          <w:rFonts w:ascii="Times New Roman;sans-serif" w:hAnsi="Times New Roman;sans-serif"/>
          <w:b w:val="false"/>
          <w:color w:val="000000"/>
          <w:sz w:val="20"/>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for the treatment of adults with irritable bowel syndrome with constipation (IBS-C). Tenapanor, branded as XPHOZAH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was approved by the U.S. Food and Drug Administration (U.S. FDA) on October 17, 2023, to reduce serum phosphorus in adults with chronic kidney disease (CKD) on dialysis as add-on therapy in patients who have an inadequate response to phosphate binders or who are intolerant of any dose of phosphate binder therapy.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commencing operations in October 2007, substantially all our efforts have been dedicated to our research and development (R&amp;D) activities, including developing tenapanor and developing our proprietary drug discovery and design platform, as well as commercialization activities, including the marketing and sales of IBSRELA and XPHOZAH. We recognized our first product sales of IBSRELA in March 2022 and recognized our first product sales of XPHOZAH in November 2023. As of June 30, 2024, we had an accumulated deficit of $889.2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operating losses for the foreseeable future as we invest in the commercialization of IBSRELA and XPHOZAH, incur manufacturing and development cost for tenapanor, and incur additional expenses related to our ongoing operations and our pursuit of future business opportunities. To date, we have funded our operations from the sale of common stock and convertible preferred stock, funds from our collaboration partnerships, which includes license fees, milestones and product supply revenue, funds from our loan agreement with SLR Investment Corp. (SLR), as amended on August 1, 2022, February 9, 2023 and October 17, 2023 (collectively, the 2022 Loan Agreement), as well as from sales of IBSRELA and XPHOZAH.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Commercial Products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IBSRELA for IBS-C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unique discovery platform and deep understanding of the primary mechanism of sodium transport in the intestine resulted in our discovery and development of IBSRELA, a first-in-class, U.S. FDA approved, sodium hydrogen exchange 3 (NHE3) inhibitor for the treatment of IBS-C in adults. IBSRELA acts locally in the gut and is minimally absorbed. IBS-C is a gastrointestinal (GI) disorder characterized by both abdominal pain and altered bowel habits. IBS-C is associated with significantly impaired quality of life, reduced productivity, and substantial economic burden.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targeted promotional focus on patients currently being managed for IBS-C by the approximately 9,000 high-writing healthcare providers who account for approximately 50% of IBS-C prescriptions. Central to our go to market strategy for IBSRELA has been our highly experienced specialty sales force, composed of many with existing relationships across their GI target base, and omnichannel digital initiatives.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competition for IBSRELA comes largely from the three prescription products indicated for IBS-C: Linzess (linaclotide), Amitiza (lubiprostone) and Trulance (plecanatide). Generic lubiprostone is also available in the U.S. Additionally, over-the-counter products and prescription therapies, not indicated for IBS-C are commonly used to treat the constipation component of IBS-C, alone and in combination with the IBS-C-indicated prescription therapies.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commercial agreements with Shanghai Fosun Pharmaceutical Industrial Development Co. Ltd. (Fosun Pharma) in China and Knight Therapeutics, Inc. (Knight) in Canada for IBSRELA for IBS-C. Knight is currently marketing IBSRELA in Canada. In October 2023, we announced that Fosun Pharma received approval from the Hong Kong Department of Health for the marketing application for tenapanor for the treatment of IBS-C.</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XPHOZAH to Reduce Serum Phosphorus in Adults with CKD on dialysis as Add-on Therapy in Patients who have an Inadequate Response to Phosphate Binders or who are Intolerant of any Dose of Phosphate Binder Therapy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17, 2023, XPHOZAH, a first-in-class phosphate absorption inhibitor, received approval from the U.S. FDA to market XPHOZAH in the U.S. to reduce serum phosphorus in adults with CKD on dialysis as add-on therapy in patients who have an inadequate response to phosphate binders or who are intolerant of any dose of phosphate binder therapy. XPHOZAH has a differentiated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80% of those patients are being treated with phosphate lowering therapies. In addition, approximately 70% of patients treated with phosphate binders to treat hyperphosphatemia were unable to consistently maintain phosphorous levels &lt;=5.5 mg/dL over a six-month period. XPHOZAH is the first therapy for phosphate management that blocks phosphate absorption at the primary site of uptake.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our first sales of XPHOZAH in the U.S. in November 2023. For our commercial launch of XPHOZAH, we designed a market-responsive commercial strategy and built a commercial organization highly experienced and knowledgeable of the nephrology market. The dynamics of the hyperphosphatemia market reflect an established patient base, limited number of competitors all confined to a single mechanism of action, concentrated number of prescribers, and recognized unmet need. In addition, market research indicated a high level of awareness, interest and intent to adopt XPHOZAH upon approval and favorable response to the XPHOZAH product profile as a novel mechanism therapy. These dynamics enabled a targeted promotional focus on patients currently being managed for hyperphosphatemia by the approximately 8,000 nephrology healthcare providers who write approximately 80% of phosphate lowering therapy prescriptions in the U.S. Central to our go to market strategy for XPHOZAH has been our highly experienced specialty sales force, many with existing relationships across their nephrology target base, and innovative omnichannel digital initiatives.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currently available phosphate binders, we are aware of at least four other binders in development, including fermagate (Alpharen), an iron-based binder in Phase 3 being developed by Opko Health, Inc.; PT20, an iron-based binder in Phase 3 being developed by Shield Therapeutics, AP-301 in Phase 2 being developed by Alebund Pharmaceutical (Hong Kong) Limited; and Oxylanthanum Carbonate (OLC), which has demonstrated pharmacodynamic bioequivalence to Fosrenol. OLC is being developed by Unicycive Therapeutics, which has announced its plans to seek U.S. FDA approval via the 505(b)(2) pathway. Additionally, Chugai and Alebund are developing EOS789, an inhibitor of phosphate transporters NaPi-2b, PiT-1, and PiT-2, thus far studied in a phase 1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XPHOZAH was granted orphan drug designation by the U.S. FDA for the treatment of pediatric hyperphosphatemia.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have established commercial agreements with Kyowa Kirin, Co. Ltd. (Kyowa Kirin) in Japan, Fosun Pharma in China and Knight in Canada for tenapanor for hyperphosphatemia. In July 2023, we announced that a New Drug Application (NDA) for tenapanor had been accepted for review by China’s Center for Drug Evaluation of the National Medical Products Administration (NMPA) for the control of serum phosphorus in adult patients with CKD on hemodialysis. In September 2023, we announced that Kyowa Kirin received approval from the Japanese Ministry of Health, Labour and Welfare (MHLW) for the NDA for tenapanor for the improvement of hyperphosphatemia in adult patients with CKD on dialysis. 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for patients in Japan.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Collaboration Partners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exclusive rights to tenapanor in the U.S. and we have established agreements with Kyowa Kirin in Japan, Fosun Pharma in China and Knight in Canada for the development and commercialization of tenapanor for certain indications in their respective territories.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In March 2018, we entered into an exclusive license agreement with Knight (Knight Agreement)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w:t>
      </w:r>
      <w:r>
        <w:rPr>
          <w:color w:val="000000"/>
        </w:rPr>
        <w:t xml:space="preserve"> </w:t>
      </w:r>
      <w:r>
        <w:rPr>
          <w:rFonts w:ascii="Times New Roman;sans-serif" w:hAnsi="Times New Roman;sans-serif"/>
          <w:b w:val="false"/>
          <w:color w:val="000000"/>
          <w:sz w:val="20"/>
        </w:rPr>
        <w:t>$2.3 million non-refundable, one-time payment in March 2018. We may also be eligible to receive approximately CAD 22.2 million for development and commercialization milestones, or approximately $16.2 million at the currency exchange rate on June 30, 2024, of which $0.7 million has been received and recognized as revenue as of June 30, 2024. We are also eligible to receive royalties throughout the term of the agreement, and a transfer price for manufacturing services.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November 2017, we entered into an exclusive license agreement with Kyowa Kirin (2017 Kyowa Kirin Agreement) for the development, commercialization and distribution of tenapanor in Japan for cardiorenal indications. Under the terms of the 2017 Kyowa Kirin Agreement, we received a $30.0 million upfront payment from Kyowa Kirin, and we may be entitled to receive up to</w:t>
      </w:r>
      <w:r>
        <w:rPr>
          <w:color w:val="000000"/>
        </w:rPr>
        <w:t xml:space="preserve"> </w:t>
      </w:r>
      <w:r>
        <w:rPr>
          <w:rFonts w:ascii="Times New Roman;sans-serif" w:hAnsi="Times New Roman;sans-serif"/>
          <w:b w:val="false"/>
          <w:color w:val="000000"/>
          <w:sz w:val="20"/>
        </w:rPr>
        <w:t xml:space="preserve">$55.0 million in total development and regulatory milestones, of which $35.0 million has been received and recognized as revenue as of June 30, 2024. We may also be eligible to receive approximately ¥8.5 billion for commercialization milestones, or approximately $52.8 million at the currency exchange rate on June 30, 2024, as well as reimbursement of costs plus a reasonable overhead for the supply of product and royalties on net sales throughout the term of the agreement.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the future royalties and commercial milestone payments we may receive under the 2017 Kyowa Kirin Agreement are remitted to HealthCare Royalty Partners IV, L.P. (HCR) upon receipt pursuant to a Royalty and Sales Milestone Interest Acquisition Agreement (HCR Agreement).</w:t>
      </w:r>
    </w:p>
    <w:p>
      <w:pPr>
        <w:pStyle w:val="TextBody"/>
        <w:bidi w:val="0"/>
        <w:spacing w:lineRule="auto" w:line="288" w:before="240" w:after="283"/>
        <w:jc w:val="both"/>
        <w:rPr/>
      </w:pPr>
      <w:r>
        <w:rPr>
          <w:rFonts w:ascii="Times New Roman;sans-serif" w:hAnsi="Times New Roman;sans-serif"/>
          <w:b w:val="false"/>
          <w:color w:val="000000"/>
          <w:sz w:val="20"/>
        </w:rPr>
        <w:t xml:space="preserve">On April 11, 2022, we entered into an amendment to the 2017 Kyowa Kirin Agreement (2022 Amendment). Under the terms of the 2022 Amendment, we and Kyowa Kirin agreed to a reduction in the royalty rate payable to us by Kyowa Kirin upon net sales of tenapanor in Japan. The royalty rate was reduced from the high teens to low double digits for a two-year period of time following the first commercial sale in Japan, and then to mid-single digits for the remainder of the royalty term.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royalties we may receive under the 2017 Kyowa Kirin Agreement will be remitted to HCR pursuant to the HCR Agreement. As consideration for the reduction in the royalty rate, Kyowa Kirin agreed to pay us up to an additional $40.0 million, which was received and recognized as revenue as of September 2023 as described below.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announced that Kyowa Kirin submitted an NDA to the Japanese MHLW for tenapanor for the improvement of hyperphosphatemia in adult patients with CKD on dialysis, which resulted in payment to us from Kyowa Kirin for an aggregate of $35.0 million for milestone payments and payments under the 2022 Amendment. </w:t>
      </w:r>
    </w:p>
    <w:p>
      <w:pPr>
        <w:pStyle w:val="TextBody"/>
        <w:bidi w:val="0"/>
        <w:spacing w:lineRule="auto" w:line="288" w:before="240" w:after="283"/>
        <w:jc w:val="both"/>
        <w:rPr/>
      </w:pPr>
      <w:r>
        <w:rPr>
          <w:rFonts w:ascii="Times New Roman;sans-serif" w:hAnsi="Times New Roman;sans-serif"/>
          <w:b w:val="false"/>
          <w:color w:val="000000"/>
          <w:sz w:val="20"/>
        </w:rPr>
        <w:t>In September 2023, we announced that Kyowa Kirin received approval from the Japanese MHLW for the NDA for tenapanor for the improvement of hyperphosphatemia in adult patients with chronic kidney disease on dialysis, which resulted in payment to us from Kyowa Kirin for an aggregate of $30.0 million for milestone payments and payments under the 2022 Amendment. 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for patients in Japan and during the first quarter of 2024, we began to recognize non-cash royalty revenue related to the sale of future royalties, which is remitted to HCR in accordance with the HCR Agreement.</w:t>
      </w:r>
    </w:p>
    <w:p>
      <w:pPr>
        <w:pStyle w:val="TextBody"/>
        <w:bidi w:val="0"/>
        <w:spacing w:lineRule="auto" w:line="288" w:before="240" w:after="283"/>
        <w:jc w:val="both"/>
        <w:rPr/>
      </w:pPr>
      <w:r>
        <w:rPr>
          <w:rFonts w:ascii="Times New Roman;sans-serif" w:hAnsi="Times New Roman;sans-serif"/>
          <w:b w:val="false"/>
          <w:color w:val="000000"/>
          <w:sz w:val="20"/>
        </w:rPr>
        <w:t>In December 2017, we entered into an exclusive license agreement with Fosun Pharma (Fosun Agreement) for the development and commercialization of tenapanor in China for both hyperphosphatemia and IBS-C. Under the terms of the Fosun Agreement, Fosun paid us a</w:t>
      </w:r>
      <w:r>
        <w:rPr>
          <w:color w:val="000000"/>
        </w:rPr>
        <w:t xml:space="preserve"> </w:t>
      </w:r>
      <w:r>
        <w:rPr>
          <w:rFonts w:ascii="Times New Roman;sans-serif" w:hAnsi="Times New Roman;sans-serif"/>
          <w:b w:val="false"/>
          <w:color w:val="000000"/>
          <w:sz w:val="20"/>
        </w:rPr>
        <w:t>$12.0 million upfront</w:t>
      </w:r>
      <w:r>
        <w:rPr>
          <w:color w:val="000000"/>
        </w:rPr>
        <w:t xml:space="preserve"> </w:t>
      </w:r>
      <w:r>
        <w:rPr>
          <w:rFonts w:ascii="Times New Roman;sans-serif" w:hAnsi="Times New Roman;sans-serif"/>
          <w:b w:val="false"/>
          <w:color w:val="000000"/>
          <w:sz w:val="20"/>
        </w:rPr>
        <w:t xml:space="preserve">license fee. In July 2023, we announced that an NDA for tenapanor had been accepted for review by China’s Center for Drug Evaluation of the NMPA for the control of serum phosphorus in adult patients with chronic kidney disease on hemodialysis. This acceptance triggered a $2.0 million milestone payment to us under the terms of the Fosun Agreement, which we received in the third quarter of 2023. </w:t>
      </w:r>
    </w:p>
    <w:p>
      <w:pPr>
        <w:pStyle w:val="TextBody"/>
        <w:bidi w:val="0"/>
        <w:spacing w:lineRule="auto" w:line="288" w:before="240" w:after="283"/>
        <w:jc w:val="both"/>
        <w:rPr/>
      </w:pPr>
      <w:r>
        <w:rPr>
          <w:rFonts w:ascii="Times New Roman;sans-serif" w:hAnsi="Times New Roman;sans-serif"/>
          <w:b w:val="false"/>
          <w:color w:val="000000"/>
          <w:sz w:val="20"/>
        </w:rPr>
        <w:t>In October 2023, the U.S. FDA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we received during the first quarter of 2024. Also, in October 2023, we announced that Fosun Pharma received approval from the Hong Kong Department of Health for the marketing application for tenapanor for the treatment of irritable bowel syndrome with constipation (IBS-C). We may be entitled to receive development and commercialization milestones of up to</w:t>
      </w:r>
      <w:r>
        <w:rPr>
          <w:color w:val="000000"/>
        </w:rPr>
        <w:t xml:space="preserve"> </w:t>
      </w:r>
      <w:r>
        <w:rPr>
          <w:rFonts w:ascii="Times New Roman;sans-serif" w:hAnsi="Times New Roman;sans-serif"/>
          <w:b w:val="false"/>
          <w:color w:val="000000"/>
          <w:sz w:val="20"/>
        </w:rPr>
        <w:t>$113.0 million, of which $8.0 million has been received and recognized as revenue as of June 30, 2024, as well as reimbursement of cost plus a reasonable overhead for the supply of product and tiered royalties on net sales ranging from the mid-teens to 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financial condition and results of operations is based on our condensed financial statements, which have been prepared in accordance with accounting principles generally accepted in the United States.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pStyle w:val="TextBody"/>
        <w:bidi w:val="0"/>
        <w:spacing w:lineRule="auto" w:line="288" w:before="240" w:after="283"/>
        <w:jc w:val="both"/>
        <w:rPr/>
      </w:pPr>
      <w:r>
        <w:rPr>
          <w:rFonts w:ascii="Times New Roman;sans-serif" w:hAnsi="Times New Roman;sans-serif"/>
          <w:b w:val="false"/>
          <w:color w:val="000000"/>
          <w:sz w:val="20"/>
        </w:rPr>
        <w:t xml:space="preserve">The critical accounting policies that we believe impact significant judgments and estimates used in the preparation of our condensed financial statements presented in this report are described in Part II,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xml:space="preserve">, in our Annual Report on Form 10-K filed with the SEC on February 22,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did not adopt any new critical accounting policies and significant judgements and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jc w:val="both"/>
        <w:rPr/>
      </w:pPr>
      <w:r>
        <w:rPr>
          <w:rFonts w:ascii="Times New Roman;sans-serif" w:hAnsi="Times New Roman;sans-serif"/>
          <w:b w:val="false"/>
          <w:color w:val="000000"/>
          <w:sz w:val="20"/>
        </w:rPr>
        <w:t xml:space="preserve">A summary of recent accounting pronouncements that we have adopted or may expect to adopt is included in </w:t>
      </w:r>
      <w:r>
        <w:rPr>
          <w:rFonts w:ascii="Times New Roman;sans-serif" w:hAnsi="Times New Roman;sans-serif"/>
          <w:b w:val="false"/>
          <w:i/>
          <w:color w:val="000000"/>
          <w:sz w:val="20"/>
        </w:rPr>
        <w:t>Note 1 – Organization and Basis of Presentation</w:t>
      </w:r>
      <w:r>
        <w:rPr>
          <w:color w:val="000000"/>
        </w:rPr>
        <w:t xml:space="preserve"> </w:t>
      </w:r>
      <w:r>
        <w:rPr>
          <w:rFonts w:ascii="Times New Roman;sans-serif" w:hAnsi="Times New Roman;sans-serif"/>
          <w:b w:val="false"/>
          <w:color w:val="000000"/>
          <w:sz w:val="20"/>
        </w:rPr>
        <w:t xml:space="preserve">to our condensed financial statements (see Part I, Item 1 </w:t>
      </w:r>
      <w:r>
        <w:rPr>
          <w:rFonts w:ascii="Times New Roman;sans-serif" w:hAnsi="Times New Roman;sans-serif"/>
          <w:b w:val="false"/>
          <w:i/>
          <w:color w:val="000000"/>
          <w:sz w:val="20"/>
        </w:rPr>
        <w:t>Notes to</w:t>
      </w:r>
      <w:r>
        <w:rPr>
          <w:color w:val="000000"/>
        </w:rPr>
        <w:t xml:space="preserve"> </w:t>
      </w:r>
      <w:r>
        <w:rPr>
          <w:rFonts w:ascii="Times New Roman;sans-serif" w:hAnsi="Times New Roman;sans-serif"/>
          <w:b w:val="false"/>
          <w:i/>
          <w:color w:val="000000"/>
          <w:sz w:val="20"/>
        </w:rPr>
        <w:t>Condensed Financial Statements</w:t>
      </w:r>
      <w:r>
        <w:rPr>
          <w:rFonts w:ascii="Times New Roman;sans-serif" w:hAnsi="Times New Roman;sans-serif"/>
          <w:b w:val="false"/>
          <w:color w:val="000000"/>
          <w:sz w:val="20"/>
        </w:rPr>
        <w: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to date has been generated primarily through a combination of product sales and payments in connection with license, research and development collaborative agreements with our various collaboration partners. We realized our first commercial product sales of IBSRELA in March 2022 and our first commercial product sales of XPHOZAH in November 2023.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commercialization of IBSRELA and XPHOZAH; our ability to obtain and sustain an adequate level of coverage and reimbursement for IBSRELA and XPHOZAH by third-party payors; whether and the extent to which we are successful in our commercialization of XPHOZAH; any legislative, regulatory or judicial action is taken to further delay the inclusion of XPHOZAH, along with other oral ESRD-related drugs without an injectable or intravenous equivalent, in the ESRD PPS or adequacy of reimbursement and coverage of XPHOZAH beginning January 1, 2025 for all patients, regardless of insurance coverage, in the event that legislative, regulatory or judicial action to further delay the inclusion of oral only drugs in the ESRD PPS is not taken; the timing and progress of goods and services provided pursuant to our current or future collaborative partnerships; our collaborators’ achievement of clinical, regulatory or commercialization milestones, to the extent achieved; the timing and amount of any payments to us relating to the aforementioned milestones; addressing any competing technological and market developments; maintaining, protecting and expanding our portfolio of intellectual property rights, including patents, trade secrets, and know-how, and our ability to develop, manufacture and commercialize our product candidates and products without infringing intellectual property rights of others; attracting, hiring, and retaining qualified personnel; and the extent to which tenapanor or other licensed products are approved and successfully commercialized by a collaboration partner. If our current collaboration partners or any future collaboration partners fail to obtain regulatory approval for tenapanor or other licensed products,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sales consists of the cost of commercial goods sold to our Customers. Other cost of revenue consists of the cost of materials sold to our international partners under product supply agreements, as well as payments due to AstraZeneca AB (AstraZeneca)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and XPHOZAH units recognized as revenue during the three and six months ended June 30, 2024 were expensed in periods prior to the commencement of capitalization of inventory costs for each respective product. We believe our cost of goods sold for the three and six months ended June 30, 2024 would have been $1.2 million and $2.4 million higher, respectively, if we had not previously expensed certain material and production costs with respect to the units sold. We believe our cost of goods sold for the three and six months ended June 30, 2023 would have been $2.0 million and $2.4 million higher, respectively, if we had not previously expensed certain material and production costs with respect to the units sold. As of June 30, 2024 and December 31, 2023, we had approximately $19.6 million and $21.8 million, respectively, of inventory on hand that was previously expensed as research and development expense and will not be reported as cost of goods sold in future periods when sales of IBSRELA and XPHOZAH are recognized as revenue.</w:t>
      </w:r>
    </w:p>
    <w:p>
      <w:pPr>
        <w:pStyle w:val="TextBody"/>
        <w:bidi w:val="0"/>
        <w:spacing w:lineRule="auto" w:line="288" w:before="240" w:after="283"/>
        <w:jc w:val="both"/>
        <w:rPr/>
      </w:pPr>
      <w:r>
        <w:rPr>
          <w:rFonts w:ascii="Times New Roman;sans-serif" w:hAnsi="Times New Roman;sans-serif"/>
          <w:b w:val="false"/>
          <w:color w:val="000000"/>
          <w:sz w:val="20"/>
        </w:rPr>
        <w:t xml:space="preserve">Other cost of revenue includes payments due to AstraZeneca, which under the terms of a termination agreement entered into in 2015 (AstraZeneca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other NHE3 products. We have agreed to pay AstraZeneca up to a maximum of $75.0 million in the aggregate for (i) and (ii). We recognize these expenses as other cost of revenue when we recognize the corresponding revenue that gives rise to payments due to AstraZeneca. To date, we have recognized an aggregate of $40.2 million as other cost of revenue under the AstraZeneca Termination Agreement. See details in </w:t>
      </w:r>
      <w:r>
        <w:rPr>
          <w:rFonts w:ascii="Times New Roman;sans-serif" w:hAnsi="Times New Roman;sans-serif"/>
          <w:b w:val="false"/>
          <w:i/>
          <w:color w:val="000000"/>
          <w:sz w:val="20"/>
        </w:rPr>
        <w:t>Note 6, Collaboration and Licensing Agreements</w:t>
      </w:r>
      <w:r>
        <w:rPr>
          <w:rFonts w:ascii="Times New Roman;sans-serif" w:hAnsi="Times New Roman;sans-serif"/>
          <w:b w:val="false"/>
          <w:color w:val="000000"/>
          <w:sz w:val="20"/>
        </w:rPr>
        <w:t>, under AstraZeneca, in the notes to our financial statements of this Quarterly Report on Form 10-Q.</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all research and development expenses as they are incurred to support the discovery, research, development and manufacturing of our products and product candidates. R&amp;D expenses include, but are not limited to,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supplies and materials consumed in connection with our research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producing XPHOZAH prior to U.S. FDA approval;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producing discovery and developmental assets prior to U.S. FDA approval;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costs associated with research, clinical development and regulatory activities;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employee-related expenses, which include salaries, bonuses, benefits, travel and stock-based compensation;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facilities and other allocated expenses, which include direct and allocated expenses for rent and maintenance of facilities, depreciation and amortization expense, information technology expense and other supplies.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relate to sales and marketing, finance, human resources, legal and other administrative activities, including information technology investments.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represents the interest associated with our 2022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Non-cash interest expense related to the sale of future royalties</w:t>
      </w:r>
    </w:p>
    <w:p>
      <w:pPr>
        <w:pStyle w:val="TextBody"/>
        <w:bidi w:val="0"/>
        <w:spacing w:lineRule="auto" w:line="288" w:before="240" w:after="283"/>
        <w:jc w:val="both"/>
        <w:rPr/>
      </w:pPr>
      <w:r>
        <w:rPr>
          <w:rFonts w:ascii="Times New Roman;sans-serif" w:hAnsi="Times New Roman;sans-serif"/>
          <w:b w:val="false"/>
          <w:color w:val="000000"/>
          <w:sz w:val="20"/>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in June 2022, we and HCR entered into the HCR Agreement. Under the terms of the HCR Agreement, HCR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part of the HCR Agreement, we have received a $10.0 million upfront payment and a $5.0 million milestone payment from HCR, which we recorded as a deferred royalty obligation on our balance sheet. Non-cash interest expense is recognized over the life of the HCR Agreement using the effective interest method based on the imputed interest rate derived from estimated amounts and timing of future royalty payments to be received from Kyowa Kirin.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consists of interest income earned on our cash, cash equivalents and available-for-sale investments, the periodic revaluation of the exit fee related to our 2022 Loan Agreement and currency exchange gains and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pPr>
      <w:r>
        <w:rPr>
          <w:rFonts w:ascii="Times New Roman;sans-serif" w:hAnsi="Times New Roman;sans-serif"/>
          <w:b w:val="false"/>
          <w:color w:val="000000"/>
          <w:sz w:val="20"/>
        </w:rPr>
        <w:t>The results of operations as of June 30, 2024</w:t>
      </w:r>
      <w:r>
        <w:rPr>
          <w:color w:val="000000"/>
        </w:rPr>
        <w:t xml:space="preserve"> </w:t>
      </w:r>
      <w:r>
        <w:rPr>
          <w:rFonts w:ascii="Times New Roman;sans-serif" w:hAnsi="Times New Roman;sans-serif"/>
          <w:b w:val="false"/>
          <w:color w:val="000000"/>
          <w:sz w:val="20"/>
        </w:rPr>
        <w:t>are not necessarily indicative of the results to be expected for the year ending December 31, 2024, for any other interim period, or for any other future year.</w:t>
      </w:r>
    </w:p>
    <w:p>
      <w:pPr>
        <w:pStyle w:val="TextBody"/>
        <w:bidi w:val="0"/>
        <w:spacing w:lineRule="auto" w:line="288" w:before="240" w:after="283"/>
        <w:jc w:val="both"/>
        <w:rPr/>
      </w:pPr>
      <w:r>
        <w:rPr>
          <w:rFonts w:ascii="Times New Roman;sans-serif" w:hAnsi="Times New Roman;sans-serif"/>
          <w:b/>
          <w:i/>
          <w:color w:val="000000"/>
          <w:sz w:val="20"/>
        </w:rPr>
        <w:t>Comparison of the</w:t>
      </w:r>
      <w:r>
        <w:rPr>
          <w:color w:val="000000"/>
        </w:rPr>
        <w:t xml:space="preserve"> </w:t>
      </w:r>
      <w:r>
        <w:rPr>
          <w:rFonts w:ascii="Times New Roman;sans-serif" w:hAnsi="Times New Roman;sans-serif"/>
          <w:b/>
          <w:i/>
          <w:color w:val="000000"/>
          <w:sz w:val="20"/>
        </w:rPr>
        <w:t>three and six months ended June 30, 2024 and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total revenue (dollars in thousands):</w:t>
      </w:r>
    </w:p>
    <w:tbl>
      <w:tblPr>
        <w:tblW w:w="11105" w:type="dxa"/>
        <w:jc w:val="left"/>
        <w:tblInd w:w="0" w:type="dxa"/>
        <w:tblLayout w:type="fixed"/>
        <w:tblCellMar>
          <w:top w:w="28" w:type="dxa"/>
          <w:left w:w="28" w:type="dxa"/>
          <w:bottom w:w="28" w:type="dxa"/>
          <w:right w:w="28" w:type="dxa"/>
        </w:tblCellMar>
      </w:tblPr>
      <w:tblGrid>
        <w:gridCol w:w="452"/>
        <w:gridCol w:w="239"/>
        <w:gridCol w:w="24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40"/>
        <w:gridCol w:w="241"/>
        <w:gridCol w:w="271"/>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4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Percent change is 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net product sales by product (dollars in thousands):</w:t>
      </w:r>
    </w:p>
    <w:tbl>
      <w:tblPr>
        <w:tblW w:w="11180" w:type="dxa"/>
        <w:jc w:val="left"/>
        <w:tblInd w:w="0" w:type="dxa"/>
        <w:tblLayout w:type="fixed"/>
        <w:tblCellMar>
          <w:top w:w="28" w:type="dxa"/>
          <w:left w:w="28" w:type="dxa"/>
          <w:bottom w:w="28" w:type="dxa"/>
          <w:right w:w="28" w:type="dxa"/>
        </w:tblCellMar>
      </w:tblPr>
      <w:tblGrid>
        <w:gridCol w:w="542"/>
        <w:gridCol w:w="239"/>
        <w:gridCol w:w="24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5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IBSRELA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XPHOZAH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Percent change is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product sales, net during the three and six months ended June 30, 2024 as compared to the same periods in 2023 is attributable to increased net product sales for IBSRELA, which is primarily driven by increased demand, as well as sales from XPHOZAH following the launch of the product in the fourth quarter of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fluctuations in product supply revenue during the three and six months ended June 30, 2024 as compared to the same periods in 2023 are attributable to the timing of product supply shipments to Kyowa Kirin.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licensing revenue during the three and six months ended June 30, 2024 as compared to the same periods in 2023 is primarily attributable to a one-time upfront payment we received from METiS Therapeutics Inc. during the prior year.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Non-cash royalty revenue during the three and six months ended June 30, 2024 is attributable to royalties from Kyowa Kirin for sales of PHOZEVEL in Japan, which we remit to HCR upon receipt in accordance with the HCR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cost of goods sold (dollars in thousands):</w:t>
      </w:r>
    </w:p>
    <w:tbl>
      <w:tblPr>
        <w:tblW w:w="10400" w:type="dxa"/>
        <w:jc w:val="left"/>
        <w:tblInd w:w="0" w:type="dxa"/>
        <w:tblLayout w:type="fixed"/>
        <w:tblCellMar>
          <w:top w:w="28" w:type="dxa"/>
          <w:left w:w="28" w:type="dxa"/>
          <w:bottom w:w="28" w:type="dxa"/>
          <w:right w:w="28" w:type="dxa"/>
        </w:tblCellMar>
      </w:tblPr>
      <w:tblGrid>
        <w:gridCol w:w="287"/>
        <w:gridCol w:w="239"/>
        <w:gridCol w:w="24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271"/>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33"/>
        <w:gridCol w:w="233"/>
        <w:gridCol w:w="316"/>
      </w:tblGrid>
      <w:tr>
        <w:trPr/>
        <w:tc>
          <w:tcPr>
            <w:tcW w:w="2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3"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to cost of product sales during the three and six months ended June 30, 2024 as compared to the same periods in 2023 is primarily attributable to cost of goods sold for increased net product sales of IBSRELA and XPHOZAH.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to other cost of revenue during the three and six months ended June 30, 2024 as compared to the same periods in 2023 is primarily attributable to an increase in payments due to AstraZeneca under the AstraZeneca Termination Agreement, driven by increases in our product sales, which is partially offset by cost of goods sold for decreased product supply sold to our collaboration partners.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operating expenses (dollars in thousands):</w:t>
      </w:r>
    </w:p>
    <w:tbl>
      <w:tblPr>
        <w:tblW w:w="11450" w:type="dxa"/>
        <w:jc w:val="left"/>
        <w:tblInd w:w="0" w:type="dxa"/>
        <w:tblLayout w:type="fixed"/>
        <w:tblCellMar>
          <w:top w:w="28" w:type="dxa"/>
          <w:left w:w="28" w:type="dxa"/>
          <w:bottom w:w="28" w:type="dxa"/>
          <w:right w:w="28" w:type="dxa"/>
        </w:tblCellMar>
      </w:tblPr>
      <w:tblGrid>
        <w:gridCol w:w="535"/>
        <w:gridCol w:w="377"/>
        <w:gridCol w:w="37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316"/>
      </w:tblGrid>
      <w:tr>
        <w:trPr/>
        <w:tc>
          <w:tcPr>
            <w:tcW w:w="53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8" w:type="dxa"/>
            <w:gridSpan w:val="15"/>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research and development expenses (dollars in thousands):</w:t>
      </w:r>
    </w:p>
    <w:p>
      <w:pPr>
        <w:pStyle w:val="TextBody"/>
        <w:bidi w:val="0"/>
        <w:spacing w:before="0" w:after="0"/>
        <w:jc w:val="both"/>
        <w:rPr/>
      </w:pPr>
      <w:r>
        <w:rPr/>
      </w:r>
    </w:p>
    <w:tbl>
      <w:tblPr>
        <w:tblW w:w="11300" w:type="dxa"/>
        <w:jc w:val="left"/>
        <w:tblInd w:w="0" w:type="dxa"/>
        <w:tblLayout w:type="fixed"/>
        <w:tblCellMar>
          <w:top w:w="28" w:type="dxa"/>
          <w:left w:w="28" w:type="dxa"/>
          <w:bottom w:w="28" w:type="dxa"/>
          <w:right w:w="28" w:type="dxa"/>
        </w:tblCellMar>
      </w:tblPr>
      <w:tblGrid>
        <w:gridCol w:w="744"/>
        <w:gridCol w:w="543"/>
        <w:gridCol w:w="274"/>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32"/>
        <w:gridCol w:w="234"/>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2"/>
        <w:gridCol w:w="234"/>
        <w:gridCol w:w="316"/>
      </w:tblGrid>
      <w:tr>
        <w:trPr/>
        <w:tc>
          <w:tcPr>
            <w:tcW w:w="74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equipment and depreciation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our R&amp;D expenses during the three and six months ended June 30, 2024 as compared to the same periods in 2023 is primarily the result of increased engagement with the scientific communities in the areas of gastroenterology and nephrology, clinical trial, and pharmacovigilance activities. The increase in employee-related R&amp;D expenses is the result of increases in headcount and related personnel costs, including stock-based compensation expense which increased by $1.4 million and $2.6 million, respectively, during the three and six months ended June 30, 2024 as compared to the same periods in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Selling, General and Administrative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selling, general and administrative expenses during the three and six months ended June 30, 2024 as compared to the same periods in 2023 is primarily due to increased costs associated with the commercialization of IBSRELA and XPHOZAH and increases in expenses associated with administrative support functions as our company has grown in headcount and activity level. The increases consisted of external spending for disease awareness initiatives, commercial infrastructure, and strategy, as well as headcount and related personnel costs, including stock-based compensation expense which increased by $6.2 million and $9.7 million, respectively, during the three and six months ended June 30, 2024 as compared to the same periods in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interest expense (dollars in thousands):</w:t>
      </w:r>
    </w:p>
    <w:tbl>
      <w:tblPr>
        <w:tblW w:w="10295" w:type="dxa"/>
        <w:jc w:val="left"/>
        <w:tblInd w:w="0" w:type="dxa"/>
        <w:tblLayout w:type="fixed"/>
        <w:tblCellMar>
          <w:top w:w="28" w:type="dxa"/>
          <w:left w:w="28" w:type="dxa"/>
          <w:bottom w:w="28" w:type="dxa"/>
          <w:right w:w="28" w:type="dxa"/>
        </w:tblCellMar>
      </w:tblPr>
      <w:tblGrid>
        <w:gridCol w:w="283"/>
        <w:gridCol w:w="248"/>
        <w:gridCol w:w="250"/>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33"/>
        <w:gridCol w:w="233"/>
        <w:gridCol w:w="271"/>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33"/>
        <w:gridCol w:w="233"/>
        <w:gridCol w:w="316"/>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during the three and six months ended June 30, 2024 as compared to the same periods in 2023 is due to a larger loan balance outstanding following the draw of an additional $22.5 million for the Term B Loan in October 2023 and $50.0 million for the Term C Loan in March 2024, as well as a higher variable interest rate applied to our loan balance primarily resulting from market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Non-Cash Interest Expense Related to the Sale of Future Royalties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non-cash interest expense (dollars in thousands):</w:t>
      </w:r>
    </w:p>
    <w:tbl>
      <w:tblPr>
        <w:tblW w:w="10205" w:type="dxa"/>
        <w:jc w:val="left"/>
        <w:tblInd w:w="0" w:type="dxa"/>
        <w:tblLayout w:type="fixed"/>
        <w:tblCellMar>
          <w:top w:w="28" w:type="dxa"/>
          <w:left w:w="28" w:type="dxa"/>
          <w:bottom w:w="28" w:type="dxa"/>
          <w:right w:w="28" w:type="dxa"/>
        </w:tblCellMar>
      </w:tblPr>
      <w:tblGrid>
        <w:gridCol w:w="426"/>
        <w:gridCol w:w="374"/>
        <w:gridCol w:w="375"/>
        <w:gridCol w:w="211"/>
        <w:gridCol w:w="635"/>
        <w:gridCol w:w="109"/>
        <w:gridCol w:w="109"/>
        <w:gridCol w:w="109"/>
        <w:gridCol w:w="109"/>
        <w:gridCol w:w="211"/>
        <w:gridCol w:w="485"/>
        <w:gridCol w:w="109"/>
        <w:gridCol w:w="109"/>
        <w:gridCol w:w="109"/>
        <w:gridCol w:w="109"/>
        <w:gridCol w:w="211"/>
        <w:gridCol w:w="485"/>
        <w:gridCol w:w="109"/>
        <w:gridCol w:w="109"/>
        <w:gridCol w:w="109"/>
        <w:gridCol w:w="109"/>
        <w:gridCol w:w="180"/>
        <w:gridCol w:w="181"/>
        <w:gridCol w:w="271"/>
        <w:gridCol w:w="109"/>
        <w:gridCol w:w="109"/>
        <w:gridCol w:w="109"/>
        <w:gridCol w:w="211"/>
        <w:gridCol w:w="635"/>
        <w:gridCol w:w="109"/>
        <w:gridCol w:w="109"/>
        <w:gridCol w:w="109"/>
        <w:gridCol w:w="109"/>
        <w:gridCol w:w="211"/>
        <w:gridCol w:w="635"/>
        <w:gridCol w:w="109"/>
        <w:gridCol w:w="109"/>
        <w:gridCol w:w="109"/>
        <w:gridCol w:w="109"/>
        <w:gridCol w:w="211"/>
        <w:gridCol w:w="635"/>
        <w:gridCol w:w="109"/>
        <w:gridCol w:w="109"/>
        <w:gridCol w:w="109"/>
        <w:gridCol w:w="109"/>
        <w:gridCol w:w="180"/>
        <w:gridCol w:w="181"/>
        <w:gridCol w:w="318"/>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8" w:type="dxa"/>
            <w:gridSpan w:val="39"/>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non-cash interest expense related to the sales of future royalties during the three and six months ended June 30, 2024 as compared to the same periods in 2023 is due to a higher liability balance following the receipt a $5.0 million payment in October 2023 as a result of Kyowa Kirin's receipt of regulatory approval to market tenapanor for hyperphosphatemia in Japan, as well as prospective adjustments to the imputed interest rate and the related amortization of the deferred royalty obligation.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other income, net (dollars in thousands):</w:t>
      </w:r>
    </w:p>
    <w:tbl>
      <w:tblPr>
        <w:tblW w:w="10205" w:type="dxa"/>
        <w:jc w:val="left"/>
        <w:tblInd w:w="0" w:type="dxa"/>
        <w:tblLayout w:type="fixed"/>
        <w:tblCellMar>
          <w:top w:w="28" w:type="dxa"/>
          <w:left w:w="28" w:type="dxa"/>
          <w:bottom w:w="28" w:type="dxa"/>
          <w:right w:w="28" w:type="dxa"/>
        </w:tblCellMar>
      </w:tblPr>
      <w:tblGrid>
        <w:gridCol w:w="412"/>
        <w:gridCol w:w="363"/>
        <w:gridCol w:w="364"/>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0"/>
        <w:gridCol w:w="181"/>
        <w:gridCol w:w="27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0"/>
        <w:gridCol w:w="181"/>
        <w:gridCol w:w="318"/>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income, net during the three and six months ended June 30, 2024 as compared to the same periods in 2023 is primarily due to increased income on our investments resulting from both higher interest rates and larger investment balances throughout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cash, cash equivalents and short-term investments (dollars in thousands):</w:t>
      </w:r>
    </w:p>
    <w:tbl>
      <w:tblPr>
        <w:tblW w:w="8335" w:type="dxa"/>
        <w:jc w:val="left"/>
        <w:tblInd w:w="0" w:type="dxa"/>
        <w:tblLayout w:type="fixed"/>
        <w:tblCellMar>
          <w:top w:w="28" w:type="dxa"/>
          <w:left w:w="28" w:type="dxa"/>
          <w:bottom w:w="28" w:type="dxa"/>
          <w:right w:w="28" w:type="dxa"/>
        </w:tblCellMar>
      </w:tblPr>
      <w:tblGrid>
        <w:gridCol w:w="820"/>
        <w:gridCol w:w="720"/>
        <w:gridCol w:w="724"/>
        <w:gridCol w:w="234"/>
        <w:gridCol w:w="919"/>
        <w:gridCol w:w="121"/>
        <w:gridCol w:w="109"/>
        <w:gridCol w:w="109"/>
        <w:gridCol w:w="109"/>
        <w:gridCol w:w="317"/>
        <w:gridCol w:w="1244"/>
        <w:gridCol w:w="164"/>
        <w:gridCol w:w="109"/>
        <w:gridCol w:w="109"/>
        <w:gridCol w:w="109"/>
        <w:gridCol w:w="211"/>
        <w:gridCol w:w="721"/>
        <w:gridCol w:w="109"/>
        <w:gridCol w:w="109"/>
        <w:gridCol w:w="109"/>
        <w:gridCol w:w="109"/>
        <w:gridCol w:w="218"/>
        <w:gridCol w:w="218"/>
        <w:gridCol w:w="61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liquid funds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185,961 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cash, cash equivalents and short-term investments of approximately $186.0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filed a registration statement of Form S-3,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three months ended June 30, 2024 and 2023, we completed no sales pursuant to the 2023 Open Market Sales Agreement. As of June 30, 2024, we have sold 16.8 million shares of our common stock and received gross proceeds of $70.0 million at a weighted average sales price of approximately $4.17 per share under the 2023 Open Market Sales Agreement.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entered into a loan and security agreement (2022 Loan Agreement) with SLR Investment Corp (SLR). The 2022 Loan Agreement was subsequently amended on August 1, 2022 and February 9, 2023. The 2022 Loan Agreement as amended through February 9, 2023 provides for a senior secured term loan facility, with $27.5 million funded at closing (the Term A Loan) and an additional $22.5 million that we could borrow on or prior to December 20, 2023; provided that (i) we received approval by the U.S. FDA for our NDA for XPHOZAH by November 30, 2023 and (ii) we achieved certain product revenue milestone targets described in the 2022 Loan Agreement (the Term B Loan). During the three months ending June 30, 2024, we achieved the Revenue Milestone and therefore expect to pay the $1.0 million 2022 Exit Fee to the Agent. </w:t>
      </w:r>
    </w:p>
    <w:p>
      <w:pPr>
        <w:pStyle w:val="TextBody"/>
        <w:bidi w:val="0"/>
        <w:spacing w:lineRule="auto" w:line="288" w:before="240" w:after="283"/>
        <w:jc w:val="both"/>
        <w:rPr/>
      </w:pPr>
      <w:r>
        <w:rPr>
          <w:rFonts w:ascii="Times New Roman;sans-serif" w:hAnsi="Times New Roman;sans-serif"/>
          <w:b w:val="false"/>
          <w:color w:val="000000"/>
          <w:sz w:val="20"/>
        </w:rPr>
        <w:t xml:space="preserve">The initial funding of $27.5 million was used to repay the 2018 Loan and is funding our ongoing operations. We had $25.0 million principal from the 2018 Loan outstanding as of the closing date, as well as the 2018 Exit Fee in the amount of $1.5 million. We paid the 2018 Exit Fee in October 2023 following approval from the U.S. FDA for XPHOZAH to reduce serum phosphorus in adults with chronic kidney disease (CKD) on dialysis as add-on therapy in patients who have an inadequate response to phosphate binders or who are intolerant of any dose of phosphate binder therapy. As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in connection with entering into the 2022 Loan Agreement, we entered into the 2022 Exit Fee agreement, as amended, whereby we agreed to pay an exit fee in the amount of 2% of the Term A Loan and Term B Loan by SLR if certain conditions are met. Notwithstanding the prepayment or termination of the 2022 Loan, the 2022 Exit Fee will expire on February 23, 2032.</w:t>
      </w:r>
    </w:p>
    <w:p>
      <w:pPr>
        <w:pStyle w:val="TextBody"/>
        <w:bidi w:val="0"/>
        <w:spacing w:lineRule="auto" w:line="288" w:before="240" w:after="283"/>
        <w:jc w:val="both"/>
        <w:rPr/>
      </w:pPr>
      <w:r>
        <w:rPr>
          <w:rFonts w:ascii="Times New Roman;sans-serif" w:hAnsi="Times New Roman;sans-serif"/>
          <w:b w:val="false"/>
          <w:color w:val="000000"/>
          <w:sz w:val="20"/>
        </w:rPr>
        <w:t>In October 2023, we entered into a Third Amendment (the Third Amendment) to the 2022 Loan Agreement by and between us and the 2022 Lenders. As discussed in</w:t>
      </w:r>
      <w:r>
        <w:rPr>
          <w:color w:val="000000"/>
        </w:rPr>
        <w:t xml:space="preserve"> </w:t>
      </w:r>
      <w:r>
        <w:rPr>
          <w:rFonts w:ascii="Times New Roman;sans-serif" w:hAnsi="Times New Roman;sans-serif"/>
          <w:b w:val="false"/>
          <w:i/>
          <w:color w:val="000000"/>
          <w:sz w:val="20"/>
        </w:rPr>
        <w:t>Note 8. Borrowing</w:t>
      </w:r>
      <w:r>
        <w:rPr>
          <w:rFonts w:ascii="Times New Roman;sans-serif" w:hAnsi="Times New Roman;sans-serif"/>
          <w:b w:val="false"/>
          <w:color w:val="000000"/>
          <w:sz w:val="20"/>
        </w:rPr>
        <w:t>, the Third Amendment, among other things, (1) provided us with the option to draw an additional $50.0 million of committed capital by March 15, 2024 (the Term C Loan); (2) provides us with the option to draw up to an additional $50.0 million of uncommitted capital, subject to approval by the Agent's investment committee (the Term D Loan); and (3) extended the interest-only period for the Four Loans to December 31, 2026, effective upon our decision to draw the Term B Loan in the amount of $22.5 million. In October 2023, we provided the Agent with notice of our decision to draw the Term B Loan to support the commercial launch of XPHOZAH and received the proceeds of the Term B Loan. In February 2024, we provided the Agent with notice of our decision to draw the Term C Loan to support the commercial launch of XPHOZAH and received the proceeds of the Term C Loan in March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we announced that Kyowa Kirin received approval from the Japanese MHLW for the NDA for tenapanor for the improvement of hyperphosphatemia in adult patients with chronic kidney disease on dialysis, which resulted in payment to us from Kyowa Kirin for an aggregate of $30.0 million for milestone payments and payments under the 2022 Amendment and entitled us to a $5.0 million payment under the terms of the HCR Agreement. We received these payments in October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operating losses since inception in 2007 and our accumulated deficit as of June 30, 2024 is $889.2 million. Our primary sources of cash have been from the sale of common stock (in both public offerings and private placements), private placements of convertible preferred stock, funds from our collaboration partnerships, funds from our 2018 Loan Agreement, as amended, and 2022 Loan Agreement, as amended, as well as from product sales. Our primary uses of cash have been to fund operating expenses, primarily research and development expenditures, as well as pre-commercial and commercial expenses. Cash used to fund operating expenses is impacted by the timing of when we pay these expenses, as reflected in the change in our outstanding accounts payable and accrued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addressed our operating cash flow requirements through cash generated from product sales of IBSRELA and XPHOZAH, proceeds from the sale of shares of our common stock under our at-the-market offering, from the receipt of milestones payments from our collaboration partners and payments from Kyowa Kirin under the 2022 Amendment to our License Agreement, which were received in October 2023, and from proceeds of the Term B and Term C Loans. We believe our available cash, cash equivalents and short-term investments as of June 30, 2024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but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to which we are able to generate product revenue from sales of IBSRELA and XPHOZAH;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whether any legislative, regulatory or judicial action is taken to further delay the inclusion of XPHOZAH, along with other oral ESRD-related drugs without an injectable or intravenous equivalent, in the ESRD PPS, which would otherwise occur on January 1,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adequacy of reimbursement and coverage of XPHOZAH beginning January 1, 2025 for all patients, regardless of insurance coverage, in the event that legislative, regulatory or judicial action to further delay the inclusion of oral only drugs in the ESRD PPS is not taken;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adequate third-party reimbursement for IBSRELA and XPHOZAH;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manufacturing, selling and marketing costs associated with IBSRELA and XPHOZAH;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any milestones that may be received from our collaboration partners in connection with tenapanor,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royalties we may receive as a result of sales of tenapanor by our collaboration partners in China, and Canada,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cash requirements for the discovery and/or development of other potential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Investment Corp., as amended to date.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see the risk factors set forth in Part II, Item 1A, Risk Factors, in this Quarterly Report on Form 10-Q for additional risks associated with our capital requirements.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(dollars in thousands):</w:t>
      </w:r>
    </w:p>
    <w:tbl>
      <w:tblPr>
        <w:tblW w:w="9429" w:type="dxa"/>
        <w:jc w:val="left"/>
        <w:tblInd w:w="0" w:type="dxa"/>
        <w:tblLayout w:type="fixed"/>
        <w:tblCellMar>
          <w:top w:w="28" w:type="dxa"/>
          <w:left w:w="28" w:type="dxa"/>
          <w:bottom w:w="28" w:type="dxa"/>
          <w:right w:w="28" w:type="dxa"/>
        </w:tblCellMar>
      </w:tblPr>
      <w:tblGrid>
        <w:gridCol w:w="1563"/>
        <w:gridCol w:w="1376"/>
        <w:gridCol w:w="1380"/>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268"/>
        <w:gridCol w:w="272"/>
        <w:gridCol w:w="316"/>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six months ended June 30, 2024 decreased by $4.4 million as compared to the same period in 2023 primarily due to adjustments to reconcile net loss to net cash used in operating activities such as stock-based compensation, as well as changes in our operating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investing activities during the six months ended June 30, 2024 increased by $89.9 million as compared to the same period in 2023 primarily due to the timing of our investment maturities and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during the six months ended June 30, 2024 decreased by $7.9 million as compared to the same period in 2023 primarily due to the receipt of $62.1 million from the issuance of common stock under the 2021 Open Market Sales Agreement in 2023. We have not received any proceeds under the 2021 Open Market Sales Agreement in 2024. Largely offsetting the decrease were $49.8 million net proceeds from the Term C Loan received in March 2024, as well as from the issuance of common stock under our equity incentive and stock purchase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pPr>
      <w:r>
        <w:rPr>
          <w:rFonts w:ascii="Times New Roman;sans-serif" w:hAnsi="Times New Roman;sans-serif"/>
          <w:b w:val="false"/>
          <w:i/>
          <w:color w:val="000000"/>
          <w:sz w:val="20"/>
        </w:rPr>
        <w:t>Interest Rate Risk.</w:t>
      </w:r>
      <w:r>
        <w:rPr>
          <w:color w:val="000000"/>
        </w:rPr>
        <w:t xml:space="preserve"> </w:t>
      </w:r>
      <w:r>
        <w:rPr>
          <w:rFonts w:ascii="Times New Roman;sans-serif" w:hAnsi="Times New Roman;sans-serif"/>
          <w:b w:val="false"/>
          <w:color w:val="000000"/>
          <w:sz w:val="20"/>
        </w:rPr>
        <w:t>We are subject to market risks, including interest rate fluctuation exposure through our investments, 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cash, cash equivalents and short-term investments of $186.0 million, which consisted of bank deposits and money market funds, as well as high quality fixed income instruments including commercial paper, U.S. government-sponsored agency bonds, corporate bonds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fluctuation exposure through our borrowings under the Loan Agreement and our investment in money market accounts which bear a variable interest rate. Borrowings under the 2022 Loan as amended bear interest at a floating per annum interest rate with 7.95% plus the greater of (a) one percent (1.00%) per annum and (b)(i) 0.022% plus (ii) 1-month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$0.3 million for the six months ended June 30, 2024. As of June 30, 2024, we had an aggregate principal amount of $100.0 million outstanding pursuant to our 2022 Loan Agreement.</w:t>
      </w:r>
    </w:p>
    <w:p>
      <w:pPr>
        <w:pStyle w:val="TextBody"/>
        <w:bidi w:val="0"/>
        <w:spacing w:lineRule="auto" w:line="288" w:before="240" w:after="283"/>
        <w:jc w:val="both"/>
        <w:rPr/>
      </w:pPr>
      <w:r>
        <w:rPr>
          <w:rFonts w:ascii="Times New Roman;sans-serif" w:hAnsi="Times New Roman;sans-serif"/>
          <w:b w:val="false"/>
          <w:i/>
          <w:color w:val="000000"/>
          <w:sz w:val="20"/>
        </w:rPr>
        <w:t>Foreign Currency Risk.</w:t>
      </w:r>
      <w:r>
        <w:rPr>
          <w:color w:val="000000"/>
        </w:rPr>
        <w:t xml:space="preserve"> </w:t>
      </w:r>
      <w:r>
        <w:rPr>
          <w:rFonts w:ascii="Times New Roman;sans-serif" w:hAnsi="Times New Roman;sans-serif"/>
          <w:b w:val="false"/>
          <w:color w:val="000000"/>
          <w:sz w:val="20"/>
        </w:rPr>
        <w:t>The majority of our transactions are denominated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non-cash royalty revenue related to the sale of future royalties, assets and liabilities associated with a limited number of manufacturing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no open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Securities Exchange Act of 1934, as amended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June 30, 2024.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June 30, 2024, our disclosure controls and procedures were effective at a reasonable assurance level.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there were no changes in our internal control over financial reporting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pPr>
      <w:r>
        <w:rPr>
          <w:rFonts w:ascii="Times New Roman;sans-serif" w:hAnsi="Times New Roman;sans-serif"/>
          <w:b w:val="false"/>
          <w:color w:val="000000"/>
          <w:sz w:val="20"/>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sans-serif" w:hAnsi="Times New Roman;sans-serif"/>
          <w:b w:val="false"/>
          <w:i/>
          <w:color w:val="000000"/>
          <w:sz w:val="20"/>
        </w:rPr>
        <w:t>Strezsak v. Ardelyx, Inc., et al.</w:t>
      </w:r>
      <w:r>
        <w:rPr>
          <w:rFonts w:ascii="Times New Roman;sans-serif" w:hAnsi="Times New Roman;sans-serif"/>
          <w:b w:val="false"/>
          <w:color w:val="000000"/>
          <w:sz w:val="20"/>
        </w:rPr>
        <w:t xml:space="preserve">, Case No. 4:21-cv-05868-HSG, and </w:t>
      </w:r>
      <w:r>
        <w:rPr>
          <w:rFonts w:ascii="Times New Roman;sans-serif" w:hAnsi="Times New Roman;sans-serif"/>
          <w:b w:val="false"/>
          <w:i/>
          <w:color w:val="000000"/>
          <w:sz w:val="20"/>
        </w:rPr>
        <w:t>Siegel v. Ardelyx, Inc., et al.</w:t>
      </w:r>
      <w:r>
        <w:rPr>
          <w:rFonts w:ascii="Times New Roman;sans-serif" w:hAnsi="Times New Roman;sans-serif"/>
          <w:b w:val="false"/>
          <w:color w:val="000000"/>
          <w:sz w:val="20"/>
        </w:rPr>
        <w:t>, Case No. 5:21-cv-06228-HSG (together, the Securities Class Actions). The complaints allege that the defendants violated Sections 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 second amended complaint under which the plaintiffs seek to represent all persons who purchased or otherwise acquired Ardelyx securities between March 6, 2020 and July 19, 2021. Defendants filed a motion to dismiss the amended complaint on June 2, 2023. On March 22, 2024, the court granted defendants’ motion to dismiss. The court provided plaintiffs a third opportunity to amend and plaintiffs filed a third amended complaint on April 19, 2024. Defendants filed a motion to dismiss the third amended complaint on June 3, 2024. A hearing on the motion to dismiss is currently set for October 3, 2024.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17, 2024, the Company, in partnership with the American Association of Kidney Patients (AAKP) and the National Minority Quality Forum (NMQF), filed a lawsuit in the U.S. District Court for the District of Columbia against the Centers for Medicare &amp; Medicaid Services (CMS), claiming that CMS has violated its statutory and regulatory authority under the Medicare Improvements for Patients and Providers Act (MIPPA), which established the ESRD PPS bundled payment system for dialysis services in 2008. Specifically, the lawsuit claims that CMS’s plan to move XPHOZAH, along with all oral-only drugs, into the ESRD PPS is inconsistent with MIPPA’s statutory provision, and contradicts CMS’s own regulations. XPHOZAH and other oral-only drugs, which are currently available to patients under Medicare Part D, are not administered by dialysis providers and cannot be taken during the delivery of maintenance dialysis. The Company, AAKP and NMQF are seeking relief under the Administrative Procedure Act to enjoin CMS from proceeding with its plan to include XPHOZAH in the ESRD PPS and eliminate coverage under Medicare Part D beginning on January 1,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As of June 30, 2024, there is no litigation pending that would reasonably be expected to have a material adverse effect on our results of operations and financial condition, and no contingent liabilities were accrued as of June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Capital Requirements</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i/>
          <w:color w:val="000000"/>
          <w:sz w:val="20"/>
        </w:rPr>
        <w:t>We are not profitable and have incurred significant losses since our inception, and we expect to continue to incur operating losses in the future as we commercialize IBSRELA</w:t>
      </w:r>
      <w:r>
        <w:rPr>
          <w:rFonts w:ascii="Times New Roman;sans-serif" w:hAnsi="Times New Roman;sans-serif"/>
          <w:b/>
          <w:i/>
          <w:color w:val="000000"/>
          <w:sz w:val="13"/>
        </w:rPr>
        <w:t xml:space="preserve">® </w:t>
      </w:r>
      <w:r>
        <w:rPr>
          <w:rFonts w:ascii="Times New Roman;sans-serif" w:hAnsi="Times New Roman;sans-serif"/>
          <w:b/>
          <w:i/>
          <w:color w:val="000000"/>
          <w:sz w:val="20"/>
        </w:rPr>
        <w:t>and XPHOZAH</w:t>
      </w:r>
      <w:r>
        <w:rPr>
          <w:rFonts w:ascii="Times New Roman;sans-serif" w:hAnsi="Times New Roman;sans-serif"/>
          <w:b/>
          <w:i/>
          <w:color w:val="000000"/>
          <w:sz w:val="13"/>
        </w:rPr>
        <w:t>®</w:t>
      </w:r>
      <w:r>
        <w:rPr>
          <w:rFonts w:ascii="Times New Roman;sans-serif" w:hAnsi="Times New Roman;sans-serif"/>
          <w:b/>
          <w:i/>
          <w:color w:val="000000"/>
          <w:sz w:val="20"/>
        </w:rPr>
        <w:t>, incur manufacturing and development costs for tenapanor, and incur additional expenses related to our ongoing operations and our pursuit of future business opportunities.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commenced the commercialization of our first product, IBSRELA® (tenapanor) for the treatment of irritable bowel syndrome with constipation (IBS-C) in adult patients. In November 2023, we commenced the commercialization of XPHOZAH® (tenapanor) for the reduction of serum phosphorus in adults with chronic kidney disease (CKD) on dialysis as add-on therapy in patients who have an inadequate response to phosphate binders or who are intolerant of any dose of phosphate binder therapy.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profitable and have incurred losses in each year since our inception in October 2007, and we do not know whether or when we will become profitable. We continue to incur significant commercialization, development and additional expenses related to our ongoing operations. As of June 30, 2024, we had an accumulated deficit of $889.2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incur operating losses for the foreseeable future as we commercialize IBSRELA and XPHOZAH, incur manufacturing and development costs for tenapanor, and incur additional expenses related to our ongoing operations and our pursuit of future business opportunities.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our liquidity, financial condition, and business prospects will be materially affected.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utilize our net operating loss carryforwards and certain other tax attributes may be limited.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may be subject to limitations, pursuant to Sections 382 and 383 of the Internal Revenue Code of 1986, as amended (the Code). In general, if a corporation undergoes an “ownership change,” generally defined as a cumulative change of more than 50 percentage points (by value) in its equity ownership by certain stockholders over a three-year period, the corporation’s ability to use its pre-change net operating loss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will require additional financing for the foreseeable future as we invest in the commercialization of IBSRELA and XPHOZAH in the U.S. and incur additional expenses related to our ongoing operations. The inability to access necessary capital when needed on acceptable terms, or at all, could force us to reduce our efforts to commercialize IBSRELA or XPHOZAH, or to delay or limit our pursuit of other future business opportunities.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continue to expend substantial resources for the foreseeable future, including costs associated with our efforts to commercialize IBSRELA and XPHOZAH; conducting pediatric clinical trials for IBSRELA; manufacturing for IBSRELA and XPHOZAH and research and development related to potential new product candidates. The inability to access necessary capital when needed on acceptable terms, or at all, could force us to reduce our efforts to commercialize IBSRELA or XPHOZAH, or to otherwise limit aspects of our business. Our future funding requirements will depend on many factors, including, but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to which we are able to generate product revenue from sales of IBSRELA and XPHOZAH;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whether any legislative or judicial action is taken to further delay the inclusion of XPHOZAH, along with other oral ESRD-related drugs without an injectable or intravenous equivalent, in the ESRD PPS, which would otherwise occur on January 1,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adequacy of reimbursement and coverage of XPHOZAH beginning January 1, 2025 for all patients, regardless of insurance coverage, in the event that legislative, regulatory or judicial action to further delay the inclusion of oral only drugs in the ESRD PPS is not taken;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adequate third-party reimbursement for IBSRELA and XPHOZAH;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manufacturing, selling and marketing costs associated with IBSRELA and XPHOZAH;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any milestones that may be received from our collaboration partners in connection with tenapanor,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royalties we may receive as a result of sales of tenapanor by our collaboration partners in China, and Canada,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cash requirements for the discovery and/or development of other potential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Investment Corp., as amended to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funds may not be available when we need them on terms that are acceptable to us, or at all. If adequate funds are not available to us on a timely basis, we may be required to limit or reduce our commercialization of IBSRELA or XPOHZAH, delay or limit additional clinical trials for tenapanor, or delay or limit our pursuit of other future business opportunities.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XPHOZAH through the use of alternative structures.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generated limited revenue from product sales and may never be profitable.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began selling IBSRELA in the U.S. in March 2022 and have recognized approximately $159.5 million in net revenue from product sales of IBSRELA through June 30, 2024. We began selling XPHOZAH in the U.S. in November 2023 and have recognized approximately $54.8 million in net revenue from product sales of XPHOZAH through June 30, 2024. We have no other products approved for sale.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we will generate sufficient product revenue from sales of IBSRELA and XPHOZAH to cover our expenses. Our ability to generate product revenue from sales or pursuant to milestone or royalty payments depends heavily on many factors, including but not limited to:</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commercialize ISBRELA and XPHOZAH and to increase market share for both products;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maintaining sufficient market acceptance of IBSRELA as a viable treatment option for IBS-C;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obtaining market acceptance of XPHOZAH;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and XPHOZAH by third-party payors;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whether any legislative or judicial action is taken to further delay the inclusion of XPHOZAH, along with other oral ESRD-related drugs without an injectable or intravenous equivalent, in the ESRD PPS, which would otherwise occur on January 1,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adequacy of reimbursement and coverage of XPHOZAH beginning January 1, 2025 for all patients, regardless of insurance coverage, in the event that legislative, regulatory or judicial action to further delay the inclusion of oral only drugs in the ESRD PPS is not taken;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establishing and maintaining supply and manufacturing relationships with third parties that can provide an adequate (in amount and quality) supply of product to support the market demand for IBSRELA and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addressing any competing technological and market developments;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before="60" w:after="283"/>
        <w:jc w:val="both"/>
        <w:rPr/>
      </w:pPr>
      <w:r>
        <w:rPr/>
      </w:r>
    </w:p>
    <w:p>
      <w:pPr>
        <w:pStyle w:val="TextBody"/>
        <w:bidi w:val="0"/>
        <w:spacing w:lineRule="auto" w:line="288" w:before="0" w:after="0"/>
        <w:jc w:val="both"/>
        <w:rPr/>
      </w:pPr>
      <w:r>
        <w:rPr>
          <w:rFonts w:ascii="Times New Roman;sans-serif" w:hAnsi="Times New Roman;sans-serif"/>
          <w:b w:val="false"/>
          <w:color w:val="000000"/>
          <w:sz w:val="20"/>
        </w:rPr>
        <w:t>With respect to our commercialization of IBSRELA and XPHOZAH, our revenue will be dependent, in part, upon the size of the markets in the U.S., the label for which approval was granted, accepted price for the product, and the ability to secure and maintain adequate reimbursement. While there is significant uncertainty related to the insurance coverage and reimbursement of newly approved products in general in the U.S., there is additional uncertainty related to insurance coverage and reimbursement for drugs, like XPHOZAH, which is being marketed for the reduction of serum phosphorus in adults with CKD on dialysis as add-on therapy in patients who have an inadequate response to phosphate binders or who are intolerant of any dose of phosphate binder therapy. Our ability to generate and sustain future revenues from sales of XPHOZAH, will be significantly dependent upon whether and when XPHOZAH, along with other oral drugs without an injectable or intravenous equivalent, are bundled into the ESRD PPS. See “—</w:t>
      </w:r>
      <w:r>
        <w:rPr>
          <w:rFonts w:ascii="Times New Roman;sans-serif" w:hAnsi="Times New Roman;sans-serif"/>
          <w:b w:val="false"/>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In the event that legislative, regulatory or judicial action to further delay the inclusion of oral only drugs in the ESRD PPS is not taken, XPHOZAH will become part of the ESRD PPS on January 1, 2025, and will no longer be covered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 xml:space="preserve">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the number of adult patients for IBSRELA and/or XPHOZAH is not as significant as we estimate, coverage and reimbursement for either IBSRELA or XPHOZAH are not available in the manner and to the extent we expect, or the reasonably accepted population for treatment is narrowed by competition, physician choice or treatment guidelines, we may not generate significant revenue from the sale of IBSRELA or XPHOZAH.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Principal Risks Related to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began selling IBSRELA in the U.S. in March 2022. The overall commercial success of IBSRELA will depend on a number of factors, including the following: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IBSRELA;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by third-party payors;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effectiveness of IBSRELA as a treatment for adult patients with IBS-C;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size of the treatable patient population;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continue to increase the market share of IBSRELA;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effectiveness of our sales, market access and marketing efforts;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whether physicians view IBSRELA as a safe and effective treatment for adult patients with IBS-C, which will impact the adoption of IBSRELA by physicians for the treatment of IBS-C;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availability, perceived advantages, relative cost, relative safety and relative efficacy of IBSRELA compared to alternative and competing treatments;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prevalence and severity of adverse side effects of IBSRELA;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IBSRELA;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continued acceptable safety and tolerability profile of IBSRELA following approval.</w:t>
      </w:r>
    </w:p>
    <w:p>
      <w:pPr>
        <w:pStyle w:val="TextBody"/>
        <w:bidi w:val="0"/>
        <w:spacing w:before="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and maintain sufficient third-party coverage or reimbursement, or achieve commercial success would adversely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we will achieve sufficient market acceptance for XPHOZAH, secure and maintain adequate coverage and reimbursement for XPHOZAH, or generate sufficient revenue from product sales of XPHOZAH.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ability to maintain adequate coverage and reimbursement for XPHOZAH significantly depends upon whether and when XPHOZAH, along with other oral ESRD-related drugs without an injectable or intravenous equivalent, are bundled into the ESRD PPS. Absent legislative, regulatory or judicial action, XPHOZAH will enter the ESRD PPS on January 1, 2025, and separate reimbursement under Medicare Part D will no longer be available, which will negatively and materially impact our sales of XPHOZAH. See “—</w:t>
      </w:r>
      <w:r>
        <w:rPr>
          <w:rFonts w:ascii="Times New Roman;sans-serif" w:hAnsi="Times New Roman;sans-serif"/>
          <w:b w:val="false"/>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In the event that legislative, regulatory or judicial action to further delay the inclusion of oral only drugs in the ESRD PPS is not taken, XPHOZAH will become part of the ESRD PPS on January 1, 2025, and will no longer be covered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 xml:space="preserve">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if legislative, regulatory or judicial action is taken to delay the inclusion of oral only drugs in the ESRD PPS, the commercial success of XPHOZAH will depend on a number of factors, including the following:</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length of any such legislative, regulatory or judicial delay in the inclusion of oral only drugs in the ESRD PPS;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when, and the manner in which, XPHOZAH and other oral ESRD-related drugs without an injectable or intravenous equivalent are bundled into the ESRD PPS, including the length of any applicable TDAPA period, and the amount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add-on payment available during the TDAPA period, and whether, and the extent to which, the ESRD PPS base rate is adjusted following any applicable TDAPA period, in the event that legislative, regulatory or judicial action is taken to delay but not ultimately prevent the inclusion of oral only drugs in the ESRD PPS;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both IBSRELA and XPHOZAH;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whether or not the content and breadth of the label that has been approved by the U.S. FDA for XPHOZAH will materially and adversely impact our ability to commercialize the product for the approved indication;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prevalence and severity of adverse side effects of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acceptance of XPHOZAH as safe, effective and well-tolerated by patients and the medical community;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availability, perceived advantages, relative cost, relative safety and relative efficacy of XPHOZAH compared to alternative and competing treatments;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obtaining and sustaining an adequate level of coverage and reimbursement for XPHOZAH by third-party payors;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continued acceptable safety and tolerability profile of XPHOZAH following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 the event that legislative, regulatory or judicial action to further delay the inclusion of oral only drugs in the ESRD PPS is not taken, XPHOZAH will become part of the ESRD PPS on January 1, 2025, after which time, coverage for XPHOZAH for Medicare beneficiaries will no longer be available under Medicate Part D, and as a result the revenue that we may generate on sales of XPHOZAH will be negatively and materially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2011, the Centers for Medicare &amp; Medicaid Services (CMS), an agency within the United States Department of Health and Human Services responsible for administering the Medicare program, implemented the ESRD PPS, a new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The inclusion of oral medications without injectable or intravenous equivalents in the bundled payment was initially delayed by CMS until January 1, 2014, and through several subsequent legislative actions has been delayed until January 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27, 2024, CMS released the proposed Calendar Year 2025 ESRD PPS rule (CY 2025 Proposed Rule) in which CMS confirmed its intention to bring XPHOZAH other oral ESRD-related drugs without and injectable or intravenous equivalent into the ESRD PPS beginning January 1, 2025, and to cease separate payment for XPHOZAH and other such drugs under Medicare Part D on such date. CMS also provided specific guidance as to how it intends to bundle XPHOZAH into the ESRD PPS indicating that it does not intend to introduce XPHOZAH into the ESRD PPS in the same manner that it intends to introduce all other phosphate lowering medications. Rather, CMS has determined that the Transitional Drug Add on Payment Adjustment (TDAPA) for new renal dialysis drugs applies to XPHOZAH. Under the CMS guidance for new renal dialysis drugs, in order to ensure TDAPA availability on January 1, 2025, a TDAPA application should be filed in the application period ending on July 1, 2024. Additionally, CMS’s determination to introduce XPHOZAH into the ESRD PPS through a different pathway than that through which phosphate binders will be introduced suggests CMS’ current intention to limit the utilization data considered in determining the amount of a permanent base rate adjustment after the TDAPA period to the utilization data collected for the phosphate binders, excluding XPHOZAH utilization from such permanent base rate adjustment analysis.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review and analysis of the CY 2025 Proposed Rule, we determined that filing for TDAPA at this time is not in the best interest of patients or our XPHOZAH business, and on July 2, 2024, we announced that we did not file an application for TDAPA on or prior to July 1, 2024. CMS’s determination to bring XPHOZAH into the ESRD PPS will materially and adversely impact our XPHOZAH business, and our profitability, results of operations, financial condition and prospects will be materially and adversely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to which the inclusion of XPHOZAH in the ESRD PPS will materially and adversely impact our XPHOZAH business is dependent on the following: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extent to which access to XPHOZAH is restricted by the dialysis providers and the extent to which such restrictions will interfere with the shared decision-making between healthcare professionals and their patients, regardless of insurance coverage;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to which the separate payment for XPHOZAH for Medicare beneficiaries under Medicare Part D will influence the payment decisions of other payors and the extent to which payment XPHOZAH will continue to be paid for as a pharmacy benefit for non-Medicare patients.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IBSRELA and/or XPHOZAH may cause undesirable side effects or have other properties that could limit the commercial success of the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authorities may withdraw their approval of the product or seize the product;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or a collaboration partner may be required to recall the product;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or a collaboration partner may be subject to fines, injunctions or the imposition of civil or criminal penalties;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authorities may require the addition of new labeling statements, such as a “black box” warning or a contraindication;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could be sued and held liable for harm caused to patients;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product may become less competitive;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reputation may suffer.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 principal decisions about coverage and reimbursement for new drugs are typically made by CMS, as CMS decides whether and to what extent a new drug will be covered and reimbursed under Medicare. Private payors tend to follow the coverage reimbursement policies established by CMS to a substantial degree.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June 27, 2024, CMS released the CY 2025 Proposed Rule in which CMS confirmed its intention to bring XPHOZAH and all oral only drugs in to the ESRD PPS beginning January 1, 2025, and to cease separate payment for XPHOZAH and all oral only drugs under Medicare Part D on such date. In the event of no legislative, regulatory or judicial action, XPHOZAH, along with other oral ESRD related drugs without injectable or intravenous equivalents, will be included in the ESRD PPS beginning on January 1, 2025. Should XPHOZAH be brought into the ESRD PPS bundle in 2025, or at any time, we may be unable to sell XPHOZAH to dialysis providers on a profitable basis. See “—</w:t>
      </w:r>
      <w:r>
        <w:rPr>
          <w:rFonts w:ascii="Times New Roman;sans-serif" w:hAnsi="Times New Roman;sans-serif"/>
          <w:b w:val="false"/>
          <w:i/>
          <w:color w:val="000000"/>
          <w:sz w:val="20"/>
        </w:rPr>
        <w:t xml:space="preserve">In the event that legislative, regulatory or judicial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i/>
          <w:color w:val="000000"/>
          <w:sz w:val="20"/>
        </w:rPr>
        <w:t>action to further delay the inclusion of oral only drugs in the ESRD PPS is not taken, XPHOZAH will become part of the ESRD PPS on January 1, 2025, and will no longer be covered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 xml:space="preserve">above for a more detailed discussion related to the risks that may occur if XPHOZAH is brought into the ESRD PPS bundle.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facilities used by our contract manufacturing organizations (CMOs) to manufacture our drug supply are subject to inspection by the U.S.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current Good Manufacturing Practice requirements (cGMPs), for manufacture of both active drug substances and finished drug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CMOs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Our future results depend on CMOs, many of whom are our single source manufacturers.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may be time consuming and costly.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we entered into a loan and security agreement with SLR (Lender) pursuant to which the Lender agreed to provide us with a loan facility for up to $50.0 million with a maturity date of March 1, 2027, and on August 1, 2022, February 9, 2023 and October 17, 2023, we entered into amendments to the loan and security agreement (collectively, the 2022 Loan Agreement). The loan was funded in the amount of $27.5 million on February 23, 2022 and additional amounts of $22.5 million and $50.0 million were drawn on October 19, 2023, and March 1, 2024, respectively. In addition, subject to the Lender approval of its investment committee, we may be able to draw up to an additional $50.0 million by December 31, 2026.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permitted to make interest only payments on the loan facility through December 31, 2026, with principal repayments commencing on January 1, 2027. 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Additional Risks Related to Our Business and Industry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Clinical drug development involves a lengthy and expensive process with an uncertain outcome.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conduct of additional clinical trials, we could encounter delays in our development if any clinical trials are suspended or terminated by us, by the institutional review boards of the institutions in which the trial is being conducted, or by the U.S.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U.S.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the ability to independently conduct nonclinical studies or clinical trials. We rely on medical institutions, clinical investigators, contract laboratories, and other third parties, such as Contract Research Organizations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U.S.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investigators and trial sites. If we or any of our third-party contractors fail to comply with applicable regulatory requirements, including GCPs, the clinical data generated in our clinical trials may be deemed unreliable and the U.S.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substantial competition, and our competitors may discover, develop or commercialize products faster or more successfully than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XPHOZAH is indicated to reduce serum phosphorus in adults with chronic kidney disease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currently available phosphate binders, we are aware of at least four phosphate binders in development, including fermagate (Alpharen), an iron-based binder in Phase 3 being developed by Opko Health, Inc., PT20, an iron-based binder in Phase 3 being developed by Shield Therapeutics, AP-301, a binder in Phase 3 being developed by Alebund Pharmaceutical (Hong Kong) Limited, and Oxylanthanum Carbonate (OLC), which has demonstrated pharmacodynamic bioequivalence to Fosrenol. OLC is being developed by Unicycive Therapeutics, which has announced its plans to seek U.S. FDA approval via the 505(b)(2) pathway. Additionally, Chugai and Alebund are developing EOS789/AP-306, an inhibitor of phosphate transporters NaPi-2b, PiT-1, and PiT-2, thus far studied in a Phase 2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experience difficulties in managing our current activities and growth given our level of managerial, operational, financial and other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manage any commercialization activities in which we may engage effectively;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manage our clinical trials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manage our internal development efforts effectively while carrying out our contractual obligations to licensors, contractors, collaborators, government agencies and other third parties;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continue to improve our operational, financial and management controls, reporting systems and procedures;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retain and motivate our remaining employees and potentially identify, recruit, and integrate additional 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or expand our managerial, operational, financial and other resources to the extent required to manage our development and commercialization activities, our business will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liabilities and may be required to limit commercialization of IBSRELA and/or XPHOZAH.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the clinical testing of our product candidates and our commercialization of IBSRELA and XPOHZAH.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decreased demand for the product;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diversion of management’s time and our resources;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substantial monetary awards to trial participants or patients;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investigations, product recalls or withdrawals, or labeling, marketing or promotional restrictions;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loss of revenue;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inability to commercialize or co-promote IBSRELA and/or XPHOZAH.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attract, retain and motivate our executives, senior management and key personnel, our business will suffer.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our operations and business grow, we may become subject to or affected by new or additional data protection laws and regulations and face increased scrutiny or attention from regulatory authorities. In the U.S., the Health Insurance Portability and Accountability Act of 1996, as amended, and regulations promulgated thereunder (collectively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other states and are continuing to be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Federal Trade Commission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information technology systems and infrastructure, and those of our current and any future collaborators, CROs, contractors and consultants and other third parties on which we rely, are vulnerable to attack, damage and interruption from computer viruses, malware (</w:t>
      </w:r>
      <w:r>
        <w:rPr>
          <w:rFonts w:ascii="Times New Roman;sans-serif" w:hAnsi="Times New Roman;sans-serif"/>
          <w:b w:val="false"/>
          <w:i/>
          <w:color w:val="000000"/>
          <w:sz w:val="20"/>
        </w:rPr>
        <w:t xml:space="preserve">e.g., </w:t>
      </w:r>
      <w:r>
        <w:rPr>
          <w:rFonts w:ascii="Times New Roman;sans-serif" w:hAnsi="Times New Roman;sans-serif"/>
          <w:b w:val="false"/>
          <w:color w:val="000000"/>
          <w:sz w:val="20"/>
        </w:rPr>
        <w:t>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formed in the past, and may form in the future, collaboration partnerships, joint ventures and/or licensing arrangements, and we may not realize the benefits of such collaborations.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Shanghai Fosun Pharmaceutical Industrial Development Co. Ltd. (Fosun Pharma) for commercialization of tenapanor for hyperphosphatemia and IBS-C in China and related territories; in Canada with Knight Therapeutics, Inc. (Knight) for commercialization of tenapanor for IBS-C and hyperphosphatemia; and with METiS Therapeutics, Inc. (METiS) for the development and commercialization of a portfolio of TGR5 agonist compounds for all therapeutic areas.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commit sufficient resources to the development, regulatory approval, and commercialization effort for such products, or that such alliances will result in us achieving revenues that justify such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engage in strategic transactions that could impact our liquidity, increase our expenses and present significant distractions to our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exposure to unknown liabilities;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disruption of our business and diversion of our management’s time and attention in order to develop acquired products, product candidates or technologies;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incurrence of substantial debt or dilutive issuances of equity securities;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higher-than-expected acquisition and integration costs;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write-downs of assets or goodwill or impairment charges;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increased amortization expenses;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difficulty and cost in combining the operations and personnel of any acquired businesses with our operations and personnel;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impairment of relationships with key suppliers or customers of any acquired businesses due to changes in management and ownership;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inability to retain key employees of any acquired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collaboration partners have sought and obtained and may continue to seek and obtain marketing approval for tenapanor outside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different regulatory requirements for drug approvals in foreign countries;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differing U.S. and foreign drug import and export rules;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reduced protection for intellectual property rights in foreign countries;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unexpected changes in tariffs, trade barriers and regulatory requirements;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different reimbursement systems, and different competitive drugs;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economic weakness, including inflation, or political instability in particular foreign economies and markets;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foreign taxes, including withholding of payroll taxes;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workforce uncertainty in countries where labor unrest is more common than in the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potential liability resulting from development work conducted by these distributors;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business interruptions resulting from geopolitical actions, including war and terrorism, or natural disasters.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involves the use of hazardous materials and we and third-parties with whom we contract must comply with environmental laws and regulations, which can be expensive and restrict how we do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by earthquakes or other natural disasters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 natural disaster, power outage or other event occurred that prevented us from using all or a significant portion of our leased facilities, including our California facility, that damaged critical infrastructure supporting access to systems such as our enterprise financial systems or manufacturing resource planning and enterprise quality systems, or that otherwise disrupted operations, it may be difficult or time consuming to restore some business of our business functions. The disaster recovery and business continuity plans we have in place currently are not 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after a drug is approved by the U.S.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ongoing requirements for potentially costly post-marketing studies. Furthermore, any new legislation addressing drug safety issues could result in delays or increased costs to assure compliance.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also be required to report certain adverse reactions and production problems, if any, to the U.S.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U.S. FDA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warning or untitled letters or fines;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suspension or revocation of existing regulatory approvals;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suspension of any of our ongoing clinical trials;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refusal to approve pending applications or supplements to approved applications submitted by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restrictions on our or our CMOs’ operations; or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product seizure or detention, or refusal to permit the import or export of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cannot predict the likelihood, nature or extent of government regulation that may arise from future legislation or administrative or executive action, either in the U.S. or abroad.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Disruptions at the U.S.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U.S.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U.S. FDA’s ability to perform routine functions. For example, over the last several years, the U.S. government has shut down several times and certain regulatory agencies, such as the U.S. FDA, have had to furlough critical U.S. FDA employees and stop critical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at the U.S. FDA and other agencies may also slow the time necessary for new drugs to be reviewed and/or approved by necessary government agencies, which would adversely affect our business. If a prolonged government shutdown occurs, or if global health concerns prevent the U.S. FDA or other regulatory authorities from conducting their regular inspections, reviews, or other regulatory activities, it could significantly impact the ability of the U.S. FDA or other regulatory authorities to timely review and process our regulatory submissions, which could have a material adverse effect on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CMOs are subject to significant regulation with respect to manufacturing IBSRELA and XPHOZAH. The manufacturing facilities on which we rely may not continue to meet regulatory requirements or may not be able to meet supply demands.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U.S.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or any of our third-party manufacturers fail to maintain regulatory compliance, the U.S.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or are found to have failed to comply with U.S. FDA and other regulations related to the promotion of our products for unapproved uses, we could be subject to criminal penalties, substantial fines or other sanctions and damage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relating to the promotion of products for unapproved uses are complex and subject to substantial interpretation by the U.S. FDA and other government agencies. With respect to the commercialization of IBSRELA and/or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U.S.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U.S. FDA,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U.S.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IBSRELA and/or XPHOZAH may cause or contribute to adverse medical events that we are required to report to regulatory agencies and if we fail to do so we could be subject to sanctions that would materially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U.S. FDA or a foreign regulatory agency could take action, including criminal prosecution, the imposition of civil monetary penalties, seizure of our products or delay in approval or clearance of future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employees, independent contractors, principal investigators, CROs, collaboration partners, consultants, CMOs and vendors may engage in misconduct or other improper activities, including noncompliance with regulatory standards and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U.S. FDA regulations, including those laws that require the reporting of true, complete and accurate financial and other information to the U.S.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obtain regulatory approvals in foreign jurisdictions would prevent us from marketing our products internationally.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procedures vary among countries and can involve additional clinical testing, and the time required to obtain approval may differ from that required to obtain U.S. FDA approval. Clinical trials conducted in one country may not be accepted by regulatory authorities in other countries. Approval by the U.S. FDA does not ensure approval by regulatory authorities in other countries, and approval by one or more foreign regulatory authorities does not ensure approval by regulatory authorities in other foreign countries or by the U.S. FDA. However, a failure or delay in obtaining regulatory approval in one country may have a negative effect on the regulatory process in others. The foreign regulatory approval process may include all of the risks associated with obtaining U.S. FDA approval. We may not be able to file for regulatory approvals or to do so on a timely basis, and even if we do file, we may not receive necessary approvals to commercialize our products in any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federal Physician Payments Sunshine Act requirements under the Affordable Care Act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laws that require drug manufacturers to report information related to payments and other transfers of value to physicians and other healthcare providers or pricing information and marketing expenditures;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European and other foreign law equivalents of each of the laws, including reporting requirements detailing interactions with and payments to healthcare providers.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U.S. FDA regulations and guidance are often revised or reinterpreted by the U.S.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additional clinical trials to be conducted prior to obtaining approval;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to manufacturing methods;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recall, replacement, or discontinuance of one or more of our products;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additional record keeping.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Moreover, on June 27, 2024, CMS released the CY 2025 Proposed Rule in which CMS confirmed its intention to bring XPHOZAH and all oral only drugs in to the ESRD PPS beginning January 1, 2025, and to cease separate payment for XPHOZAH and all oral only drugs under Medicare Part D on such date. Our ability to maintain adequate coverage and reimbursement for XPHOZAH significantly depends upon whether and when XPHOZAH, along with other oral ESRD-related drugs without an injectable or intravenous equivalent, are bundled into the ESRD PPS. Absent legislative, regulatory or judicial action, XPHOZAH will enter the ESRD PPS on January 1, 2025, which means it will no longer be covered by Medicare Part D, which will negatively and materially impact our sales of XPHOZAH. See “—</w:t>
      </w:r>
      <w:r>
        <w:rPr>
          <w:rFonts w:ascii="Times New Roman;sans-serif" w:hAnsi="Times New Roman;sans-serif"/>
          <w:b w:val="false"/>
          <w:i/>
          <w:color w:val="000000"/>
          <w:sz w:val="20"/>
        </w:rPr>
        <w:t>In the event that legislative, regulatory or judicial action to further delay the inclusion of oral only drugs in the ESRD PPS is not taken, XPHOZAH will become part of the ESRD PPS on January 1, 2025, and will no longer be covered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above.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eliminated the statutory Medicaid drug rebate cap beginning January 1, 2024. The rebate was previously capped at 100% of a drug's average manufacturer price.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Under the IRA, small molecule drugs and biologics first become eligible for price negotiation seven and eleven years, respectively, after U.S. FDA approval. The IRA permits the Secretary of the Department of Health and Human Services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our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commercial launch of IBSRELA, 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that participates in the MDRP also participate in the Public Health Service’s 340B drug pricing program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success will depend on our ability to obtain, maintain and protect our intellectual property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and we cannot ensure that:</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patents, or any of our pending patent applications, if issued, will include claims having a scope sufficient to protect our products or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pending patent applications will issue as patents;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were the first to make the inventions covered by each of our patents and pending patent applications;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were the first to file patent applications for these inventions;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Others will not develop, manufacture and/or commercialize similar or alternative products or technologies that do not infringe our patents;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challenged patents will ultimately be found to be valid and enforceable;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will develop additional proprietary technologies or products that are separately patentable; or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commercial activities or products will not infringe upon the patents of others.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infringement claims against us, third parties may also raise similar claims before administrative bodies in the U.S. or abroad. Such mechanisms include reexamination, post grant review, inter parties review, derivation or opposition proceedings before the United States Patent and Trademark Office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not able to successfully enforce our intellectual property rights, the commercial value of IBSRELA and XPHOZAH or other product candidates may be adversely affected and we may not be able to compete effectively in our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composition and use of IBSRELA are currently claimed by four (4) issued patents that are listed in the U.S.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or any of our future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Hatch-Waxman Act provides non-patent regulatory exclusivity for five years from the date of the first U.S. FDA approval of a drug containing a new chemical entity (NCE). The U.S. FDA is prohibited during those five years from approving an Abbreviated New Drug Application (ANDA) that references the NDA that has been granted NCE exclusivity. However, if any patents are listed in the U.S. FDA Orange Book for such NCE-containing drug, a generic manufacturer may file an ANDA that references a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U.S. FDA from approving, another full NDA (i.e. not an ANDA) for an already-approved drug where the third party has conducted its own pre-clinical and clinical trials to independently demonstrate safety and effectiveness without reliance on the original NDA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NCE exclusivity has been granted for an NDA, as in the case of IBSRELA, if an ANDA sponsor has provided a Paragraph IV certification to the U.S. FDA when filing an ANDA, the ANDA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U.S.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or that we will be successful in enforcing our Orange Book listed patents against such ANDA sponsor.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Patent No. 8,541,448 covering tenapanor was subject to patent term adjustment (PTA) under the American Inventors Protection Act for delays by the United States Patent and Trademark Office in granting the patent. Additionally, following the approval by the U.S. FDA for our NDA to market tenapanor for IBS-C, this patent was granted patent term extension (PTE) under the Hatch-Waxman Act and together with PTA provides us with exclusivity for tenapanor and uses thereof until August 1, 2033. The Hatch-Waxman Act allows a maximum of one patent to be extended per U.S.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enforce our intellectual property rights throughout the world.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Europe’s new Unified Patent Court may, in particular, present uncertainties for our ability to protect and enforce our patent rights against competitors in Europe. In 2012, the European Patent Package (EU Patent Package) regulations were passed with the goal of providing a single pan-European Unitary Patent and a new European Unified Patent Court (UPC), for litigation involving European patents. Implementation of the EU Patent Package entered into force on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we or our employees have misappropriated the intellectual property, including know-how or trade secrets, of a third party, or claiming ownership of what we regard as our own intellectual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stock price may continue to be volatile and our stockholders may not be able to resell shares of our common stock at or above the price they paid.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or lack of success with regards to our commercialization of IBSRELA and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results of regulatory inspections of our facilities or those of our CMOs, or specific label restrictions or patient populations for XPHOZAH’s use, or changes or delays in the regulatory review process;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regarding whether XPHOZAH alone or with other oral only medications, will be included in the ESRD PPS, and the time and manner in which such transition is achieved;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relating to our current or future collaboration partnerships;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of therapeutic innovations or new products by us or our competitors;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adverse actions taken by regulatory agencies with respect to our product label, our clinical trials, manufacturing supply chain or sales and marketing activities;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or developments in laws or regulations applicable to our approved products or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testing and clinical trials;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failure to meet any of our projected timelines or goals with regard to the commercialization of IBSRELA and XPOHZAH, or the clinical development and commercialization of any of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efforts to acquire or license or discover additional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intellectual property infringement actions in which we may become involved;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efforts to obtain adequate intellectual property protection for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concerning our competitors or the pharmaceutical industry in general;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achievement of expected product sales and profitability;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manufacture, supply or distribution shortages;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U.S. FDA or other U.S. or foreign regulatory actions affecting us or our industry or other healthcare reform measures in the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financial estimates or recommendations by securities analysts;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sales of our common stock by us, our executive officers and directors or our stockholders in the future;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sales of debt securities and sales or licensing of assets;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general economic and market conditions and overall fluctuations in the U.S. equity markets;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loss of any of our key scientific or management personnel.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sell shares of our common stock in future financings, stockholders may experience immediate dilution and, as a result, our stock price may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no longer a “smaller reporting company” and as a result we are or will be subject to certain enhanced disclosure requirements which will require us to incur significant expenses and expend time and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no longer a “smaller reporting company,” and, as a result, we are or will be required to comply with various disclosure and compliance requirements that did not previously apply to us.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Nasdaq Global Market, or sanctions or investigations by the Securities and Exchange Commission (SEC) or other regulatory authorities, which would require additional financial and management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incur significant legal, accounting and other expenses as a public company, including costs resulting from public company reporting obligations under the Securities Exchange Act of 1934, as amended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by the global economic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under Delaware law could discourage a takeover that stockholders may consider favorable and may lead to entrenchment of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to remove a director for cause, and the prohibition on removal of directors without cause;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our board of directors to alter our bylaws without obtaining stockholder approval;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these provisions would apply even if we were to receive an offer that some stockholders may consider beneficial.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in our discretion, indemnify employees and agents in those circumstances where indemnification is permitted by applicable law.</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not retroactively amend our amended and restated bylaw provisions to reduce our indemnification obligations to directors, officers, employees and agents.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intend to pay any cash dividends on our common stock for the foreseeable future. We currently intend to invest our future earnings, if any, to fund our growth. Additionally, the terms of our 2022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Proceeds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and Affiliated Purchasers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Trading Plans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our Section 16 officers and directors adopted or terminated contracts, instructions or written plans for the purchase or sale of our securities as noted below:</w:t>
      </w:r>
    </w:p>
    <w:tbl>
      <w:tblPr>
        <w:tblW w:w="10205" w:type="dxa"/>
        <w:jc w:val="left"/>
        <w:tblInd w:w="0" w:type="dxa"/>
        <w:tblLayout w:type="fixed"/>
        <w:tblCellMar>
          <w:top w:w="28" w:type="dxa"/>
          <w:left w:w="28" w:type="dxa"/>
          <w:bottom w:w="28" w:type="dxa"/>
          <w:right w:w="28" w:type="dxa"/>
        </w:tblCellMar>
      </w:tblPr>
      <w:tblGrid>
        <w:gridCol w:w="1116"/>
        <w:gridCol w:w="819"/>
        <w:gridCol w:w="823"/>
        <w:gridCol w:w="294"/>
        <w:gridCol w:w="294"/>
        <w:gridCol w:w="298"/>
        <w:gridCol w:w="290"/>
        <w:gridCol w:w="290"/>
        <w:gridCol w:w="292"/>
        <w:gridCol w:w="308"/>
        <w:gridCol w:w="308"/>
        <w:gridCol w:w="308"/>
        <w:gridCol w:w="454"/>
        <w:gridCol w:w="454"/>
        <w:gridCol w:w="414"/>
        <w:gridCol w:w="745"/>
        <w:gridCol w:w="643"/>
        <w:gridCol w:w="645"/>
        <w:gridCol w:w="410"/>
        <w:gridCol w:w="410"/>
        <w:gridCol w:w="590"/>
      </w:tblGrid>
      <w:tr>
        <w:trPr/>
        <w:tc>
          <w:tcPr>
            <w:tcW w:w="11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758"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 and Title of Director or Officer</w:t>
            </w:r>
          </w:p>
        </w:tc>
        <w:tc>
          <w:tcPr>
            <w:tcW w:w="88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872"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224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Arrangement</w:t>
            </w:r>
          </w:p>
        </w:tc>
        <w:tc>
          <w:tcPr>
            <w:tcW w:w="203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Shares Available to be Sold</w:t>
            </w:r>
          </w:p>
        </w:tc>
        <w:tc>
          <w:tcPr>
            <w:tcW w:w="141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2758"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8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72"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132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20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41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7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Rosenbaum, Chief Development Officer</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8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2024</w:t>
            </w:r>
          </w:p>
        </w:tc>
        <w:tc>
          <w:tcPr>
            <w:tcW w:w="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3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179,564 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31, 2025</w:t>
            </w:r>
          </w:p>
        </w:tc>
      </w:tr>
      <w:tr>
        <w:trPr/>
        <w:tc>
          <w:tcPr>
            <w:tcW w:w="27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Justin Renz, Chief Financial and Operations Officer</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8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2024</w:t>
            </w:r>
          </w:p>
        </w:tc>
        <w:tc>
          <w:tcPr>
            <w:tcW w:w="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3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127,041 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30, 2024</w:t>
            </w:r>
          </w:p>
        </w:tc>
      </w:tr>
      <w:tr>
        <w:trPr/>
        <w:tc>
          <w:tcPr>
            <w:tcW w:w="27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Blanks, Chief Regulatory Officer</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87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4, 2024</w:t>
            </w:r>
          </w:p>
        </w:tc>
        <w:tc>
          <w:tcPr>
            <w:tcW w:w="9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32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339,501 </w:t>
            </w:r>
          </w:p>
        </w:tc>
        <w:tc>
          <w:tcPr>
            <w:tcW w:w="6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13, 2025</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*Intended to satisfy the affirmative defense conditions of Rule 10b5-1(c)</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intended to satisfy the affirmative defense conditions of Rule 10b5-1(c)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2"/>
        <w:gridCol w:w="1769"/>
        <w:gridCol w:w="1646"/>
        <w:gridCol w:w="109"/>
        <w:gridCol w:w="109"/>
        <w:gridCol w:w="109"/>
        <w:gridCol w:w="170"/>
        <w:gridCol w:w="170"/>
        <w:gridCol w:w="171"/>
        <w:gridCol w:w="109"/>
        <w:gridCol w:w="109"/>
        <w:gridCol w:w="109"/>
        <w:gridCol w:w="164"/>
        <w:gridCol w:w="164"/>
        <w:gridCol w:w="168"/>
        <w:gridCol w:w="109"/>
        <w:gridCol w:w="109"/>
        <w:gridCol w:w="109"/>
        <w:gridCol w:w="230"/>
        <w:gridCol w:w="230"/>
        <w:gridCol w:w="231"/>
        <w:gridCol w:w="109"/>
        <w:gridCol w:w="109"/>
        <w:gridCol w:w="109"/>
        <w:gridCol w:w="242"/>
        <w:gridCol w:w="242"/>
        <w:gridCol w:w="34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6/24/2014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6/24/2014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xardelyxxamende.htm">
              <w:r>
                <w:rPr>
                  <w:rStyle w:val="InternetLink"/>
                  <w:rFonts w:ascii="Times New Roman;sans-serif" w:hAnsi="Times New Roman;sans-serif"/>
                  <w:b w:val="false"/>
                  <w:color w:val="0000FF"/>
                  <w:sz w:val="20"/>
                  <w:u w:val="single"/>
                </w:rPr>
                <w:t>Ardelyx, Inc.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xardelyxxamende.htm">
              <w:r>
                <w:rPr>
                  <w:rStyle w:val="InternetLink"/>
                  <w:rFonts w:ascii="Times New Roman;sans-serif" w:hAnsi="Times New Roman;sans-serif"/>
                  <w:b w:val="false"/>
                  <w:color w:val="0000FF"/>
                  <w:sz w:val="20"/>
                  <w:u w:val="single"/>
                </w:rPr>
                <w:t>Ardelyx, Inc. Amended and Restated 2014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40630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40630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40630xex321.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formatted in Inline Extensible Business Reporting Language (XBRL): (i) Condensed Balance Sheets as of June 30, 2024 and December 31, 2023, (ii) Condensed Statements of Operations and Comprehensive Loss for the three and six months ended June 30, 2024 and 2023, (iii) Condensed Statements of Changes in Stockholders Equity for the three and six months ended June 30, 2024 and 2023, (iv) Condensed Statements of Cash Flows for the six months ended June 30, 2024 and 2023, and (v) Notes to Unaudited Condensed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attached as Exhibit 32.1 that accompanies this Quarterly Report on Form 10-Q, is deemed furnished and not filed with the Securities and Exchange Commission is not to be incorporated by reference into any filing of Ardelyx,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40" w:after="283"/>
        <w:jc w:val="both"/>
        <w:rPr/>
      </w:pPr>
      <w:hyperlink w:anchor="i3e49e600fac94d4eb1f7709a36ca491b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96" w:type="dxa"/>
        <w:jc w:val="left"/>
        <w:tblInd w:w="0" w:type="dxa"/>
        <w:tblLayout w:type="fixed"/>
        <w:tblCellMar>
          <w:top w:w="28" w:type="dxa"/>
          <w:left w:w="28" w:type="dxa"/>
          <w:bottom w:w="28" w:type="dxa"/>
          <w:right w:w="28" w:type="dxa"/>
        </w:tblCellMar>
      </w:tblPr>
      <w:tblGrid>
        <w:gridCol w:w="667"/>
        <w:gridCol w:w="587"/>
        <w:gridCol w:w="590"/>
        <w:gridCol w:w="194"/>
        <w:gridCol w:w="194"/>
        <w:gridCol w:w="194"/>
        <w:gridCol w:w="1302"/>
        <w:gridCol w:w="1302"/>
        <w:gridCol w:w="186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Ardelyx,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Felsch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Robert Felsch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and 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ARDELYX, INC.</w:t>
        <w:br/>
        <w:t>AMENDED AND RESTATED 2014 EQUITY INCENTIVE AWARD PLAN</w:t>
      </w:r>
    </w:p>
    <w:p>
      <w:pPr>
        <w:pStyle w:val="TextBody"/>
        <w:bidi w:val="0"/>
        <w:spacing w:lineRule="auto" w:line="288" w:before="0" w:after="240"/>
        <w:jc w:val="center"/>
        <w:rPr/>
      </w:pPr>
      <w:r>
        <w:rPr>
          <w:rFonts w:ascii="Times New Roman;sans-serif" w:hAnsi="Times New Roman;sans-serif"/>
          <w:b/>
          <w:color w:val="000000"/>
          <w:sz w:val="24"/>
        </w:rPr>
        <w:t>ARTICLE 1.</w:t>
      </w:r>
      <w:r>
        <w:rPr>
          <w:rFonts w:ascii="Times New Roman;sans-serif" w:hAnsi="Times New Roman;sans-serif"/>
          <w:b/>
          <w:color w:val="000000"/>
          <w:sz w:val="24"/>
        </w:rPr>
        <w:br/>
        <w:br/>
        <w:t>PURPOSE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purpose of the Ardelyx, Inc. Amended and Restated 2014 Equity Incentive Award Plan (as it may be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is to promote the success and enhance the value of Ardelyx,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by linking the individual interests of the members of the Board, Employees, and Consultants to those of the Company’s stockholders and by providing such individuals with an incentive for outstanding performance to generate superior returns to the Company’s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 The Plan amends and restates the 2014 Equity Incentive Award Plan (the “</w:t>
      </w:r>
      <w:r>
        <w:rPr>
          <w:rFonts w:ascii="Times New Roman;sans-serif" w:hAnsi="Times New Roman;sans-serif"/>
          <w:b w:val="false"/>
          <w:color w:val="000000"/>
          <w:sz w:val="24"/>
          <w:u w:val="single"/>
        </w:rPr>
        <w:t>Original 2014 Plan</w:t>
      </w:r>
      <w:r>
        <w:rPr>
          <w:color w:val="000000"/>
        </w:rPr>
        <w:t>”</w:t>
      </w:r>
      <w:r>
        <w:rPr>
          <w:rFonts w:ascii="Times New Roman;sans-serif" w:hAnsi="Times New Roman;sans-serif"/>
          <w:b w:val="false"/>
          <w:color w:val="000000"/>
          <w:sz w:val="24"/>
        </w:rPr>
        <w:t xml:space="preserve">) in its entirety, subject to stockholder approval of this Plan at the annual meeting of the Company’s stockholders in 2024. In the event the Company’s stockholders fail to approve the Plan as set forth herein at the annual meeting of the Company’s stockholders in 2024, then this Plan shall be deemed void </w:t>
      </w:r>
      <w:r>
        <w:rPr>
          <w:rFonts w:ascii="Times New Roman;sans-serif" w:hAnsi="Times New Roman;sans-serif"/>
          <w:b w:val="false"/>
          <w:i/>
          <w:color w:val="000000"/>
          <w:sz w:val="24"/>
        </w:rPr>
        <w:t>ab initio</w:t>
      </w:r>
      <w:r>
        <w:rPr>
          <w:color w:val="000000"/>
        </w:rPr>
        <w:t xml:space="preserve"> </w:t>
      </w:r>
      <w:r>
        <w:rPr>
          <w:rFonts w:ascii="Times New Roman;sans-serif" w:hAnsi="Times New Roman;sans-serif"/>
          <w:b w:val="false"/>
          <w:color w:val="000000"/>
          <w:sz w:val="24"/>
        </w:rPr>
        <w:t>and the Original 2014 Plan shall continue in effect in accordance with its terms.</w:t>
      </w:r>
    </w:p>
    <w:p>
      <w:pPr>
        <w:pStyle w:val="TextBody"/>
        <w:bidi w:val="0"/>
        <w:spacing w:lineRule="auto" w:line="288" w:before="0" w:after="240"/>
        <w:jc w:val="center"/>
        <w:rPr/>
      </w:pPr>
      <w:r>
        <w:rPr>
          <w:rFonts w:ascii="Times New Roman;sans-serif" w:hAnsi="Times New Roman;sans-serif"/>
          <w:b/>
          <w:color w:val="000000"/>
          <w:sz w:val="24"/>
        </w:rPr>
        <w:t>ARTICLE 2.</w:t>
      </w:r>
      <w:r>
        <w:rPr>
          <w:rFonts w:ascii="Times New Roman;sans-serif" w:hAnsi="Times New Roman;sans-serif"/>
          <w:b/>
          <w:color w:val="000000"/>
          <w:sz w:val="24"/>
        </w:rPr>
        <w:br/>
        <w:br/>
        <w:t>DEFINITIONS AND CONSTRUCTION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Wherever the following terms are used in the Plan they shall have the meanings specified below, unless the context clearly indicates otherwise. The singular pronoun shall include the plural where the context so indicates.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w:t>
      </w:r>
      <w:r>
        <w:rPr>
          <w:color w:val="000000"/>
        </w:rPr>
        <w:t>“</w:t>
      </w:r>
      <w:r>
        <w:rPr>
          <w:rFonts w:ascii="Times New Roman;sans-serif" w:hAnsi="Times New Roman;sans-serif"/>
          <w:b w:val="false"/>
          <w:color w:val="000000"/>
          <w:sz w:val="24"/>
          <w:u w:val="single"/>
        </w:rPr>
        <w:t>Administrator</w:t>
      </w:r>
      <w:r>
        <w:rPr>
          <w:color w:val="000000"/>
        </w:rPr>
        <w:t xml:space="preserve">” </w:t>
      </w:r>
      <w:r>
        <w:rPr>
          <w:rFonts w:ascii="Times New Roman;sans-serif" w:hAnsi="Times New Roman;sans-serif"/>
          <w:b w:val="false"/>
          <w:color w:val="000000"/>
          <w:sz w:val="24"/>
        </w:rPr>
        <w:t>shall mean the entity that conducts the general administration of the Plan as provided in Article 12 hereof. With reference to the duties of the Administrator under the Plan which have been delegated to one or more persons pursuant to Section 12.6 hereof, or as to which the Board has assumed, the term “Administrator” shall refer to such person(s) unless the Committee or the Board has revoked such delegation or the Board has terminated the assumption of such duties.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w:t>
      </w: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shall mean any Parent or Subsidiary.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w:t>
      </w:r>
      <w:r>
        <w:rPr>
          <w:color w:val="000000"/>
        </w:rPr>
        <w:t>“</w:t>
      </w:r>
      <w:r>
        <w:rPr>
          <w:rFonts w:ascii="Times New Roman;sans-serif" w:hAnsi="Times New Roman;sans-serif"/>
          <w:b w:val="false"/>
          <w:color w:val="000000"/>
          <w:sz w:val="24"/>
          <w:u w:val="single"/>
        </w:rPr>
        <w:t>Applicable Accounting Standards</w:t>
      </w:r>
      <w:r>
        <w:rPr>
          <w:color w:val="000000"/>
        </w:rPr>
        <w:t xml:space="preserve">” </w:t>
      </w:r>
      <w:r>
        <w:rPr>
          <w:rFonts w:ascii="Times New Roman;sans-serif" w:hAnsi="Times New Roman;sans-serif"/>
          <w:b w:val="false"/>
          <w:color w:val="000000"/>
          <w:sz w:val="24"/>
        </w:rPr>
        <w:t>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w:t>
      </w:r>
      <w:r>
        <w:rPr>
          <w:color w:val="000000"/>
        </w:rPr>
        <w:t>“</w:t>
      </w:r>
      <w:r>
        <w:rPr>
          <w:rFonts w:ascii="Times New Roman;sans-serif" w:hAnsi="Times New Roman;sans-serif"/>
          <w:b w:val="false"/>
          <w:color w:val="000000"/>
          <w:sz w:val="24"/>
          <w:u w:val="single"/>
        </w:rPr>
        <w:t>Applicable Law</w:t>
      </w:r>
      <w:r>
        <w:rPr>
          <w:color w:val="000000"/>
        </w:rPr>
        <w:t xml:space="preserve">” </w:t>
      </w:r>
      <w:r>
        <w:rPr>
          <w:rFonts w:ascii="Times New Roman;sans-serif" w:hAnsi="Times New Roman;sans-serif"/>
          <w:b w:val="false"/>
          <w:color w:val="000000"/>
          <w:sz w:val="24"/>
        </w:rPr>
        <w:t xml:space="preserve">shall mean any applicable law, including without limitation, (i) provisions of the Code, the Securities Act, the Exchange Act and any rules or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thereunder; (ii) corporate, securities, tax or other laws, statutes, rules, requirements or regulations, whether federal, state, local or foreign; and (iii) rules of any securities exchange or automated quotation system on which the Shares are listed, quoted or traded.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2.5</w:t>
      </w:r>
      <w:r>
        <w:rPr>
          <w:color w:val="000000"/>
        </w:rPr>
        <w:t>“</w:t>
      </w:r>
      <w:r>
        <w:rPr>
          <w:rFonts w:ascii="Times New Roman;sans-serif" w:hAnsi="Times New Roman;sans-serif"/>
          <w:b w:val="false"/>
          <w:color w:val="000000"/>
          <w:sz w:val="24"/>
          <w:u w:val="single"/>
        </w:rPr>
        <w:t>Award</w:t>
      </w:r>
      <w:r>
        <w:rPr>
          <w:color w:val="000000"/>
        </w:rPr>
        <w:t xml:space="preserve">” </w:t>
      </w:r>
      <w:r>
        <w:rPr>
          <w:rFonts w:ascii="Times New Roman;sans-serif" w:hAnsi="Times New Roman;sans-serif"/>
          <w:b w:val="false"/>
          <w:color w:val="000000"/>
          <w:sz w:val="24"/>
        </w:rPr>
        <w:t>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sans-serif" w:hAnsi="Times New Roman;sans-serif"/>
          <w:b w:val="false"/>
          <w:color w:val="000000"/>
          <w:sz w:val="24"/>
          <w:u w:val="single"/>
        </w:rPr>
        <w:t>Awards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2.6</w:t>
      </w:r>
      <w:r>
        <w:rPr>
          <w:color w:val="000000"/>
        </w:rPr>
        <w:t>“</w:t>
      </w:r>
      <w:r>
        <w:rPr>
          <w:rFonts w:ascii="Times New Roman;sans-serif" w:hAnsi="Times New Roman;sans-serif"/>
          <w:b w:val="false"/>
          <w:color w:val="000000"/>
          <w:sz w:val="24"/>
          <w:u w:val="single"/>
        </w:rPr>
        <w:t>Award Agreement</w:t>
      </w:r>
      <w:r>
        <w:rPr>
          <w:color w:val="000000"/>
        </w:rPr>
        <w:t xml:space="preserve">” </w:t>
      </w:r>
      <w:r>
        <w:rPr>
          <w:rFonts w:ascii="Times New Roman;sans-serif" w:hAnsi="Times New Roman;sans-serif"/>
          <w:b w:val="false"/>
          <w:color w:val="000000"/>
          <w:sz w:val="24"/>
        </w:rPr>
        <w:t>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2.7</w:t>
      </w: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shall mean the Board of Directors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2.8</w:t>
      </w: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 xml:space="preserve">shall mean the occurrence, in a single transaction or in a series of related transactions, of any one or more of the following events: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2.9(a) or 2.9(c))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sans-serif" w:hAnsi="Times New Roman;sans-serif"/>
          <w:b w:val="false"/>
          <w:color w:val="000000"/>
          <w:sz w:val="24"/>
          <w:u w:val="single"/>
        </w:rPr>
        <w:t>Successor Entity</w:t>
      </w:r>
      <w:r>
        <w:rPr>
          <w:color w:val="000000"/>
        </w:rPr>
        <w:t>”</w:t>
      </w:r>
      <w:r>
        <w:rPr>
          <w:rFonts w:ascii="Times New Roman;sans-serif" w:hAnsi="Times New Roman;sans-serif"/>
          <w:b w:val="false"/>
          <w:color w:val="000000"/>
          <w:sz w:val="24"/>
        </w:rPr>
        <w:t>)) directly or indirectly, at least a majority of the combined voting power of the Successor Entity’s outstanding voting securities immediately after the transaction, and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after which no person or group beneficially owns voting securities representing 50% or more of the combined voting power of the Successor Entity; provided, however, that no person or group shall be treated for purposes of this Section 2.9(c)(ii) as beneficially owning 50% or more of the combined voting power of the Successor Entity solely as a result of the voting power held in the Company prior to the consummation of the transaction;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Company’s stockholders approve a liquidation or dissolution of the Company.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a Change in Control constitutes a payment event with respect to any portion of an Award that provides for the deferral of compensation and is subject to Section 409A of the Code, the transaction or event described in subsection (a), (b), (c) or (d) with respect to such Award (or portion thereof) must also constitute a “change in control event,” as defined in Treasury Regulation Section 1.409A-3(i)(5) to the extent required by Section 409A.</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is in conjunction with a determination of whether a Change in Control is a “change in control event” as defined in Treasury Regulation Section 1.409A-3(i)(5) shall be consistent with such regulation.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2.9</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shall mean the Internal Revenue Code of 1986, as amended from time to time, together with the regulations and official guidance promulgated thereunder, whether issued prior or subsequent to the grant of any Award.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2.10</w:t>
      </w:r>
      <w:r>
        <w:rPr>
          <w:color w:val="000000"/>
        </w:rPr>
        <w:t>“</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shall mean the Compensation Committee of the Board, a subcommittee of the Compensation Committee of the Board or another committee or subcommittee of the Board, appointed as provided in Section 12.1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2.11</w:t>
      </w:r>
      <w:r>
        <w:rPr>
          <w:color w:val="000000"/>
        </w:rPr>
        <w:t>“</w:t>
      </w:r>
      <w:r>
        <w:rPr>
          <w:rFonts w:ascii="Times New Roman;sans-serif" w:hAnsi="Times New Roman;sans-serif"/>
          <w:b w:val="false"/>
          <w:color w:val="000000"/>
          <w:sz w:val="24"/>
          <w:u w:val="single"/>
        </w:rPr>
        <w:t>Common Stock</w:t>
      </w:r>
      <w:r>
        <w:rPr>
          <w:color w:val="000000"/>
        </w:rPr>
        <w:t xml:space="preserve">” </w:t>
      </w:r>
      <w:r>
        <w:rPr>
          <w:rFonts w:ascii="Times New Roman;sans-serif" w:hAnsi="Times New Roman;sans-serif"/>
          <w:b w:val="false"/>
          <w:color w:val="000000"/>
          <w:sz w:val="24"/>
        </w:rPr>
        <w:t>shall mean the common stock of the Company, par value $0.0001 per share.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2.12</w:t>
      </w: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shall have the meaning set forth in Article 1 hereof.</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2.13</w:t>
      </w:r>
      <w:r>
        <w:rPr>
          <w:color w:val="000000"/>
        </w:rPr>
        <w:t>“</w:t>
      </w:r>
      <w:r>
        <w:rPr>
          <w:rFonts w:ascii="Times New Roman;sans-serif" w:hAnsi="Times New Roman;sans-serif"/>
          <w:b w:val="false"/>
          <w:color w:val="000000"/>
          <w:sz w:val="24"/>
          <w:u w:val="single"/>
        </w:rPr>
        <w:t>Consultant</w:t>
      </w:r>
      <w:r>
        <w:rPr>
          <w:color w:val="000000"/>
        </w:rPr>
        <w:t xml:space="preserve">” </w:t>
      </w:r>
      <w:r>
        <w:rPr>
          <w:rFonts w:ascii="Times New Roman;sans-serif" w:hAnsi="Times New Roman;sans-serif"/>
          <w:b w:val="false"/>
          <w:color w:val="000000"/>
          <w:sz w:val="24"/>
        </w:rPr>
        <w:t>shall mean any consultant or advisor engaged to provide services to the Company or any Affiliate who qualifies as a consultant or advisor under the applicable rules of the Securities and Exchange Commission for registration of shares on a Form S-8 Registration Statement or any successor Form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2.14</w:t>
      </w:r>
      <w:r>
        <w:rPr>
          <w:color w:val="000000"/>
        </w:rPr>
        <w:t>“</w:t>
      </w:r>
      <w:r>
        <w:rPr>
          <w:rFonts w:ascii="Times New Roman;sans-serif" w:hAnsi="Times New Roman;sans-serif"/>
          <w:b w:val="false"/>
          <w:color w:val="000000"/>
          <w:sz w:val="24"/>
          <w:u w:val="single"/>
        </w:rPr>
        <w:t>Deferred Stock</w:t>
      </w:r>
      <w:r>
        <w:rPr>
          <w:color w:val="000000"/>
        </w:rPr>
        <w:t xml:space="preserve">” </w:t>
      </w:r>
      <w:r>
        <w:rPr>
          <w:rFonts w:ascii="Times New Roman;sans-serif" w:hAnsi="Times New Roman;sans-serif"/>
          <w:b w:val="false"/>
          <w:color w:val="000000"/>
          <w:sz w:val="24"/>
        </w:rPr>
        <w:t>shall mean a right to receive Shares awarded under Section 9.4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2.15</w:t>
      </w:r>
      <w:r>
        <w:rPr>
          <w:color w:val="000000"/>
        </w:rPr>
        <w:t>“</w:t>
      </w:r>
      <w:r>
        <w:rPr>
          <w:rFonts w:ascii="Times New Roman;sans-serif" w:hAnsi="Times New Roman;sans-serif"/>
          <w:b w:val="false"/>
          <w:color w:val="000000"/>
          <w:sz w:val="24"/>
          <w:u w:val="single"/>
        </w:rPr>
        <w:t>Deferred Stock Unit</w:t>
      </w:r>
      <w:r>
        <w:rPr>
          <w:color w:val="000000"/>
        </w:rPr>
        <w:t xml:space="preserve">” </w:t>
      </w:r>
      <w:r>
        <w:rPr>
          <w:rFonts w:ascii="Times New Roman;sans-serif" w:hAnsi="Times New Roman;sans-serif"/>
          <w:b w:val="false"/>
          <w:color w:val="000000"/>
          <w:sz w:val="24"/>
        </w:rPr>
        <w:t xml:space="preserve">shall mean a right to receive Shares awarded under Section 9.5 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2.16</w:t>
      </w:r>
      <w:r>
        <w:rPr>
          <w:color w:val="000000"/>
        </w:rPr>
        <w:t>“</w:t>
      </w:r>
      <w:r>
        <w:rPr>
          <w:rFonts w:ascii="Times New Roman;sans-serif" w:hAnsi="Times New Roman;sans-serif"/>
          <w:b w:val="false"/>
          <w:color w:val="000000"/>
          <w:sz w:val="24"/>
          <w:u w:val="single"/>
        </w:rPr>
        <w:t>Director</w:t>
      </w:r>
      <w:r>
        <w:rPr>
          <w:color w:val="000000"/>
        </w:rPr>
        <w:t xml:space="preserve">” </w:t>
      </w:r>
      <w:r>
        <w:rPr>
          <w:rFonts w:ascii="Times New Roman;sans-serif" w:hAnsi="Times New Roman;sans-serif"/>
          <w:b w:val="false"/>
          <w:color w:val="000000"/>
          <w:sz w:val="24"/>
        </w:rPr>
        <w:t>shall mean a member of the Board, as constituted from time to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2.17</w:t>
      </w:r>
      <w:r>
        <w:rPr>
          <w:color w:val="000000"/>
        </w:rPr>
        <w:t>“</w:t>
      </w:r>
      <w:r>
        <w:rPr>
          <w:rFonts w:ascii="Times New Roman;sans-serif" w:hAnsi="Times New Roman;sans-serif"/>
          <w:b w:val="false"/>
          <w:color w:val="000000"/>
          <w:sz w:val="24"/>
          <w:u w:val="single"/>
        </w:rPr>
        <w:t>Dividend Equivalent</w:t>
      </w:r>
      <w:r>
        <w:rPr>
          <w:color w:val="000000"/>
        </w:rPr>
        <w:t xml:space="preserve">” </w:t>
      </w:r>
      <w:r>
        <w:rPr>
          <w:rFonts w:ascii="Times New Roman;sans-serif" w:hAnsi="Times New Roman;sans-serif"/>
          <w:b w:val="false"/>
          <w:color w:val="000000"/>
          <w:sz w:val="24"/>
        </w:rPr>
        <w:t>shall mean a right to receive the equivalent value (in cash or Shares) of dividends paid on Shares, awarded under Section 9.2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2.18</w:t>
      </w:r>
      <w:r>
        <w:rPr>
          <w:color w:val="000000"/>
        </w:rPr>
        <w:t>“</w:t>
      </w:r>
      <w:r>
        <w:rPr>
          <w:rFonts w:ascii="Times New Roman;sans-serif" w:hAnsi="Times New Roman;sans-serif"/>
          <w:b w:val="false"/>
          <w:color w:val="000000"/>
          <w:sz w:val="24"/>
          <w:u w:val="single"/>
        </w:rPr>
        <w:t>DRO</w:t>
      </w:r>
      <w:r>
        <w:rPr>
          <w:color w:val="000000"/>
        </w:rPr>
        <w:t xml:space="preserve">” </w:t>
      </w:r>
      <w:r>
        <w:rPr>
          <w:rFonts w:ascii="Times New Roman;sans-serif" w:hAnsi="Times New Roman;sans-serif"/>
          <w:b w:val="false"/>
          <w:color w:val="000000"/>
          <w:sz w:val="24"/>
        </w:rPr>
        <w:t xml:space="preserve">shall mean a “domestic relations order” as defined by the Code or Title I of the Employee Retirement Income Security Act of 1974, as amended from time to time, or the rules thereunder.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2.19</w:t>
      </w: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 xml:space="preserve">shall have the meaning set forth in Section 13.1.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2.20</w:t>
      </w:r>
      <w:r>
        <w:rPr>
          <w:color w:val="000000"/>
        </w:rPr>
        <w:t>“</w:t>
      </w:r>
      <w:r>
        <w:rPr>
          <w:rFonts w:ascii="Times New Roman;sans-serif" w:hAnsi="Times New Roman;sans-serif"/>
          <w:b w:val="false"/>
          <w:color w:val="000000"/>
          <w:sz w:val="24"/>
          <w:u w:val="single"/>
        </w:rPr>
        <w:t>Eligible Individual</w:t>
      </w:r>
      <w:r>
        <w:rPr>
          <w:color w:val="000000"/>
        </w:rPr>
        <w:t xml:space="preserve">” </w:t>
      </w:r>
      <w:r>
        <w:rPr>
          <w:rFonts w:ascii="Times New Roman;sans-serif" w:hAnsi="Times New Roman;sans-serif"/>
          <w:b w:val="false"/>
          <w:color w:val="000000"/>
          <w:sz w:val="24"/>
        </w:rPr>
        <w:t>shall mean any person who is an Employee, a Consultant or a Non-Employee Director, as determined by the Administrator.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2.21</w:t>
      </w:r>
      <w:r>
        <w:rPr>
          <w:color w:val="000000"/>
        </w:rPr>
        <w:t>“</w:t>
      </w:r>
      <w:r>
        <w:rPr>
          <w:rFonts w:ascii="Times New Roman;sans-serif" w:hAnsi="Times New Roman;sans-serif"/>
          <w:b w:val="false"/>
          <w:color w:val="000000"/>
          <w:sz w:val="24"/>
          <w:u w:val="single"/>
        </w:rPr>
        <w:t>Employee</w:t>
      </w:r>
      <w:r>
        <w:rPr>
          <w:color w:val="000000"/>
        </w:rPr>
        <w:t xml:space="preserve">” </w:t>
      </w:r>
      <w:r>
        <w:rPr>
          <w:rFonts w:ascii="Times New Roman;sans-serif" w:hAnsi="Times New Roman;sans-serif"/>
          <w:b w:val="false"/>
          <w:color w:val="000000"/>
          <w:sz w:val="24"/>
        </w:rPr>
        <w:t>shall mean any officer or other employee (as determined in accordance with Section 3401(c) of the Code and the Treasury Regulations thereunder) of the Company or any Affiliate.</w:t>
      </w:r>
    </w:p>
    <w:p>
      <w:pPr>
        <w:pStyle w:val="TextBody"/>
        <w:bidi w:val="0"/>
        <w:spacing w:lineRule="auto" w:line="288" w:before="0" w:after="240"/>
        <w:ind w:left="0" w:right="0" w:firstLine="900"/>
        <w:jc w:val="both"/>
        <w:rPr/>
      </w:pPr>
      <w:r>
        <w:rPr>
          <w:rFonts w:ascii="Times New Roman;sans-serif" w:hAnsi="Times New Roman;sans-serif"/>
          <w:b w:val="false"/>
          <w:color w:val="000000"/>
          <w:sz w:val="24"/>
        </w:rPr>
        <w:t>2.22</w:t>
      </w:r>
      <w:r>
        <w:rPr>
          <w:color w:val="000000"/>
        </w:rPr>
        <w:t>“</w:t>
      </w:r>
      <w:r>
        <w:rPr>
          <w:rFonts w:ascii="Times New Roman;sans-serif" w:hAnsi="Times New Roman;sans-serif"/>
          <w:b w:val="false"/>
          <w:color w:val="000000"/>
          <w:sz w:val="24"/>
          <w:u w:val="single"/>
        </w:rPr>
        <w:t>Equity Restructuring</w:t>
      </w:r>
      <w:r>
        <w:rPr>
          <w:color w:val="000000"/>
        </w:rPr>
        <w:t xml:space="preserve">” </w:t>
      </w:r>
      <w:r>
        <w:rPr>
          <w:rFonts w:ascii="Times New Roman;sans-serif" w:hAnsi="Times New Roman;sans-serif"/>
          <w:b w:val="false"/>
          <w:color w:val="000000"/>
          <w:sz w:val="24"/>
        </w:rPr>
        <w:t>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 share value of the Common Stock underlying outstanding stock-based Awards.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2.23</w:t>
      </w: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shall mean the Securities Exchange Act of 1934, as amended from time to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2.24</w:t>
      </w:r>
      <w:r>
        <w:rPr>
          <w:color w:val="000000"/>
        </w:rPr>
        <w:t>“</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shall mean, as of any given date, the value of a Share determined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the Common Stock is (i) listed on any established securities exchange (such as the New York Stock Exchange, the Nasdaq Capital Market, Nasdaq Global Market and the Nasdaq Global Select Market), (ii) listed on any national market system or (iii) listed, quoted or traded on any automated quotation system, its Fair Market Value shall be the closing sales price for a Share as quoted on such exchange or system for such date or, if there is no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sales price for a Share on the date in question, the closing sales price for a Share on the last preceding date for which such quotation exists, as reported in The Wall Street Journal or such other source as the Administrator deems reliable;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2.25</w:t>
      </w:r>
      <w:r>
        <w:rPr>
          <w:color w:val="000000"/>
        </w:rPr>
        <w:t>“</w:t>
      </w:r>
      <w:r>
        <w:rPr>
          <w:rFonts w:ascii="Times New Roman;sans-serif" w:hAnsi="Times New Roman;sans-serif"/>
          <w:b w:val="false"/>
          <w:color w:val="000000"/>
          <w:sz w:val="24"/>
          <w:u w:val="single"/>
        </w:rPr>
        <w:t>Greater Than 10% Stockholder</w:t>
      </w:r>
      <w:r>
        <w:rPr>
          <w:color w:val="000000"/>
        </w:rPr>
        <w:t xml:space="preserve">” </w:t>
      </w:r>
      <w:r>
        <w:rPr>
          <w:rFonts w:ascii="Times New Roman;sans-serif" w:hAnsi="Times New Roman;sans-serif"/>
          <w:b w:val="false"/>
          <w:color w:val="000000"/>
          <w:sz w:val="24"/>
        </w:rPr>
        <w:t>shall mean an individual then owning (within the meaning of Section 424(d) of the Code) more than ten percent (10%) of the total combined voting power of all classes of stock of the Company or any “parent corporation” or “subsidiary corporation” (as defined in Sections 424(e) and 424(f) of the Code, respectively).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2.26</w:t>
      </w:r>
      <w:r>
        <w:rPr>
          <w:color w:val="000000"/>
        </w:rPr>
        <w:t>“</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shall mean a person who has been granted an Award.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2.27</w:t>
      </w:r>
      <w:r>
        <w:rPr>
          <w:color w:val="000000"/>
        </w:rPr>
        <w:t>“</w:t>
      </w:r>
      <w:r>
        <w:rPr>
          <w:rFonts w:ascii="Times New Roman;sans-serif" w:hAnsi="Times New Roman;sans-serif"/>
          <w:b w:val="false"/>
          <w:color w:val="000000"/>
          <w:sz w:val="24"/>
          <w:u w:val="single"/>
        </w:rPr>
        <w:t>Incentive Stock Option</w:t>
      </w:r>
      <w:r>
        <w:rPr>
          <w:color w:val="000000"/>
        </w:rPr>
        <w:t xml:space="preserve">” </w:t>
      </w:r>
      <w:r>
        <w:rPr>
          <w:rFonts w:ascii="Times New Roman;sans-serif" w:hAnsi="Times New Roman;sans-serif"/>
          <w:b w:val="false"/>
          <w:color w:val="000000"/>
          <w:sz w:val="24"/>
        </w:rPr>
        <w:t>shall mean an Option that is intended to qualify as an incentive stock option and conforms to the applicable provisions of Section 422 of the Code.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2.28</w:t>
      </w:r>
      <w:r>
        <w:rPr>
          <w:color w:val="000000"/>
        </w:rPr>
        <w:t xml:space="preserve"> “</w:t>
      </w:r>
      <w:r>
        <w:rPr>
          <w:rFonts w:ascii="Times New Roman;sans-serif" w:hAnsi="Times New Roman;sans-serif"/>
          <w:b w:val="false"/>
          <w:color w:val="000000"/>
          <w:sz w:val="24"/>
          <w:u w:val="single"/>
        </w:rPr>
        <w:t>Non-Employee Director</w:t>
      </w:r>
      <w:r>
        <w:rPr>
          <w:color w:val="000000"/>
        </w:rPr>
        <w:t xml:space="preserve">” </w:t>
      </w:r>
      <w:r>
        <w:rPr>
          <w:rFonts w:ascii="Times New Roman;sans-serif" w:hAnsi="Times New Roman;sans-serif"/>
          <w:b w:val="false"/>
          <w:color w:val="000000"/>
          <w:sz w:val="24"/>
        </w:rPr>
        <w:t>shall mean a Director of the Company who is not an Employee.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2.29</w:t>
      </w:r>
      <w:r>
        <w:rPr>
          <w:color w:val="000000"/>
        </w:rPr>
        <w:t>“</w:t>
      </w:r>
      <w:r>
        <w:rPr>
          <w:rFonts w:ascii="Times New Roman;sans-serif" w:hAnsi="Times New Roman;sans-serif"/>
          <w:b w:val="false"/>
          <w:color w:val="000000"/>
          <w:sz w:val="24"/>
          <w:u w:val="single"/>
        </w:rPr>
        <w:t>Non-Employee Director Equity Compensation Policy</w:t>
      </w:r>
      <w:r>
        <w:rPr>
          <w:color w:val="000000"/>
        </w:rPr>
        <w:t xml:space="preserve">” </w:t>
      </w:r>
      <w:r>
        <w:rPr>
          <w:rFonts w:ascii="Times New Roman;sans-serif" w:hAnsi="Times New Roman;sans-serif"/>
          <w:b w:val="false"/>
          <w:color w:val="000000"/>
          <w:sz w:val="24"/>
        </w:rPr>
        <w:t>shall have the meaning set forth in Section 4.6 hereof.</w:t>
      </w:r>
      <w:r>
        <w:rPr>
          <w:color w:val="000000"/>
          <w:u w:val="single"/>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2.30</w:t>
      </w:r>
      <w:r>
        <w:rPr>
          <w:color w:val="000000"/>
        </w:rPr>
        <w:t>“</w:t>
      </w:r>
      <w:r>
        <w:rPr>
          <w:rFonts w:ascii="Times New Roman;sans-serif" w:hAnsi="Times New Roman;sans-serif"/>
          <w:b w:val="false"/>
          <w:color w:val="000000"/>
          <w:sz w:val="24"/>
          <w:u w:val="single"/>
        </w:rPr>
        <w:t>Non-Qualified Stock Option</w:t>
      </w:r>
      <w:r>
        <w:rPr>
          <w:color w:val="000000"/>
        </w:rPr>
        <w:t xml:space="preserve">” </w:t>
      </w:r>
      <w:r>
        <w:rPr>
          <w:rFonts w:ascii="Times New Roman;sans-serif" w:hAnsi="Times New Roman;sans-serif"/>
          <w:b w:val="false"/>
          <w:color w:val="000000"/>
          <w:sz w:val="24"/>
        </w:rPr>
        <w:t>shall mean an Option that is not an Incentive Stock Option or which is designated as an Incentive Stock Option but does not meet the applicable requirements of Section 422 of the Code.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2.31</w:t>
      </w:r>
      <w:r>
        <w:rPr>
          <w:color w:val="000000"/>
        </w:rPr>
        <w:t>“</w:t>
      </w:r>
      <w:r>
        <w:rPr>
          <w:rFonts w:ascii="Times New Roman;sans-serif" w:hAnsi="Times New Roman;sans-serif"/>
          <w:b w:val="false"/>
          <w:color w:val="000000"/>
          <w:sz w:val="24"/>
          <w:u w:val="single"/>
        </w:rPr>
        <w:t>Option</w:t>
      </w:r>
      <w:r>
        <w:rPr>
          <w:color w:val="000000"/>
        </w:rPr>
        <w:t xml:space="preserve">” </w:t>
      </w:r>
      <w:r>
        <w:rPr>
          <w:rFonts w:ascii="Times New Roman;sans-serif" w:hAnsi="Times New Roman;sans-serif"/>
          <w:b w:val="false"/>
          <w:color w:val="000000"/>
          <w:sz w:val="24"/>
        </w:rPr>
        <w:t xml:space="preserve">shall mean a right to purchase Shares at a specified exercise price, granted under Article 5 hereof. An Option shall be either a Non-Qualified Stock Option or an Incentive Stock Option;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Options granted to Non-Employee Directors and Consultants shall only be Non-Qualified Stock Options.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2.32</w:t>
      </w:r>
      <w:r>
        <w:rPr>
          <w:color w:val="000000"/>
        </w:rPr>
        <w:t>“</w:t>
      </w:r>
      <w:r>
        <w:rPr>
          <w:rFonts w:ascii="Times New Roman;sans-serif" w:hAnsi="Times New Roman;sans-serif"/>
          <w:b w:val="false"/>
          <w:color w:val="000000"/>
          <w:sz w:val="24"/>
          <w:u w:val="single"/>
        </w:rPr>
        <w:t>Option Term</w:t>
      </w:r>
      <w:r>
        <w:rPr>
          <w:color w:val="000000"/>
        </w:rPr>
        <w:t xml:space="preserve">” </w:t>
      </w:r>
      <w:r>
        <w:rPr>
          <w:rFonts w:ascii="Times New Roman;sans-serif" w:hAnsi="Times New Roman;sans-serif"/>
          <w:b w:val="false"/>
          <w:color w:val="000000"/>
          <w:sz w:val="24"/>
        </w:rPr>
        <w:t>shall have the meaning set forth in Section 5.4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2.33</w:t>
      </w:r>
      <w:r>
        <w:rPr>
          <w:color w:val="000000"/>
        </w:rPr>
        <w:t>“</w:t>
      </w:r>
      <w:r>
        <w:rPr>
          <w:rFonts w:ascii="Times New Roman;sans-serif" w:hAnsi="Times New Roman;sans-serif"/>
          <w:b w:val="false"/>
          <w:color w:val="000000"/>
          <w:sz w:val="24"/>
          <w:u w:val="single"/>
        </w:rPr>
        <w:t>Original 2014 Plan</w:t>
      </w:r>
      <w:r>
        <w:rPr>
          <w:color w:val="000000"/>
        </w:rPr>
        <w:t xml:space="preserve">” </w:t>
      </w:r>
      <w:r>
        <w:rPr>
          <w:rFonts w:ascii="Times New Roman;sans-serif" w:hAnsi="Times New Roman;sans-serif"/>
          <w:b w:val="false"/>
          <w:color w:val="000000"/>
          <w:sz w:val="24"/>
        </w:rPr>
        <w:t>shall have the meaning set forth in Article 1 hereof.</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2.34</w:t>
      </w:r>
      <w:r>
        <w:rPr>
          <w:color w:val="000000"/>
        </w:rPr>
        <w:t>“</w:t>
      </w:r>
      <w:r>
        <w:rPr>
          <w:rFonts w:ascii="Times New Roman;sans-serif" w:hAnsi="Times New Roman;sans-serif"/>
          <w:b w:val="false"/>
          <w:color w:val="000000"/>
          <w:sz w:val="24"/>
          <w:u w:val="single"/>
        </w:rPr>
        <w:t>Parent</w:t>
      </w:r>
      <w:r>
        <w:rPr>
          <w:color w:val="000000"/>
        </w:rPr>
        <w:t xml:space="preserve">” </w:t>
      </w:r>
      <w:r>
        <w:rPr>
          <w:rFonts w:ascii="Times New Roman;sans-serif" w:hAnsi="Times New Roman;sans-serif"/>
          <w:b w:val="false"/>
          <w:color w:val="000000"/>
          <w:sz w:val="24"/>
        </w:rPr>
        <w:t>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2.35</w:t>
      </w:r>
      <w:r>
        <w:rPr>
          <w:color w:val="000000"/>
        </w:rPr>
        <w:t>“</w:t>
      </w:r>
      <w:r>
        <w:rPr>
          <w:rFonts w:ascii="Times New Roman;sans-serif" w:hAnsi="Times New Roman;sans-serif"/>
          <w:b w:val="false"/>
          <w:color w:val="000000"/>
          <w:sz w:val="24"/>
          <w:u w:val="single"/>
        </w:rPr>
        <w:t>Performance Award</w:t>
      </w:r>
      <w:r>
        <w:rPr>
          <w:color w:val="000000"/>
        </w:rPr>
        <w:t xml:space="preserve">” </w:t>
      </w:r>
      <w:r>
        <w:rPr>
          <w:rFonts w:ascii="Times New Roman;sans-serif" w:hAnsi="Times New Roman;sans-serif"/>
          <w:b w:val="false"/>
          <w:color w:val="000000"/>
          <w:sz w:val="24"/>
        </w:rPr>
        <w:t>shall mean a cash bonus award, stock bonus award, performance award or incentive award that is paid in cash, Shares or a combination of both, awarded under Section 9.1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2.36</w:t>
      </w:r>
      <w:r>
        <w:rPr>
          <w:color w:val="000000"/>
        </w:rPr>
        <w:t>“</w:t>
      </w:r>
      <w:r>
        <w:rPr>
          <w:rFonts w:ascii="Times New Roman;sans-serif" w:hAnsi="Times New Roman;sans-serif"/>
          <w:b w:val="false"/>
          <w:color w:val="000000"/>
          <w:sz w:val="24"/>
          <w:u w:val="single"/>
        </w:rPr>
        <w:t>Performance Stock Unit</w:t>
      </w:r>
      <w:r>
        <w:rPr>
          <w:color w:val="000000"/>
        </w:rPr>
        <w:t xml:space="preserve">” </w:t>
      </w:r>
      <w:r>
        <w:rPr>
          <w:rFonts w:ascii="Times New Roman;sans-serif" w:hAnsi="Times New Roman;sans-serif"/>
          <w:b w:val="false"/>
          <w:color w:val="000000"/>
          <w:sz w:val="24"/>
        </w:rPr>
        <w:t>shall mean a Performance Award awarded under Section 9.1 hereof which is denominated in units of value including dollar value of shares of Common Stock.</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2.37</w:t>
      </w:r>
      <w:r>
        <w:rPr>
          <w:color w:val="000000"/>
        </w:rPr>
        <w:t>“</w:t>
      </w:r>
      <w:r>
        <w:rPr>
          <w:rFonts w:ascii="Times New Roman;sans-serif" w:hAnsi="Times New Roman;sans-serif"/>
          <w:b w:val="false"/>
          <w:color w:val="000000"/>
          <w:sz w:val="24"/>
          <w:u w:val="single"/>
        </w:rPr>
        <w:t>Permitted Transferee</w:t>
      </w:r>
      <w:r>
        <w:rPr>
          <w:color w:val="000000"/>
        </w:rPr>
        <w:t xml:space="preserve">” </w:t>
      </w:r>
      <w:r>
        <w:rPr>
          <w:rFonts w:ascii="Times New Roman;sans-serif" w:hAnsi="Times New Roman;sans-serif"/>
          <w:b w:val="false"/>
          <w:color w:val="000000"/>
          <w:sz w:val="24"/>
        </w:rPr>
        <w:t>shall mean, with respect to a Holder, any “family member” of the Holder, as defined under the General Instructions to Form S-8 Registration Statement under the Securities Act or any successor Form thereto, or any other transferee specifically approved by the Administrator, after taking into account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2.38</w:t>
      </w:r>
      <w:r>
        <w:rPr>
          <w:color w:val="000000"/>
        </w:rPr>
        <w:t xml:space="preserve"> “</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shall have the meaning set forth in Article 1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2.39</w:t>
      </w:r>
      <w:r>
        <w:rPr>
          <w:color w:val="000000"/>
        </w:rPr>
        <w:t>“</w:t>
      </w:r>
      <w:r>
        <w:rPr>
          <w:rFonts w:ascii="Times New Roman;sans-serif" w:hAnsi="Times New Roman;sans-serif"/>
          <w:b w:val="false"/>
          <w:color w:val="000000"/>
          <w:sz w:val="24"/>
          <w:u w:val="single"/>
        </w:rPr>
        <w:t>Prior Plan</w:t>
      </w:r>
      <w:r>
        <w:rPr>
          <w:color w:val="000000"/>
        </w:rPr>
        <w:t xml:space="preserve">” </w:t>
      </w:r>
      <w:r>
        <w:rPr>
          <w:rFonts w:ascii="Times New Roman;sans-serif" w:hAnsi="Times New Roman;sans-serif"/>
          <w:b w:val="false"/>
          <w:color w:val="000000"/>
          <w:sz w:val="24"/>
        </w:rPr>
        <w:t>shall mean the Ardelyx, Inc. 2016 Employment Commencement Incentive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2.40</w:t>
      </w:r>
      <w:r>
        <w:rPr>
          <w:color w:val="000000"/>
        </w:rPr>
        <w:t>“</w:t>
      </w:r>
      <w:r>
        <w:rPr>
          <w:rFonts w:ascii="Times New Roman;sans-serif" w:hAnsi="Times New Roman;sans-serif"/>
          <w:b w:val="false"/>
          <w:color w:val="000000"/>
          <w:sz w:val="24"/>
          <w:u w:val="single"/>
        </w:rPr>
        <w:t>Program</w:t>
      </w:r>
      <w:r>
        <w:rPr>
          <w:color w:val="000000"/>
        </w:rPr>
        <w:t xml:space="preserve">” </w:t>
      </w:r>
      <w:r>
        <w:rPr>
          <w:rFonts w:ascii="Times New Roman;sans-serif" w:hAnsi="Times New Roman;sans-serif"/>
          <w:b w:val="false"/>
          <w:color w:val="000000"/>
          <w:sz w:val="24"/>
        </w:rPr>
        <w:t>shall mean any program adopted by the Administrator pursuant to the Plan containing the terms and conditions intended to govern a specified type of Award granted under the Plan and pursuant to which such type of Award may be granted under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2.41</w:t>
      </w:r>
      <w:r>
        <w:rPr>
          <w:color w:val="000000"/>
        </w:rPr>
        <w:t>“</w:t>
      </w:r>
      <w:r>
        <w:rPr>
          <w:rFonts w:ascii="Times New Roman;sans-serif" w:hAnsi="Times New Roman;sans-serif"/>
          <w:b w:val="false"/>
          <w:color w:val="000000"/>
          <w:sz w:val="24"/>
          <w:u w:val="single"/>
        </w:rPr>
        <w:t>Restricted Stock</w:t>
      </w:r>
      <w:r>
        <w:rPr>
          <w:color w:val="000000"/>
        </w:rPr>
        <w:t xml:space="preserve">” </w:t>
      </w:r>
      <w:r>
        <w:rPr>
          <w:rFonts w:ascii="Times New Roman;sans-serif" w:hAnsi="Times New Roman;sans-serif"/>
          <w:b w:val="false"/>
          <w:color w:val="000000"/>
          <w:sz w:val="24"/>
        </w:rPr>
        <w:t>shall mean an award of Shares made under Article 7 hereof that is subject to certain restrictions and may be subject to risk of forfeiture or repurchase.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2.42</w:t>
      </w:r>
      <w:r>
        <w:rPr>
          <w:color w:val="000000"/>
        </w:rPr>
        <w:t>“</w:t>
      </w:r>
      <w:r>
        <w:rPr>
          <w:rFonts w:ascii="Times New Roman;sans-serif" w:hAnsi="Times New Roman;sans-serif"/>
          <w:b w:val="false"/>
          <w:color w:val="000000"/>
          <w:sz w:val="24"/>
          <w:u w:val="single"/>
        </w:rPr>
        <w:t>Restricted Stock Unit</w:t>
      </w:r>
      <w:r>
        <w:rPr>
          <w:color w:val="000000"/>
        </w:rPr>
        <w:t xml:space="preserve">” </w:t>
      </w:r>
      <w:r>
        <w:rPr>
          <w:rFonts w:ascii="Times New Roman;sans-serif" w:hAnsi="Times New Roman;sans-serif"/>
          <w:b w:val="false"/>
          <w:color w:val="000000"/>
          <w:sz w:val="24"/>
        </w:rPr>
        <w:t>shall mean a contractual right awarded under Article 8 hereof to receive in the future a Share or the Fair Market Value of a Share in cash.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2.43</w:t>
      </w: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shall mean the Securities Act of 1933, as amended.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2.44</w:t>
      </w:r>
      <w:r>
        <w:rPr>
          <w:color w:val="000000"/>
        </w:rPr>
        <w:t>“</w:t>
      </w:r>
      <w:r>
        <w:rPr>
          <w:rFonts w:ascii="Times New Roman;sans-serif" w:hAnsi="Times New Roman;sans-serif"/>
          <w:b w:val="false"/>
          <w:color w:val="000000"/>
          <w:sz w:val="24"/>
          <w:u w:val="single"/>
        </w:rPr>
        <w:t>Shares</w:t>
      </w:r>
      <w:r>
        <w:rPr>
          <w:color w:val="000000"/>
        </w:rPr>
        <w:t xml:space="preserve">” </w:t>
      </w:r>
      <w:r>
        <w:rPr>
          <w:rFonts w:ascii="Times New Roman;sans-serif" w:hAnsi="Times New Roman;sans-serif"/>
          <w:b w:val="false"/>
          <w:color w:val="000000"/>
          <w:sz w:val="24"/>
        </w:rPr>
        <w:t>shall mean shares of Common Stock.</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2.45</w:t>
      </w:r>
      <w:r>
        <w:rPr>
          <w:color w:val="000000"/>
        </w:rPr>
        <w:t>“</w:t>
      </w:r>
      <w:r>
        <w:rPr>
          <w:rFonts w:ascii="Times New Roman;sans-serif" w:hAnsi="Times New Roman;sans-serif"/>
          <w:b w:val="false"/>
          <w:color w:val="000000"/>
          <w:sz w:val="24"/>
          <w:u w:val="single"/>
        </w:rPr>
        <w:t>Share Limit</w:t>
      </w:r>
      <w:r>
        <w:rPr>
          <w:color w:val="000000"/>
        </w:rPr>
        <w:t xml:space="preserve">” </w:t>
      </w:r>
      <w:r>
        <w:rPr>
          <w:rFonts w:ascii="Times New Roman;sans-serif" w:hAnsi="Times New Roman;sans-serif"/>
          <w:b w:val="false"/>
          <w:color w:val="000000"/>
          <w:sz w:val="24"/>
        </w:rPr>
        <w:t xml:space="preserve">shall have the meaning set forth in Section 3.1(a) 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2.46</w:t>
      </w:r>
      <w:r>
        <w:rPr>
          <w:color w:val="000000"/>
        </w:rPr>
        <w:t>“</w:t>
      </w:r>
      <w:r>
        <w:rPr>
          <w:rFonts w:ascii="Times New Roman;sans-serif" w:hAnsi="Times New Roman;sans-serif"/>
          <w:b w:val="false"/>
          <w:color w:val="000000"/>
          <w:sz w:val="24"/>
          <w:u w:val="single"/>
        </w:rPr>
        <w:t>Stock Appreciation Right</w:t>
      </w:r>
      <w:r>
        <w:rPr>
          <w:color w:val="000000"/>
        </w:rPr>
        <w:t xml:space="preserve">” </w:t>
      </w:r>
      <w:r>
        <w:rPr>
          <w:rFonts w:ascii="Times New Roman;sans-serif" w:hAnsi="Times New Roman;sans-serif"/>
          <w:b w:val="false"/>
          <w:color w:val="000000"/>
          <w:sz w:val="24"/>
        </w:rPr>
        <w:t>shall mean a stock appreciation right granted under Article 10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2.47</w:t>
      </w:r>
      <w:r>
        <w:rPr>
          <w:color w:val="000000"/>
        </w:rPr>
        <w:t>“</w:t>
      </w:r>
      <w:r>
        <w:rPr>
          <w:rFonts w:ascii="Times New Roman;sans-serif" w:hAnsi="Times New Roman;sans-serif"/>
          <w:b w:val="false"/>
          <w:color w:val="000000"/>
          <w:sz w:val="24"/>
          <w:u w:val="single"/>
        </w:rPr>
        <w:t>Stock Appreciation Right Term</w:t>
      </w:r>
      <w:r>
        <w:rPr>
          <w:color w:val="000000"/>
        </w:rPr>
        <w:t xml:space="preserve">” </w:t>
      </w:r>
      <w:r>
        <w:rPr>
          <w:rFonts w:ascii="Times New Roman;sans-serif" w:hAnsi="Times New Roman;sans-serif"/>
          <w:b w:val="false"/>
          <w:color w:val="000000"/>
          <w:sz w:val="24"/>
        </w:rPr>
        <w:t>shall have the meaning set forth in Section 10.4 hereof.</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2.48</w:t>
      </w:r>
      <w:r>
        <w:rPr>
          <w:color w:val="000000"/>
        </w:rPr>
        <w:t>“</w:t>
      </w:r>
      <w:r>
        <w:rPr>
          <w:rFonts w:ascii="Times New Roman;sans-serif" w:hAnsi="Times New Roman;sans-serif"/>
          <w:b w:val="false"/>
          <w:color w:val="000000"/>
          <w:sz w:val="24"/>
          <w:u w:val="single"/>
        </w:rPr>
        <w:t>Stock Payment</w:t>
      </w:r>
      <w:r>
        <w:rPr>
          <w:color w:val="000000"/>
        </w:rPr>
        <w:t xml:space="preserve">” </w:t>
      </w:r>
      <w:r>
        <w:rPr>
          <w:rFonts w:ascii="Times New Roman;sans-serif" w:hAnsi="Times New Roman;sans-serif"/>
          <w:b w:val="false"/>
          <w:color w:val="000000"/>
          <w:sz w:val="24"/>
        </w:rPr>
        <w:t>shall mean (a) a payment in the form of Shares, or (b) an option or other right to purchase Shares, as part of a bonus, deferred compensation or other arrangement, awarded under Section 9.3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2.49</w:t>
      </w: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2.50</w:t>
      </w:r>
      <w:r>
        <w:rPr>
          <w:color w:val="000000"/>
        </w:rPr>
        <w:t>“</w:t>
      </w:r>
      <w:r>
        <w:rPr>
          <w:rFonts w:ascii="Times New Roman;sans-serif" w:hAnsi="Times New Roman;sans-serif"/>
          <w:b w:val="false"/>
          <w:color w:val="000000"/>
          <w:sz w:val="24"/>
          <w:u w:val="single"/>
        </w:rPr>
        <w:t>Substitute Award</w:t>
      </w:r>
      <w:r>
        <w:rPr>
          <w:color w:val="000000"/>
        </w:rPr>
        <w:t xml:space="preserve">” </w:t>
      </w:r>
      <w:r>
        <w:rPr>
          <w:rFonts w:ascii="Times New Roman;sans-serif" w:hAnsi="Times New Roman;sans-serif"/>
          <w:b w:val="false"/>
          <w:color w:val="000000"/>
          <w:sz w:val="24"/>
        </w:rPr>
        <w:t xml:space="preserve">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no event shall the term “Substitute Award” be construed to refer to an award made in connection with the cancellation and repricing of an Option or Stock Appreciation Right.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2.51</w:t>
      </w:r>
      <w:r>
        <w:rPr>
          <w:color w:val="000000"/>
        </w:rPr>
        <w:t>“</w:t>
      </w:r>
      <w:r>
        <w:rPr>
          <w:rFonts w:ascii="Times New Roman;sans-serif" w:hAnsi="Times New Roman;sans-serif"/>
          <w:b w:val="false"/>
          <w:color w:val="000000"/>
          <w:sz w:val="24"/>
          <w:u w:val="single"/>
        </w:rPr>
        <w:t>Termination of Service</w:t>
      </w:r>
      <w:r>
        <w:rPr>
          <w:color w:val="000000"/>
        </w:rPr>
        <w:t xml:space="preserve">” </w:t>
      </w:r>
      <w:r>
        <w:rPr>
          <w:rFonts w:ascii="Times New Roman;sans-serif" w:hAnsi="Times New Roman;sans-serif"/>
          <w:b w:val="false"/>
          <w:color w:val="000000"/>
          <w:sz w:val="24"/>
        </w:rPr>
        <w:t>shall mean: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absence, change in status or other change interrupts employment for the purposes of Section 422(a)(2) of the Code and the then applicable regulations and revenue rulings under said Section. </w:t>
      </w:r>
    </w:p>
    <w:p>
      <w:pPr>
        <w:pStyle w:val="TextBody"/>
        <w:bidi w:val="0"/>
        <w:spacing w:lineRule="auto" w:line="288" w:before="0" w:after="240"/>
        <w:jc w:val="both"/>
        <w:rPr/>
      </w:pPr>
      <w:r>
        <w:rPr>
          <w:color w:val="000000"/>
        </w:rPr>
        <w:t>▪</w:t>
      </w:r>
      <w:r>
        <w:rPr>
          <w:color w:val="000000"/>
        </w:rPr>
        <w:t xml:space="preserve"> </w:t>
      </w:r>
      <w:r>
        <w:rPr>
          <w:rFonts w:ascii="Times New Roman;sans-serif" w:hAnsi="Times New Roman;sans-serif"/>
          <w:b w:val="false"/>
          <w:color w:val="000000"/>
          <w:sz w:val="24"/>
        </w:rPr>
        <w:t>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pStyle w:val="TextBody"/>
        <w:bidi w:val="0"/>
        <w:spacing w:lineRule="auto" w:line="288" w:before="0" w:after="240"/>
        <w:jc w:val="center"/>
        <w:rPr/>
      </w:pPr>
      <w:r>
        <w:rPr>
          <w:rFonts w:ascii="Times New Roman;sans-serif" w:hAnsi="Times New Roman;sans-serif"/>
          <w:b/>
          <w:color w:val="000000"/>
          <w:sz w:val="24"/>
        </w:rPr>
        <w:t>ARTICLE 3.</w:t>
      </w:r>
      <w:r>
        <w:rPr>
          <w:rFonts w:ascii="Times New Roman;sans-serif" w:hAnsi="Times New Roman;sans-serif"/>
          <w:b/>
          <w:color w:val="000000"/>
          <w:sz w:val="24"/>
        </w:rPr>
        <w:br/>
        <w:br/>
        <w:t>SHARES SUBJECT TO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Number of Shares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Sections 13.1, 13.2 and 3.1(b) hereof, the aggregate number of Shares which may be issued or transferred pursuant to Awards under the Plan is (i) 58,457,566 and (ii) any of the 6,500,000 Shares which as of the Effective Date are subject to awards under the Prior Plan that, on or after the Effective Date, terminate, expire or lapse for any reason without the delivery of Shares to the holder thereof or for which the Shares are forfeited or repurchased for the original purchase prices thereof (the “</w:t>
      </w:r>
      <w:r>
        <w:rPr>
          <w:rFonts w:ascii="Times New Roman;sans-serif" w:hAnsi="Times New Roman;sans-serif"/>
          <w:b w:val="false"/>
          <w:color w:val="000000"/>
          <w:sz w:val="24"/>
          <w:u w:val="single"/>
        </w:rPr>
        <w:t>Share Limit</w:t>
      </w:r>
      <w:r>
        <w:rPr>
          <w:color w:val="000000"/>
        </w:rPr>
        <w:t>”</w:t>
      </w:r>
      <w:r>
        <w:rPr>
          <w:rFonts w:ascii="Times New Roman;sans-serif" w:hAnsi="Times New Roman;sans-serif"/>
          <w:b w:val="false"/>
          <w:color w:val="000000"/>
          <w:sz w:val="24"/>
        </w:rPr>
        <w:t xml:space="preserve">). Notwithstanding anything in this Section 3.1 to the contrary, the number of shares of Stock that may be issued or transferred pursuant to Incentive Stock Options under the Plan shall not exceed an aggregate of 58,457,566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any Shares subject to an Award are forfeited or expire or such Award is settled for cash (in whole or in part), the Shares subject to such Award shall, to the extent of such forfeiture, expiration or cash settlement, again be available for future grants of Awards under the Plan and shall be added back to the Share Limit. Any Shares repurchased by the Company pursuant to Section 7.4 hereof at the same price paid by the Holder or a lower price so that such Shares are returned to the Company shall again be available for the grant of an Award pursuant to the Plan and shall be added back to the Share Limit. Notwithstanding anything to the contrary contained herein, the following Shares shall not be added to the Shares authorized for grant under Section 3.1(a) hereof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Stock Appreciation Rights that are not issued in connection with the stock settlement of the Stock Appreciation Rights on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thereof; and (iv) Shares purchased on the open market by the Company with the cash proceeds from the exercise of Options.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Substitute Awards shall not reduce the Shares authorized for grant under the Plan and Shares subject to such Substitute Awards shall not be added back to the Shares available for Awards under the Plan as provided in Section 3.1(b) above.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Stock Distributed</w:t>
      </w:r>
      <w:r>
        <w:rPr>
          <w:rFonts w:ascii="Times New Roman;sans-serif" w:hAnsi="Times New Roman;sans-serif"/>
          <w:b w:val="false"/>
          <w:color w:val="000000"/>
          <w:sz w:val="24"/>
        </w:rPr>
        <w:t>. Any Shares distributed pursuant to an Award may consist, in whole or in part, of authorized and unissued Common Stock, treasury Common Stock or Common Stock purchased on the open market.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Limitation on Number of Shares Subject to Awards to Non-Employee Directors</w:t>
      </w:r>
      <w:r>
        <w:rPr>
          <w:rFonts w:ascii="Times New Roman;sans-serif" w:hAnsi="Times New Roman;sans-serif"/>
          <w:b w:val="false"/>
          <w:color w:val="000000"/>
          <w:sz w:val="24"/>
        </w:rPr>
        <w:t>. The maximum aggregate value of Awards (with such value determined as of the date of grant under Applicable Accounting Standards) that may be granted to any Non-Employee Director during any calendar year shall be $1,000,000.</w:t>
      </w:r>
    </w:p>
    <w:p>
      <w:pPr>
        <w:pStyle w:val="TextBody"/>
        <w:bidi w:val="0"/>
        <w:spacing w:lineRule="auto" w:line="288" w:before="0" w:after="240"/>
        <w:jc w:val="center"/>
        <w:rPr/>
      </w:pPr>
      <w:r>
        <w:rPr>
          <w:rFonts w:ascii="Times New Roman;sans-serif" w:hAnsi="Times New Roman;sans-serif"/>
          <w:b/>
          <w:color w:val="000000"/>
          <w:sz w:val="24"/>
        </w:rPr>
        <w:t>ARTICLE 4.</w:t>
      </w:r>
      <w:r>
        <w:rPr>
          <w:rFonts w:ascii="Times New Roman;sans-serif" w:hAnsi="Times New Roman;sans-serif"/>
          <w:b/>
          <w:color w:val="000000"/>
          <w:sz w:val="24"/>
        </w:rPr>
        <w:br/>
        <w:br/>
        <w:t>GRANTING OF AWARDS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Participation</w:t>
      </w:r>
      <w:r>
        <w:rPr>
          <w:rFonts w:ascii="Times New Roman;sans-serif" w:hAnsi="Times New Roman;sans-serif"/>
          <w:b w:val="false"/>
          <w:color w:val="000000"/>
          <w:sz w:val="24"/>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hereof regarding the grant of Awards pursuant to the Non-Employee Director Equity Compensation Policy, no Eligible Individual shall have any right to be granted an Award pursuant to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Award Agreement</w:t>
      </w:r>
      <w:r>
        <w:rPr>
          <w:rFonts w:ascii="Times New Roman;sans-serif" w:hAnsi="Times New Roman;sans-serif"/>
          <w:b w:val="false"/>
          <w:color w:val="000000"/>
          <w:sz w:val="24"/>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Incentive Stock Options shall contain such terms and conditions as may be necessary to meet the applicable provisions of Section 422 of the Code.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Limitations Applicable to Section 16 Persons</w:t>
      </w:r>
      <w:r>
        <w:rPr>
          <w:rFonts w:ascii="Times New Roman;sans-serif" w:hAnsi="Times New Roman;sans-serif"/>
          <w:b w:val="false"/>
          <w:color w:val="000000"/>
          <w:sz w:val="24"/>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4.4</w:t>
      </w:r>
      <w:r>
        <w:rPr>
          <w:rFonts w:ascii="Times New Roman;sans-serif" w:hAnsi="Times New Roman;sans-serif"/>
          <w:b w:val="false"/>
          <w:color w:val="000000"/>
          <w:sz w:val="24"/>
          <w:u w:val="single"/>
        </w:rPr>
        <w:t>At-Will Employment; Voluntary Participation</w:t>
      </w:r>
      <w:r>
        <w:rPr>
          <w:rFonts w:ascii="Times New Roman;sans-serif" w:hAnsi="Times New Roman;sans-serif"/>
          <w:b w:val="false"/>
          <w:color w:val="000000"/>
          <w:sz w:val="24"/>
        </w:rPr>
        <w:t xml:space="preserve">.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4.5</w:t>
      </w:r>
      <w:r>
        <w:rPr>
          <w:rFonts w:ascii="Times New Roman;sans-serif" w:hAnsi="Times New Roman;sans-serif"/>
          <w:b w:val="false"/>
          <w:color w:val="000000"/>
          <w:sz w:val="24"/>
          <w:u w:val="single"/>
        </w:rPr>
        <w:t>Foreign Holders</w:t>
      </w:r>
      <w:r>
        <w:rPr>
          <w:rFonts w:ascii="Times New Roman;sans-serif" w:hAnsi="Times New Roman;sans-serif"/>
          <w:b w:val="false"/>
          <w:color w:val="000000"/>
          <w:sz w:val="24"/>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such subplans and/or modifications shall increase the share limitations contained in Sections 3.1 and 3.3 hereof;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securities exchange or automated quotation system on which the Shares are listed, quoted or traded or any other Applicable Law. For purposes of the Plan, all references to foreign laws, rules, regulations or taxes shall be references to the laws, rules, regulations and taxes of any applicable jurisdiction other than the United States or a political subdivision thereof.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4.6</w:t>
      </w:r>
      <w:r>
        <w:rPr>
          <w:rFonts w:ascii="Times New Roman;sans-serif" w:hAnsi="Times New Roman;sans-serif"/>
          <w:b w:val="false"/>
          <w:color w:val="000000"/>
          <w:sz w:val="24"/>
          <w:u w:val="single"/>
        </w:rPr>
        <w:t>Non-Employee Director Awards</w:t>
      </w:r>
      <w:r>
        <w:rPr>
          <w:rFonts w:ascii="Times New Roman;sans-serif" w:hAnsi="Times New Roman;sans-serif"/>
          <w:b w:val="false"/>
          <w:color w:val="000000"/>
          <w:sz w:val="24"/>
        </w:rPr>
        <w:t>. The Administrator may, in its discretion, provide that Awards granted to Non-Employee Directors shall be granted pursuant to a written non-discretionary formula established by the Administrator (the “</w:t>
      </w:r>
      <w:r>
        <w:rPr>
          <w:rFonts w:ascii="Times New Roman;sans-serif" w:hAnsi="Times New Roman;sans-serif"/>
          <w:b w:val="false"/>
          <w:color w:val="000000"/>
          <w:sz w:val="24"/>
          <w:u w:val="single"/>
        </w:rPr>
        <w:t>Non-Employee Director Equity Compensation Policy</w:t>
      </w:r>
      <w:r>
        <w:rPr>
          <w:color w:val="000000"/>
        </w:rPr>
        <w:t>”</w:t>
      </w:r>
      <w:r>
        <w:rPr>
          <w:rFonts w:ascii="Times New Roman;sans-serif" w:hAnsi="Times New Roman;sans-serif"/>
          <w:b w:val="false"/>
          <w:color w:val="000000"/>
          <w:sz w:val="24"/>
        </w:rPr>
        <w:t xml:space="preserve">),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4.7</w:t>
      </w:r>
      <w:r>
        <w:rPr>
          <w:rFonts w:ascii="Times New Roman;sans-serif" w:hAnsi="Times New Roman;sans-serif"/>
          <w:b w:val="false"/>
          <w:color w:val="000000"/>
          <w:sz w:val="24"/>
          <w:u w:val="single"/>
        </w:rPr>
        <w:t>Stand-Alone and Tandem Awards</w:t>
      </w:r>
      <w:r>
        <w:rPr>
          <w:rFonts w:ascii="Times New Roman;sans-serif" w:hAnsi="Times New Roman;sans-serif"/>
          <w:b w:val="false"/>
          <w:color w:val="000000"/>
          <w:sz w:val="24"/>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pStyle w:val="TextBody"/>
        <w:bidi w:val="0"/>
        <w:spacing w:lineRule="auto" w:line="288" w:before="0" w:after="240"/>
        <w:jc w:val="center"/>
        <w:rPr/>
      </w:pPr>
      <w:r>
        <w:rPr>
          <w:rFonts w:ascii="Times New Roman;sans-serif" w:hAnsi="Times New Roman;sans-serif"/>
          <w:b/>
          <w:color w:val="000000"/>
          <w:sz w:val="24"/>
        </w:rPr>
        <w:t>ARTICLE 5.</w:t>
      </w:r>
      <w:r>
        <w:rPr>
          <w:rFonts w:ascii="Times New Roman;sans-serif" w:hAnsi="Times New Roman;sans-serif"/>
          <w:b/>
          <w:color w:val="000000"/>
          <w:sz w:val="24"/>
        </w:rPr>
        <w:br/>
        <w:br/>
        <w:t>GRANTING OF OPTIONS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5.1</w:t>
      </w:r>
      <w:r>
        <w:rPr>
          <w:rFonts w:ascii="Times New Roman;sans-serif" w:hAnsi="Times New Roman;sans-serif"/>
          <w:b w:val="false"/>
          <w:color w:val="000000"/>
          <w:sz w:val="24"/>
          <w:u w:val="single"/>
        </w:rPr>
        <w:t>Granting of Options to Eligible Individuals</w:t>
      </w:r>
      <w:r>
        <w:rPr>
          <w:rFonts w:ascii="Times New Roman;sans-serif" w:hAnsi="Times New Roman;sans-serif"/>
          <w:b w:val="false"/>
          <w:color w:val="000000"/>
          <w:sz w:val="24"/>
        </w:rPr>
        <w:t>. The Administrator is authorized to grant Options to Eligible Individuals from time to time, in its sole discretion, on such terms and conditions as it may determine which shall not be inconsistent with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5.2</w:t>
      </w:r>
      <w:r>
        <w:rPr>
          <w:rFonts w:ascii="Times New Roman;sans-serif" w:hAnsi="Times New Roman;sans-serif"/>
          <w:b w:val="false"/>
          <w:color w:val="000000"/>
          <w:sz w:val="24"/>
          <w:u w:val="single"/>
        </w:rPr>
        <w:t>Qualification of Incentive Stock Options</w:t>
      </w:r>
      <w:r>
        <w:rPr>
          <w:rFonts w:ascii="Times New Roman;sans-serif" w:hAnsi="Times New Roman;sans-serif"/>
          <w:b w:val="false"/>
          <w:color w:val="000000"/>
          <w:sz w:val="24"/>
        </w:rPr>
        <w:t xml:space="preserve">.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granted. In addition, to the extent that any Options otherwise fail to qualify as Incentive Stock Options, such Options shall be treated as Nonqualified Stock Options.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5.3</w:t>
      </w:r>
      <w:r>
        <w:rPr>
          <w:rFonts w:ascii="Times New Roman;sans-serif" w:hAnsi="Times New Roman;sans-serif"/>
          <w:b w:val="false"/>
          <w:color w:val="000000"/>
          <w:sz w:val="24"/>
          <w:u w:val="single"/>
        </w:rPr>
        <w:t>Option Exercise Price</w:t>
      </w:r>
      <w:r>
        <w:rPr>
          <w:rFonts w:ascii="Times New Roman;sans-serif" w:hAnsi="Times New Roman;sans-serif"/>
          <w:b w:val="false"/>
          <w:color w:val="000000"/>
          <w:sz w:val="24"/>
        </w:rPr>
        <w:t>. Except as provided in Article 13 hereof, the exercise price per Share subject to each Option shall be set by the Administrator, but shall not be less than one hundred percent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one hundred ten percent (110%) of the Fair Market Value of a Share on the date the Option is granted (or the date the Option is modified, extended or renewed for purposes of Section 424(h) of the Code).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5.4</w:t>
      </w:r>
      <w:r>
        <w:rPr>
          <w:rFonts w:ascii="Times New Roman;sans-serif" w:hAnsi="Times New Roman;sans-serif"/>
          <w:b w:val="false"/>
          <w:color w:val="000000"/>
          <w:sz w:val="24"/>
          <w:u w:val="single"/>
        </w:rPr>
        <w:t>Option Term</w:t>
      </w:r>
      <w:r>
        <w:rPr>
          <w:rFonts w:ascii="Times New Roman;sans-serif" w:hAnsi="Times New Roman;sans-serif"/>
          <w:b w:val="false"/>
          <w:color w:val="000000"/>
          <w:sz w:val="24"/>
        </w:rPr>
        <w:t>. The term of each Option (the “</w:t>
      </w:r>
      <w:r>
        <w:rPr>
          <w:rFonts w:ascii="Times New Roman;sans-serif" w:hAnsi="Times New Roman;sans-serif"/>
          <w:b w:val="false"/>
          <w:color w:val="000000"/>
          <w:sz w:val="24"/>
          <w:u w:val="single"/>
        </w:rPr>
        <w:t>Option Term</w:t>
      </w:r>
      <w:r>
        <w:rPr>
          <w:color w:val="000000"/>
        </w:rPr>
        <w:t>”</w:t>
      </w:r>
      <w:r>
        <w:rPr>
          <w:rFonts w:ascii="Times New Roman;sans-serif" w:hAnsi="Times New Roman;sans-serif"/>
          <w:b w:val="false"/>
          <w:color w:val="000000"/>
          <w:sz w:val="24"/>
        </w:rPr>
        <w:t xml:space="preserve">) shall be set by the Administrator in its sole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may extend the time period during which vested Options may be exercised following any Termination of Service of the Holder, and may amend any other term or condition of such Option relating to such a Termination of Service.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5.5</w:t>
      </w:r>
      <w:r>
        <w:rPr>
          <w:rFonts w:ascii="Times New Roman;sans-serif" w:hAnsi="Times New Roman;sans-serif"/>
          <w:b w:val="false"/>
          <w:color w:val="000000"/>
          <w:sz w:val="24"/>
          <w:u w:val="single"/>
        </w:rPr>
        <w:t>Option Vesting</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provided, that in no event shall an Option become exercisable following its expiration, termination or forfeiture.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5.6</w:t>
      </w:r>
      <w:r>
        <w:rPr>
          <w:rFonts w:ascii="Times New Roman;sans-serif" w:hAnsi="Times New Roman;sans-serif"/>
          <w:b w:val="false"/>
          <w:color w:val="000000"/>
          <w:sz w:val="24"/>
          <w:u w:val="single"/>
        </w:rPr>
        <w:t>Substitute Awards</w:t>
      </w:r>
      <w:r>
        <w:rPr>
          <w:rFonts w:ascii="Times New Roman;sans-serif" w:hAnsi="Times New Roman;sans-serif"/>
          <w:b w:val="false"/>
          <w:color w:val="000000"/>
          <w:sz w:val="24"/>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excess of: (a) the aggregate Fair Market Value (as of the date such Substitute Award is granted) of the shares subject to the Substitute Award, over (b) the aggregate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5.7</w:t>
      </w:r>
      <w:r>
        <w:rPr>
          <w:rFonts w:ascii="Times New Roman;sans-serif" w:hAnsi="Times New Roman;sans-serif"/>
          <w:b w:val="false"/>
          <w:color w:val="000000"/>
          <w:sz w:val="24"/>
          <w:u w:val="single"/>
        </w:rPr>
        <w:t>Substitution of Stock Appreciation Rights</w:t>
      </w:r>
      <w:r>
        <w:rPr>
          <w:rFonts w:ascii="Times New Roman;sans-serif" w:hAnsi="Times New Roman;sans-serif"/>
          <w:b w:val="false"/>
          <w:color w:val="000000"/>
          <w:sz w:val="24"/>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pStyle w:val="TextBody"/>
        <w:bidi w:val="0"/>
        <w:spacing w:lineRule="auto" w:line="288" w:before="0" w:after="240"/>
        <w:jc w:val="center"/>
        <w:rPr/>
      </w:pPr>
      <w:r>
        <w:rPr>
          <w:rFonts w:ascii="Times New Roman;sans-serif" w:hAnsi="Times New Roman;sans-serif"/>
          <w:b/>
          <w:color w:val="000000"/>
          <w:sz w:val="24"/>
        </w:rPr>
        <w:t>ARTICLE 6.</w:t>
      </w:r>
      <w:r>
        <w:rPr>
          <w:rFonts w:ascii="Times New Roman;sans-serif" w:hAnsi="Times New Roman;sans-serif"/>
          <w:b/>
          <w:color w:val="000000"/>
          <w:sz w:val="24"/>
        </w:rPr>
        <w:br/>
        <w:br/>
        <w:t>EXERCISE OF OPTIONS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Partial Exercise</w:t>
      </w:r>
      <w:r>
        <w:rPr>
          <w:rFonts w:ascii="Times New Roman;sans-serif" w:hAnsi="Times New Roman;sans-serif"/>
          <w:b w:val="false"/>
          <w:color w:val="000000"/>
          <w:sz w:val="24"/>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Manner of Exercise</w:t>
      </w:r>
      <w:r>
        <w:rPr>
          <w:rFonts w:ascii="Times New Roman;sans-serif" w:hAnsi="Times New Roman;sans-serif"/>
          <w:b w:val="false"/>
          <w:color w:val="000000"/>
          <w:sz w:val="24"/>
        </w:rPr>
        <w:t>. All or a portion of an exercisable Option shall be deemed exercised upon delivery of all of the following to the Secretary of the Company, or such other person or entity designated by the Administrator, or his, her or its office,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Such representations and documents as the Administrator, in its sole discretion, deems necessary or advisable to effect compliance with all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that the Option shall be exercised pursuant to Section 11.3 hereof by any person or persons other than the Holder, appropriate proof of the right of such person or persons to exercise the Option, as determined in the sole discretion of the Administrator;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Full payment of the exercise price and applicable withholding taxes to the stock administrator of the Company for the shares with respect to which the Option, or portion thereof, is exercised, in a manner permitted by Section 11.1 and 11.2 hereof.</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Notification Regarding Disposition</w:t>
      </w:r>
      <w:r>
        <w:rPr>
          <w:rFonts w:ascii="Times New Roman;sans-serif" w:hAnsi="Times New Roman;sans-serif"/>
          <w:b w:val="false"/>
          <w:color w:val="000000"/>
          <w:sz w:val="24"/>
        </w:rPr>
        <w:t>. The Holder shall give the Company prompt written or electronic notice of any disposition of Shares acquired by exercise of an Incentive Stock Option which occurs within (a) two (2) years from the date of granting (including the date the Option is modified, extended or renewed for purposes of Section 424(h) of the Code) of such Option to such Holder, or (b) one (1) year after the transfer of such shares to such Holder.</w:t>
      </w:r>
    </w:p>
    <w:p>
      <w:pPr>
        <w:pStyle w:val="TextBody"/>
        <w:bidi w:val="0"/>
        <w:spacing w:lineRule="auto" w:line="288" w:before="0" w:after="240"/>
        <w:jc w:val="center"/>
        <w:rPr/>
      </w:pPr>
      <w:r>
        <w:rPr>
          <w:rFonts w:ascii="Times New Roman;sans-serif" w:hAnsi="Times New Roman;sans-serif"/>
          <w:b/>
          <w:color w:val="000000"/>
          <w:sz w:val="24"/>
        </w:rPr>
        <w:t>ARTICLE 7.</w:t>
      </w:r>
      <w:r>
        <w:rPr>
          <w:rFonts w:ascii="Times New Roman;sans-serif" w:hAnsi="Times New Roman;sans-serif"/>
          <w:b/>
          <w:color w:val="000000"/>
          <w:sz w:val="24"/>
        </w:rPr>
        <w:br/>
        <w:br/>
        <w:t>AWARD OF RESTRICTED STOCK</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7.1</w:t>
      </w:r>
      <w:r>
        <w:rPr>
          <w:rFonts w:ascii="Times New Roman;sans-serif" w:hAnsi="Times New Roman;sans-serif"/>
          <w:b w:val="false"/>
          <w:color w:val="000000"/>
          <w:sz w:val="24"/>
          <w:u w:val="single"/>
        </w:rPr>
        <w:t>Award of Restricted Stock</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Administrator shall establish the purchase price, if any, and form of payment for Restricted Stock;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7.2</w:t>
      </w:r>
      <w:r>
        <w:rPr>
          <w:rFonts w:ascii="Times New Roman;sans-serif" w:hAnsi="Times New Roman;sans-serif"/>
          <w:b w:val="false"/>
          <w:color w:val="000000"/>
          <w:sz w:val="24"/>
          <w:u w:val="single"/>
        </w:rPr>
        <w:t>Rights as Stockholders</w:t>
      </w:r>
      <w:r>
        <w:rPr>
          <w:rFonts w:ascii="Times New Roman;sans-serif" w:hAnsi="Times New Roman;sans-serif"/>
          <w:b w:val="false"/>
          <w:color w:val="000000"/>
          <w:sz w:val="24"/>
        </w:rPr>
        <w:t xml:space="preserve">. Subject to Section 7.4 hereof,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the sole discretion of the Administrator, any extraordinary distributions with respect to the Shares shall be subject to the restrictions set forth in Section 7.3 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7.3</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xml:space="preserve">.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Company or Affiliate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and/or the Award Agreement. Restricted Stock may not be sold or encumbered until all restrictions are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terminated or expire. In addition, notwithstanding anything to the contrary herein, with respect to a share of Restricted Stock, dividends which are paid prior to vesting shall only be paid out to the Participant to the extent the share of Restricted Stock vests.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7.4</w:t>
      </w:r>
      <w:r>
        <w:rPr>
          <w:rFonts w:ascii="Times New Roman;sans-serif" w:hAnsi="Times New Roman;sans-serif"/>
          <w:b w:val="false"/>
          <w:color w:val="000000"/>
          <w:sz w:val="24"/>
          <w:u w:val="single"/>
        </w:rPr>
        <w:t>Repurchase or Forfeiture of Restricted Stock</w:t>
      </w:r>
      <w:r>
        <w:rPr>
          <w:rFonts w:ascii="Times New Roman;sans-serif" w:hAnsi="Times New Roman;sans-serif"/>
          <w:b w:val="false"/>
          <w:color w:val="000000"/>
          <w:sz w:val="24"/>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7.5</w:t>
      </w:r>
      <w:r>
        <w:rPr>
          <w:rFonts w:ascii="Times New Roman;sans-serif" w:hAnsi="Times New Roman;sans-serif"/>
          <w:b w:val="false"/>
          <w:color w:val="000000"/>
          <w:sz w:val="24"/>
          <w:u w:val="single"/>
        </w:rPr>
        <w:t>Certificates for Restricted Stock</w:t>
      </w:r>
      <w:r>
        <w:rPr>
          <w:rFonts w:ascii="Times New Roman;sans-serif" w:hAnsi="Times New Roman;sans-serif"/>
          <w:b w:val="false"/>
          <w:color w:val="000000"/>
          <w:sz w:val="24"/>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its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7.6</w:t>
      </w:r>
      <w:r>
        <w:rPr>
          <w:rFonts w:ascii="Times New Roman;sans-serif" w:hAnsi="Times New Roman;sans-serif"/>
          <w:b w:val="false"/>
          <w:color w:val="000000"/>
          <w:sz w:val="24"/>
          <w:u w:val="single"/>
        </w:rPr>
        <w:t>Section 83(b) Election</w:t>
      </w:r>
      <w:r>
        <w:rPr>
          <w:rFonts w:ascii="Times New Roman;sans-serif" w:hAnsi="Times New Roman;sans-serif"/>
          <w:b w:val="false"/>
          <w:color w:val="000000"/>
          <w:sz w:val="24"/>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pStyle w:val="TextBody"/>
        <w:bidi w:val="0"/>
        <w:spacing w:lineRule="auto" w:line="288" w:before="0" w:after="240"/>
        <w:jc w:val="center"/>
        <w:rPr/>
      </w:pPr>
      <w:r>
        <w:rPr>
          <w:rFonts w:ascii="Times New Roman;sans-serif" w:hAnsi="Times New Roman;sans-serif"/>
          <w:b/>
          <w:color w:val="000000"/>
          <w:sz w:val="24"/>
        </w:rPr>
        <w:t>ARTICLE 8.</w:t>
      </w:r>
      <w:r>
        <w:rPr>
          <w:rFonts w:ascii="Times New Roman;sans-serif" w:hAnsi="Times New Roman;sans-serif"/>
          <w:b/>
          <w:color w:val="000000"/>
          <w:sz w:val="24"/>
        </w:rPr>
        <w:br/>
        <w:t>AWARD OF RESTRICTED STOCK UNITS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8.1</w:t>
      </w:r>
      <w:r>
        <w:rPr>
          <w:rFonts w:ascii="Times New Roman;sans-serif" w:hAnsi="Times New Roman;sans-serif"/>
          <w:b w:val="false"/>
          <w:color w:val="000000"/>
          <w:sz w:val="24"/>
          <w:u w:val="single"/>
        </w:rPr>
        <w:t>Grant of Restricted Stock Units</w:t>
      </w:r>
      <w:r>
        <w:rPr>
          <w:rFonts w:ascii="Times New Roman;sans-serif" w:hAnsi="Times New Roman;sans-serif"/>
          <w:b w:val="false"/>
          <w:color w:val="000000"/>
          <w:sz w:val="24"/>
        </w:rPr>
        <w:t xml:space="preserve">. The Administrator is authorized to grant Awards of Restricted Stock Units to any Eligible Individual selected by the Administrator in such amounts and subject to such terms and conditions as determined by the Administrator.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8.2</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Except as otherwise provided herein, the term of a Restricted Stock Unit award shall be set by the Administrator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8.3</w:t>
      </w:r>
      <w:r>
        <w:rPr>
          <w:rFonts w:ascii="Times New Roman;sans-serif" w:hAnsi="Times New Roman;sans-serif"/>
          <w:b w:val="false"/>
          <w:color w:val="000000"/>
          <w:sz w:val="24"/>
          <w:u w:val="single"/>
        </w:rPr>
        <w:t>Purchase Price</w:t>
      </w:r>
      <w:r>
        <w:rPr>
          <w:rFonts w:ascii="Times New Roman;sans-serif" w:hAnsi="Times New Roman;sans-serif"/>
          <w:b w:val="false"/>
          <w:color w:val="000000"/>
          <w:sz w:val="24"/>
        </w:rPr>
        <w:t xml:space="preserve">. The Administrator shall specify the purchase price, if any, to be paid by the Holder to the Company with respect to any Restricted Stock Unit award;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value of the consideration shall not be less than the par value of a Share, unless otherwise permitted by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8.4</w:t>
      </w:r>
      <w:r>
        <w:rPr>
          <w:rFonts w:ascii="Times New Roman;sans-serif" w:hAnsi="Times New Roman;sans-serif"/>
          <w:b w:val="false"/>
          <w:color w:val="000000"/>
          <w:sz w:val="24"/>
          <w:u w:val="single"/>
        </w:rPr>
        <w:t>Vesting of Restricted Stock Units</w:t>
      </w:r>
      <w:r>
        <w:rPr>
          <w:rFonts w:ascii="Times New Roman;sans-serif" w:hAnsi="Times New Roman;sans-serif"/>
          <w:b w:val="false"/>
          <w:color w:val="000000"/>
          <w:sz w:val="24"/>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Company performance, individual performance or other specific criteria, in each case on a specified date or dates or over any period or periods, as determined by the Administrator.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8.5</w:t>
      </w:r>
      <w:r>
        <w:rPr>
          <w:rFonts w:ascii="Times New Roman;sans-serif" w:hAnsi="Times New Roman;sans-serif"/>
          <w:b w:val="false"/>
          <w:color w:val="000000"/>
          <w:sz w:val="24"/>
          <w:u w:val="single"/>
        </w:rPr>
        <w:t>Maturity and Payment</w:t>
      </w:r>
      <w:r>
        <w:rPr>
          <w:rFonts w:ascii="Times New Roman;sans-serif" w:hAnsi="Times New Roman;sans-serif"/>
          <w:b w:val="false"/>
          <w:color w:val="000000"/>
          <w:sz w:val="24"/>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except as otherwise determined by the Administrator, set forth in any applicable Award Agreement, and subject to compliance with Section 409A of the Code, in no event shall the maturity date relating to each Restricted Stock Unit occur following the later of (a) the fifteenth (15</w:t>
      </w:r>
      <w:r>
        <w:rPr>
          <w:rFonts w:ascii="Times New Roman;sans-serif" w:hAnsi="Times New Roman;sans-serif"/>
          <w:b w:val="false"/>
          <w:color w:val="000000"/>
          <w:sz w:val="16"/>
        </w:rPr>
        <w:t>th</w:t>
      </w:r>
      <w:r>
        <w:rPr>
          <w:rFonts w:ascii="Times New Roman;sans-serif" w:hAnsi="Times New Roman;sans-serif"/>
          <w:b w:val="false"/>
          <w:color w:val="000000"/>
          <w:sz w:val="24"/>
        </w:rPr>
        <w:t>) day of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month following the end of calendar year in which the Restricted Stock Unit vests; or (b) the fifteenth (15</w:t>
      </w:r>
      <w:r>
        <w:rPr>
          <w:rFonts w:ascii="Times New Roman;sans-serif" w:hAnsi="Times New Roman;sans-serif"/>
          <w:b w:val="false"/>
          <w:color w:val="000000"/>
          <w:sz w:val="16"/>
        </w:rPr>
        <w:t>th</w:t>
      </w:r>
      <w:r>
        <w:rPr>
          <w:rFonts w:ascii="Times New Roman;sans-serif" w:hAnsi="Times New Roman;sans-serif"/>
          <w:b w:val="false"/>
          <w:color w:val="000000"/>
          <w:sz w:val="24"/>
        </w:rPr>
        <w:t>) day of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xml:space="preserve">) month following the end of the Company’s fiscal year in which the Restricted Stock Unit vests. On the maturity date, the Company shall, subject to Section 11.4(e) hereof,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8.6</w:t>
      </w:r>
      <w:r>
        <w:rPr>
          <w:rFonts w:ascii="Times New Roman;sans-serif" w:hAnsi="Times New Roman;sans-serif"/>
          <w:b w:val="false"/>
          <w:color w:val="000000"/>
          <w:sz w:val="24"/>
          <w:u w:val="single"/>
        </w:rPr>
        <w:t>Payment upon Termination of Service</w:t>
      </w:r>
      <w:r>
        <w:rPr>
          <w:rFonts w:ascii="Times New Roman;sans-serif" w:hAnsi="Times New Roman;sans-serif"/>
          <w:b w:val="false"/>
          <w:color w:val="000000"/>
          <w:sz w:val="24"/>
        </w:rPr>
        <w:t xml:space="preserve">. An Award of Restricted Stock Units shall only be payable while the Holder is an Employee, a Consultant or a member of the Board, as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8.7</w:t>
      </w:r>
      <w:r>
        <w:rPr>
          <w:rFonts w:ascii="Times New Roman;sans-serif" w:hAnsi="Times New Roman;sans-serif"/>
          <w:b w:val="false"/>
          <w:color w:val="000000"/>
          <w:sz w:val="24"/>
          <w:u w:val="single"/>
        </w:rPr>
        <w:t>No Rights as a Stockholder</w:t>
      </w:r>
      <w:r>
        <w:rPr>
          <w:rFonts w:ascii="Times New Roman;sans-serif" w:hAnsi="Times New Roman;sans-serif"/>
          <w:b w:val="false"/>
          <w:color w:val="000000"/>
          <w:sz w:val="24"/>
        </w:rPr>
        <w:t xml:space="preserve">.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8.8</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Subject to Section 9.2 hereof,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9.</w:t>
      </w:r>
    </w:p>
    <w:p>
      <w:pPr>
        <w:pStyle w:val="TextBody"/>
        <w:bidi w:val="0"/>
        <w:spacing w:lineRule="auto" w:line="288" w:before="0" w:after="240"/>
        <w:jc w:val="center"/>
        <w:rPr/>
      </w:pPr>
      <w:r>
        <w:rPr>
          <w:color w:val="000000"/>
        </w:rPr>
        <w:t>•</w:t>
      </w:r>
      <w:r>
        <w:rPr>
          <w:rFonts w:ascii="Times New Roman;sans-serif" w:hAnsi="Times New Roman;sans-serif"/>
          <w:b/>
          <w:color w:val="000000"/>
          <w:sz w:val="24"/>
        </w:rPr>
        <w:t>AWARD OF PERFORMANCE AWARDS, DIVIDEND EQUIVALENTS, STOCK PAYMENTS, DEFERRED STOCK, DEFERRED STOCK UNITS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9.1</w:t>
      </w:r>
      <w:r>
        <w:rPr>
          <w:rFonts w:ascii="Times New Roman;sans-serif" w:hAnsi="Times New Roman;sans-serif"/>
          <w:b w:val="false"/>
          <w:color w:val="000000"/>
          <w:sz w:val="24"/>
          <w:u w:val="single"/>
        </w:rPr>
        <w:t>Performance Awards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Administrator is authorized to grant Performance Awards, including Awards of Performance Stock Units, to any Eligible Individual. The value of Performance Awards, including Performance Stock Units, may be linked to any one or more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Without limiting Section 9.1(a) hereof,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9.2</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Notwithstanding anything to the contrary in the Plan, dividends or Dividend Equivalents with respect to an Award that is subject to vesting and that are based on dividends paid prior to the vesting of such Award shall only be paid out to the Holder to the extent that the vesting conditions are subsequently satisfied and the Award vests.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Dividend Equivalents shall be payable with respect to Options or Stock Appreciation Rights.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9.3</w:t>
      </w:r>
      <w:r>
        <w:rPr>
          <w:rFonts w:ascii="Times New Roman;sans-serif" w:hAnsi="Times New Roman;sans-serif"/>
          <w:b w:val="false"/>
          <w:color w:val="000000"/>
          <w:sz w:val="24"/>
          <w:u w:val="single"/>
        </w:rPr>
        <w:t>Stock Payments</w:t>
      </w:r>
      <w:r>
        <w:rPr>
          <w:rFonts w:ascii="Times New Roman;sans-serif" w:hAnsi="Times New Roman;sans-serif"/>
          <w:b w:val="false"/>
          <w:color w:val="000000"/>
          <w:sz w:val="24"/>
        </w:rPr>
        <w:t xml:space="preserve">.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Payments may, but are not required to, be made in lieu of base salary, bonus, fees or other cash compensation otherwise payable to such Eligible Individual.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9.4</w:t>
      </w:r>
      <w:r>
        <w:rPr>
          <w:rFonts w:ascii="Times New Roman;sans-serif" w:hAnsi="Times New Roman;sans-serif"/>
          <w:b w:val="false"/>
          <w:color w:val="000000"/>
          <w:sz w:val="24"/>
          <w:u w:val="single"/>
        </w:rPr>
        <w:t>Deferred Stock</w:t>
      </w:r>
      <w:r>
        <w:rPr>
          <w:rFonts w:ascii="Times New Roman;sans-serif" w:hAnsi="Times New Roman;sans-serif"/>
          <w:b w:val="false"/>
          <w:color w:val="000000"/>
          <w:sz w:val="24"/>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9.5</w:t>
      </w:r>
      <w:r>
        <w:rPr>
          <w:rFonts w:ascii="Times New Roman;sans-serif" w:hAnsi="Times New Roman;sans-serif"/>
          <w:b w:val="false"/>
          <w:color w:val="000000"/>
          <w:sz w:val="24"/>
          <w:u w:val="single"/>
        </w:rPr>
        <w:t>Deferred Stock Units</w:t>
      </w:r>
      <w:r>
        <w:rPr>
          <w:rFonts w:ascii="Times New Roman;sans-serif" w:hAnsi="Times New Roman;sans-serif"/>
          <w:b w:val="false"/>
          <w:color w:val="000000"/>
          <w:sz w:val="24"/>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of Common Stock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9.6</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a Performance Award, Dividend Equivalent award, Stock Payment award, Deferred Stock award and/or Deferred Stock Unit award shall be set by the Administrator in its sole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9.7</w:t>
      </w:r>
      <w:r>
        <w:rPr>
          <w:rFonts w:ascii="Times New Roman;sans-serif" w:hAnsi="Times New Roman;sans-serif"/>
          <w:b w:val="false"/>
          <w:color w:val="000000"/>
          <w:sz w:val="24"/>
          <w:u w:val="single"/>
        </w:rPr>
        <w:t>Purchase Price</w:t>
      </w:r>
      <w:r>
        <w:rPr>
          <w:rFonts w:ascii="Times New Roman;sans-serif" w:hAnsi="Times New Roman;sans-serif"/>
          <w:b w:val="false"/>
          <w:color w:val="000000"/>
          <w:sz w:val="24"/>
        </w:rPr>
        <w:t xml:space="preserve">. The Administrator may establish the purchase price of a Performance Award, Shares distributed as a Stock Payment award, shares of Deferred Stock or Shares distributed pursuant to a Deferred Stock Unit award;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value of the consideration shall not be less than the par value of a Share, unless otherwise permitted by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9.8</w:t>
      </w:r>
      <w:r>
        <w:rPr>
          <w:rFonts w:ascii="Times New Roman;sans-serif" w:hAnsi="Times New Roman;sans-serif"/>
          <w:b w:val="false"/>
          <w:color w:val="000000"/>
          <w:sz w:val="24"/>
          <w:u w:val="single"/>
        </w:rPr>
        <w:t>Termination of Service</w:t>
      </w:r>
      <w:r>
        <w:rPr>
          <w:rFonts w:ascii="Times New Roman;sans-serif" w:hAnsi="Times New Roman;sans-serif"/>
          <w:b w:val="false"/>
          <w:color w:val="000000"/>
          <w:sz w:val="24"/>
        </w:rPr>
        <w:t xml:space="preserve">.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10.</w:t>
      </w:r>
    </w:p>
    <w:p>
      <w:pPr>
        <w:pStyle w:val="TextBody"/>
        <w:bidi w:val="0"/>
        <w:spacing w:lineRule="auto" w:line="288" w:before="0" w:after="240"/>
        <w:jc w:val="center"/>
        <w:rPr/>
      </w:pPr>
      <w:r>
        <w:rPr>
          <w:color w:val="000000"/>
        </w:rPr>
        <w:t>•</w:t>
      </w:r>
      <w:r>
        <w:rPr>
          <w:rFonts w:ascii="Times New Roman;sans-serif" w:hAnsi="Times New Roman;sans-serif"/>
          <w:b/>
          <w:color w:val="000000"/>
          <w:sz w:val="24"/>
        </w:rPr>
        <w:t>AWARD OF STOCK APPRECIATION RIGHTS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10.1</w:t>
      </w:r>
      <w:r>
        <w:rPr>
          <w:rFonts w:ascii="Times New Roman;sans-serif" w:hAnsi="Times New Roman;sans-serif"/>
          <w:b w:val="false"/>
          <w:color w:val="000000"/>
          <w:sz w:val="24"/>
          <w:u w:val="single"/>
        </w:rPr>
        <w:t>Grant of Stock Appreciation Rights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Administrator is authorized to grant Stock Appreciation Rights to Eligible Individuals from time to time, in its sole discretion, on such terms and conditions as it may determine consistent with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or in Section 13.2 hereof, the exercise price per Share subject to each Stock Appreciation Right shall be set by the Administrator, but shall not be less than one hundred percent (100%) of the Fair Market Value on the date the Stock Appreciation Right is granted.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the foregoing provisions of Section 10.1(b) hereof to the contrary, in the case of a Stock Appreciation Right that is a Substitute Award, the price per Share of the Shares subject to such Stock Appreciation Right may be less than one hundred percent (100%) of the Fair Market Value per share on the date of grant;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10.2</w:t>
      </w:r>
      <w:r>
        <w:rPr>
          <w:rFonts w:ascii="Times New Roman;sans-serif" w:hAnsi="Times New Roman;sans-serif"/>
          <w:b w:val="false"/>
          <w:color w:val="000000"/>
          <w:sz w:val="24"/>
          <w:u w:val="single"/>
        </w:rPr>
        <w:t>Stock Appreciation Right Vesting</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any performance criteria or any other criteria selected by the Administrator. At any time after grant of a Stock Appreciation Right, the Administrator may, in its sole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subject to whatever terms and conditions it selects, accelerate the period during which a Stock Appreciation Right vests.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 including following a Termination of Service; provided, that in no event shall a Stock Appreciation Right become exercisable following its expiration, termination or forfeiture.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10.3</w:t>
      </w:r>
      <w:r>
        <w:rPr>
          <w:rFonts w:ascii="Times New Roman;sans-serif" w:hAnsi="Times New Roman;sans-serif"/>
          <w:b w:val="false"/>
          <w:color w:val="000000"/>
          <w:sz w:val="24"/>
          <w:u w:val="single"/>
        </w:rPr>
        <w:t>Manner of Exercise</w:t>
      </w:r>
      <w:r>
        <w:rPr>
          <w:rFonts w:ascii="Times New Roman;sans-serif" w:hAnsi="Times New Roman;sans-serif"/>
          <w:b w:val="false"/>
          <w:color w:val="000000"/>
          <w:sz w:val="24"/>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that the Stock Appreciation Right shall be exercised pursuant to this Section 10.3 hereof by any person or persons other than the Holder, appropriate proof of the right of such person or persons to exercise the Stock Appreciation Right.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10.4</w:t>
      </w:r>
      <w:r>
        <w:rPr>
          <w:rFonts w:ascii="Times New Roman;sans-serif" w:hAnsi="Times New Roman;sans-serif"/>
          <w:b w:val="false"/>
          <w:color w:val="000000"/>
          <w:sz w:val="24"/>
          <w:u w:val="single"/>
        </w:rPr>
        <w:t>Stock Appreciation Right Term</w:t>
      </w:r>
      <w:r>
        <w:rPr>
          <w:rFonts w:ascii="Times New Roman;sans-serif" w:hAnsi="Times New Roman;sans-serif"/>
          <w:b w:val="false"/>
          <w:color w:val="000000"/>
          <w:sz w:val="24"/>
        </w:rPr>
        <w:t>. The term of each Stock Appreciation Right (the “</w:t>
      </w:r>
      <w:r>
        <w:rPr>
          <w:rFonts w:ascii="Times New Roman;sans-serif" w:hAnsi="Times New Roman;sans-serif"/>
          <w:b w:val="false"/>
          <w:color w:val="000000"/>
          <w:sz w:val="24"/>
          <w:u w:val="single"/>
        </w:rPr>
        <w:t>Stock Appreciation Right Term</w:t>
      </w:r>
      <w:r>
        <w:rPr>
          <w:color w:val="000000"/>
        </w:rPr>
        <w:t>”</w:t>
      </w:r>
      <w:r>
        <w:rPr>
          <w:rFonts w:ascii="Times New Roman;sans-serif" w:hAnsi="Times New Roman;sans-serif"/>
          <w:b w:val="false"/>
          <w:color w:val="000000"/>
          <w:sz w:val="24"/>
        </w:rPr>
        <w:t xml:space="preserve">) shall be set by the Administrator in its sole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10.4, the Administrator may extend the Stock Appreciation Right Term of any outstanding Stock Appreciation Right, may extend the time period during which vested Stock Appreciation Rights may be exercised following any Termination of Service of the Holder, and may amend any other term or condition of such Stock Appreciation Right relating to such a Termination of Service.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10.5</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xml:space="preserve">. Payment of the amounts payable with respect to Stock Appreciation Rights pursuant to this Article 10 shall be in cash, Shares (based on its Fair Market Value as of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date the Stock Appreciation Right is exercised), or a combination of both, as determined by the Administrator.</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11.</w:t>
      </w:r>
    </w:p>
    <w:p>
      <w:pPr>
        <w:pStyle w:val="TextBody"/>
        <w:bidi w:val="0"/>
        <w:spacing w:lineRule="auto" w:line="288" w:before="0" w:after="240"/>
        <w:jc w:val="center"/>
        <w:rPr/>
      </w:pPr>
      <w:r>
        <w:rPr>
          <w:color w:val="000000"/>
        </w:rPr>
        <w:t>•</w:t>
      </w:r>
      <w:r>
        <w:rPr>
          <w:rFonts w:ascii="Times New Roman;sans-serif" w:hAnsi="Times New Roman;sans-serif"/>
          <w:b/>
          <w:color w:val="000000"/>
          <w:sz w:val="24"/>
        </w:rPr>
        <w:t>ADDITIONAL TERMS OF AWARDS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xml:space="preserve">.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The Administrator shall determine the methods by which payments by any Holder with respect to the tax withholding obligations with respect to any Awards granted under the Plan shall be made, which methods may include any of the methods permitted under Section 11.1 above. Without limiting the foregoing, the Administrator, in its sole discretion and in satisfaction of the foregoing requirement , may withhold, or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or such higher rate as may be approved by the Administrator (which rates shall in no event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America)); provided, however, that the number of Shares withheld, delivered or returned shall be rounded up to the nearest whole share sufficient to cover the applicable tax withholding obligation to the extent rounding up to the nearest whole share does not result in the liability classification of the applicable Award under generally accepted accounting principles in the United States of America.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Transferability of Awards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Except as otherwise provided in Sections 11.3(b) and 11.3(c) hereof:</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Section 11.3(a) hereof, the Administrator, in its sole discretion, may determine to permit a Holder or a Permitted Transferee of such Holder to transfer an Award other than an Incentive Stock Option (unless such Incentive Stock Option is to become a Non-Qualified Stock Option) to any one or more Permitted Transferees, subject to the following terms and conditions: (i) an Award transferred to a Permitted Transferee shall not be assignable or transferable by the Permitted Transferee (other than to another Permitted Transferee of the applicable Holder) other than by will or the laws of descent and distribution;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an Award transferred to a Permitted Transferee shall continue to be subject to all the terms and conditions of the Award as applicable to the original Holder (other than the ability to further transfer the Award); and (iii) the Holder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Section 11.3(a) hereof,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fifty percent (50%) of the Holder’s interest in the Award shall not be effective without the prior written or electronic consent of the Holder’s spouse or domestic partner, as applicable.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change or revocation is filed with the Administrator prior to the Holder’s death.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Conditions to Issuance of Shares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Administrator shall have the right to require any Holder to comply with any timing or other restrictions with respect to the settlement, distribution or exercise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 including a window-period limitation, as may be imposed in the sole discretion of the Administrator.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 fractional Shares shall be issued and the Administrator shall determine, in its sole discretion, whether cash shall be given in lieu of fractional Shares or whether such fractional Shares shall be eliminated by rounding down.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Notwithstanding any other provision of the Plan, unless otherwise determined by the Administrator or required by any Applicable Law, the Company shall not deliver to any Holder certificates evidencing Shares issued in connection with any Award and instead such Shares shall be recorded in the books of the Company (or, as applicable, its transfer agent or stock plan administrator).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Forfeiture and Claw-Back Provisions</w:t>
      </w:r>
      <w:r>
        <w:rPr>
          <w:rFonts w:ascii="Times New Roman;sans-serif" w:hAnsi="Times New Roman;sans-serif"/>
          <w:b w:val="false"/>
          <w:color w:val="000000"/>
          <w:sz w:val="24"/>
        </w:rPr>
        <w:t xml:space="preserve">. Pursuant to its general authority to determine the terms and conditions applicable to Awards under the Plan, the Administrator shall have the right to provide, in an Award Agreement or otherwise, or to require a Holder to agree by separate written or electronic instrument, that: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Prohibition on Repricing</w:t>
      </w:r>
      <w:r>
        <w:rPr>
          <w:rFonts w:ascii="Times New Roman;sans-serif" w:hAnsi="Times New Roman;sans-serif"/>
          <w:b w:val="false"/>
          <w:color w:val="000000"/>
          <w:sz w:val="24"/>
        </w:rPr>
        <w:t xml:space="preserve">. Subject to Section 13.2 hereof,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Leave of Absence</w:t>
      </w:r>
      <w:r>
        <w:rPr>
          <w:rFonts w:ascii="Times New Roman;sans-serif" w:hAnsi="Times New Roman;sans-serif"/>
          <w:b w:val="false"/>
          <w:color w:val="000000"/>
          <w:sz w:val="24"/>
        </w:rPr>
        <w:t>. Unless the Administrator provides otherwise, vesting of Awards granted hereunder shall be suspended during any unpaid leave of absence. A Holder shall not cease to be considered an Employee, Non-Employee Director or Consultant, as applicable, in the case of any (a) leave of absence approved by the Company, (b) transfer between locations of the Company or between the Company and any of its Affiliates or any successor thereof, or (c) change in status (Employee to Director, Employee to Consultant, etc.), provided that such change does not affect the specific terms applying to the Holder’s Award.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12.</w:t>
      </w:r>
    </w:p>
    <w:p>
      <w:pPr>
        <w:pStyle w:val="TextBody"/>
        <w:bidi w:val="0"/>
        <w:spacing w:lineRule="auto" w:line="288" w:before="0" w:after="240"/>
        <w:jc w:val="center"/>
        <w:rPr/>
      </w:pPr>
      <w:r>
        <w:rPr>
          <w:color w:val="000000"/>
        </w:rPr>
        <w:t>•</w:t>
      </w:r>
      <w:r>
        <w:rPr>
          <w:rFonts w:ascii="Times New Roman;sans-serif" w:hAnsi="Times New Roman;sans-serif"/>
          <w:b/>
          <w:color w:val="000000"/>
          <w:sz w:val="24"/>
        </w:rPr>
        <w:t>ADMINISTRATION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Administrator</w:t>
      </w:r>
      <w:r>
        <w:rPr>
          <w:rFonts w:ascii="Times New Roman;sans-serif" w:hAnsi="Times New Roman;sans-serif"/>
          <w:b w:val="false"/>
          <w:color w:val="000000"/>
          <w:sz w:val="24"/>
        </w:rPr>
        <w:t xml:space="preserve">. The Committee (or another committee or a subcommittee of the Board or the Compensation 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12.6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Duties and Powers of Administrator</w:t>
      </w:r>
      <w:r>
        <w:rPr>
          <w:rFonts w:ascii="Times New Roman;sans-serif" w:hAnsi="Times New Roman;sans-serif"/>
          <w:b w:val="false"/>
          <w:color w:val="000000"/>
          <w:sz w:val="24"/>
        </w:rPr>
        <w:t xml:space="preserve">. It shall be the duty of the Administrator to conduct the general administration of the Plan in accordance with its provisions. The Administrator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rights or obligations of the Holder of the Award that is the subject of any such Program or Award Agreement are not affected materially and adversely by such amendment, unless the consent of the Holder is obtained or such amendment is otherwise permitted under Section 13.10 hereof.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duties of the Committee under the Plan except with respect to matters which under Rule 16b-3 under the Exchange Act or any successor rule, or the rules of any securities exchange or automated quotation system on which the Shares are listed, quoted or traded are required to be determined in the sole discretion of the Committee.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12.3</w:t>
      </w:r>
      <w:r>
        <w:rPr>
          <w:rFonts w:ascii="Times New Roman;sans-serif" w:hAnsi="Times New Roman;sans-serif"/>
          <w:b w:val="false"/>
          <w:color w:val="000000"/>
          <w:sz w:val="24"/>
          <w:u w:val="single"/>
        </w:rPr>
        <w:t>Action by the Committee</w:t>
      </w:r>
      <w:r>
        <w:rPr>
          <w:rFonts w:ascii="Times New Roman;sans-serif" w:hAnsi="Times New Roman;sans-serif"/>
          <w:b w:val="false"/>
          <w:color w:val="000000"/>
          <w:sz w:val="24"/>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12.4</w:t>
      </w:r>
      <w:r>
        <w:rPr>
          <w:rFonts w:ascii="Times New Roman;sans-serif" w:hAnsi="Times New Roman;sans-serif"/>
          <w:b w:val="false"/>
          <w:color w:val="000000"/>
          <w:sz w:val="24"/>
          <w:u w:val="single"/>
        </w:rPr>
        <w:t>Authority of Administrator</w:t>
      </w:r>
      <w:r>
        <w:rPr>
          <w:rFonts w:ascii="Times New Roman;sans-serif" w:hAnsi="Times New Roman;sans-serif"/>
          <w:b w:val="false"/>
          <w:color w:val="000000"/>
          <w:sz w:val="24"/>
        </w:rPr>
        <w:t>. Subject to the Company’s Bylaws, the Committee’s Charter and any specific designation in the Plan, the Administrator has the exclusive power, authority and sole discretion to:</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Designate Eligible Individuals to receive Awards;</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Determine the type or types of Awards to be granted to each Eligible Individual;</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Determine the number of Awards to be granted and the number of Shares to which an Award will relate;</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Determine whether, to what extent, and pursuant to what circumstances an Award may be settled in, or the exercise price of an Award may be paid in cash, Shares, other Awards, or other property, or an Award may be canceled, forfeited, or surrendered;</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color w:val="000000"/>
          <w:sz w:val="24"/>
        </w:rPr>
        <w:t>Prescribe the form of each Award Agreement, which need not be identical for each Holder;</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Decide all other matters that must be determined in connection with an Award;</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Establish, adopt, or revise any rules and regulations as it may deem necessary or advisable to administer the Plan;</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 xml:space="preserve">Interpret the terms of, and any matter arising pursuant to, the Plan, any Program or any Award Agreement; </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(j)</w:t>
      </w:r>
      <w:r>
        <w:rPr>
          <w:color w:val="000000"/>
        </w:rPr>
        <w:t>    </w:t>
      </w:r>
      <w:r>
        <w:rPr>
          <w:rFonts w:ascii="Times New Roman;sans-serif" w:hAnsi="Times New Roman;sans-serif"/>
          <w:b w:val="false"/>
          <w:color w:val="000000"/>
          <w:sz w:val="24"/>
        </w:rPr>
        <w:t>Make all other decisions and determinations that may be required pursuant to the Plan or as the Administrator deems necessary or advisable to administer the Plan; and</w:t>
      </w:r>
    </w:p>
    <w:p>
      <w:pPr>
        <w:pStyle w:val="TextBody"/>
        <w:bidi w:val="0"/>
        <w:spacing w:lineRule="auto" w:line="288" w:before="0" w:after="240"/>
        <w:ind w:left="0" w:right="0" w:firstLine="156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Accelerate wholly or partially the vesting or lapse of restrictions of any Award or portion thereof at any time after the grant of an Award, subject to whatever terms and conditions it selects and Section 13.2(d)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12.5</w:t>
      </w:r>
      <w:r>
        <w:rPr>
          <w:rFonts w:ascii="Times New Roman;sans-serif" w:hAnsi="Times New Roman;sans-serif"/>
          <w:b w:val="false"/>
          <w:color w:val="000000"/>
          <w:sz w:val="24"/>
          <w:u w:val="single"/>
        </w:rPr>
        <w:t>Decisions Binding</w:t>
      </w:r>
      <w:r>
        <w:rPr>
          <w:rFonts w:ascii="Times New Roman;sans-serif" w:hAnsi="Times New Roman;sans-serif"/>
          <w:b w:val="false"/>
          <w:color w:val="000000"/>
          <w:sz w:val="24"/>
        </w:rPr>
        <w:t>. The Administrator’s interpretation of the Plan, any Awards granted pursuant to the Plan, any Program, any Award Agreement and all decisions and determinations by the Administrator with respect to the Plan are final, binding, and conclusive on all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12.6</w:t>
      </w:r>
      <w:r>
        <w:rPr>
          <w:rFonts w:ascii="Times New Roman;sans-serif" w:hAnsi="Times New Roman;sans-serif"/>
          <w:b w:val="false"/>
          <w:color w:val="000000"/>
          <w:sz w:val="24"/>
          <w:u w:val="single"/>
        </w:rPr>
        <w:t>Delegation of Authority</w:t>
      </w:r>
      <w:r>
        <w:rPr>
          <w:rFonts w:ascii="Times New Roman;sans-serif" w:hAnsi="Times New Roman;sans-serif"/>
          <w:b w:val="false"/>
          <w:color w:val="000000"/>
          <w:sz w:val="24"/>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Article 12;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12.6 hereof shall serve in such capacity at the pleasure of the Board and the Committee.</w:t>
      </w:r>
    </w:p>
    <w:p>
      <w:pPr>
        <w:pStyle w:val="TextBody"/>
        <w:bidi w:val="0"/>
        <w:spacing w:lineRule="auto" w:line="288" w:before="0" w:after="240"/>
        <w:jc w:val="center"/>
        <w:rPr/>
      </w:pPr>
      <w:r>
        <w:rPr>
          <w:rFonts w:ascii="Times New Roman;sans-serif" w:hAnsi="Times New Roman;sans-serif"/>
          <w:b/>
          <w:color w:val="000000"/>
          <w:sz w:val="24"/>
        </w:rPr>
        <w:t>ARTICLE 13.</w:t>
      </w:r>
      <w:r>
        <w:rPr>
          <w:rFonts w:ascii="Times New Roman;sans-serif" w:hAnsi="Times New Roman;sans-serif"/>
          <w:b/>
          <w:color w:val="000000"/>
          <w:sz w:val="24"/>
        </w:rPr>
        <w:br/>
        <w:br/>
        <w:t>MISCELLANEOUS PROVISIONS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13.1</w:t>
      </w:r>
      <w:r>
        <w:rPr>
          <w:rFonts w:ascii="Times New Roman;sans-serif" w:hAnsi="Times New Roman;sans-serif"/>
          <w:b w:val="false"/>
          <w:color w:val="000000"/>
          <w:sz w:val="24"/>
          <w:u w:val="single"/>
        </w:rPr>
        <w:t>Amendment, Suspension or Termination of the Plan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Plan shall be effective on the date it is adopted by the Board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xml:space="preserve">), provided, that the stockholders of the Company approve the Plan within twelve (12) months following the Effective Date.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Administrator may, except as provided in Section 13.2 hereof, (a) increase the limits imposed in Section 3.1 hereof on the maximum number of shares which may be issued under the Plan, or (b) reduce the price per share of any outstanding Option or Stock Appreciation Right granted under the Plan, or (c) cancel any Option or Stock Appreciation Right in exchange for cash or another Award when the Option or Stock Appreciation Right price per share exceeds the Fair Market Value of the underlying Shares. Except as provided in Section 13.10 hereof, no amendment, suspension or termination of the Plan shall, without the consent of the Holder, materially and adversely affect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w:t>
      </w:r>
      <w:r>
        <w:rPr>
          <w:rFonts w:ascii="Times New Roman;sans-serif" w:hAnsi="Times New Roman;sans-serif"/>
          <w:b w:val="false"/>
          <w:color w:val="000000"/>
          <w:sz w:val="16"/>
        </w:rPr>
        <w:t>th</w:t>
      </w:r>
      <w:r>
        <w:rPr>
          <w:rFonts w:ascii="Times New Roman;sans-serif" w:hAnsi="Times New Roman;sans-serif"/>
          <w:b w:val="false"/>
          <w:color w:val="000000"/>
          <w:sz w:val="24"/>
        </w:rPr>
        <w:t>) anniversary of the Effective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13.2</w:t>
      </w:r>
      <w:r>
        <w:rPr>
          <w:rFonts w:ascii="Times New Roman;sans-serif" w:hAnsi="Times New Roman;sans-serif"/>
          <w:b w:val="false"/>
          <w:color w:val="000000"/>
          <w:sz w:val="24"/>
          <w:u w:val="single"/>
        </w:rPr>
        <w:t>Changes in Common Stock or Assets of the Company, Acquisition or Liquidation of the Company and Other Corporate Events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hereof on the maximum number and kind of shares which may be issued under the Plan); (ii) the number and kind of shares of Common Stock (or other securities or property) subject to outstanding Awards; (iii) the number and kind of shares of Common Stock (or other securities or property) for which grants are subsequently to be made to new and continuing Non-Employee Directors pursuant to Section 4.6 hereof; (iv) the terms and conditions of any outstanding Awards (including, without limitation, any applicable performance targets or criteria with respect thereto); and (v) the grant or exercise price per share for any outstanding Awards under the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of any transaction or event described in Section 13.2(a) hereof or any unusual or nonrecurring transactions or events affecting the Company, any Affiliate of the Company, or the financial statements of the Company or any Affiliate, or of changes in Applicable Law,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To provide for either (A) termination of any such Award in exchange for an amount of cash and/or other property, if any, equal to the amount that would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To provide that such Award shall be exercisable or payable or fully vested with respect to all shares covered thereby, notwithstanding anything to the contrary in the Plan or the applicable Program or Award Agreement; and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To provide that the Award cannot vest, be exercised or become payable after such event.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connection with the occurrence of any Equity Restructuring, and notwithstanding anything to the contrary in Sections 13.2(a) and 13.2(b) hereof:</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number and type of securities subject to each outstanding Award and the exercise price or grant price thereof, if applicable, shall be equitably adjusted; and/or</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hereof on the maximum number and kind of shares which may be issued under the Plan).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adjustments provided under this Section 13.2(c) shall be nondiscretionary and shall be final and binding on the affected Holder and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Notwithstanding any other provision of the Plan, in the event of a Change in Control, each outstanding Award shall be assumed or an equivalent Award substituted by the successor corporation or a parent or subsidiary of the successor corporation, in each case, as determined by the Administrator.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In the event that the successor corporation in a Change in Control and its parents and subsidiaries refuse to assume or substitute for any Award in accordance with Section 13.2(d)(i) hereof, each such non-assumed/substituted Award, except for any Performance Awards, shall become fully vested and, as applicable, exercisable and shall be deemed exercised, immediately prior to the consummation of such transaction, and all forfeiture restrictions on any or all such Awards shall lapse at such time. For the avoidance of doubt, the vesting of any Performance Awards not assumed in a Change in Control will not be automatically accelerated pursuant to this Section 13.2(d)(ii) and will instead vest pursuant to the terms and conditions of the applicable Award Agreement upon a Change in Control where the successor corporation and its parents and subsidiaries refuse to assume or substitute for any Award in accordance with Section 13.2(d)(i) hereof. If an Award vests and, as applicable, is exercised in lieu of assumption or substitution in connection with a Change in Control, the Administrator shall notify the Holder of such vesting and any applicable exercise period, and the Award shall terminate upon the Change in Control. For the avoidance of doubt, if the value of an Award that is terminated in connection with this Section 13.2(d)(ii) is zero or negative at the time of such Change in Control, such Award shall be terminated upon the Change in Control without payment of consideration therefor.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of the Exchange Act or violate the exemptive conditions of Rule 16b-3 of the Exchange Act unless the Administrator determines that the Award is not to comply with such exemptive conditions.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13.3</w:t>
      </w:r>
      <w:r>
        <w:rPr>
          <w:rFonts w:ascii="Times New Roman;sans-serif" w:hAnsi="Times New Roman;sans-serif"/>
          <w:b w:val="false"/>
          <w:color w:val="000000"/>
          <w:sz w:val="24"/>
          <w:u w:val="single"/>
        </w:rPr>
        <w:t>Approval of Plan by Stockholders</w:t>
      </w:r>
      <w:r>
        <w:rPr>
          <w:rFonts w:ascii="Times New Roman;sans-serif" w:hAnsi="Times New Roman;sans-serif"/>
          <w:b w:val="false"/>
          <w:color w:val="000000"/>
          <w:sz w:val="24"/>
        </w:rPr>
        <w:t xml:space="preserve">. The Plan will be submitted for the approval of the Company’s stockholders within twelve (12) months after the date of the Board’s initial adoption of the Plan. Awards may be granted or awarded prior to such stockholder approval;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Awards shall not be exercisable, shall not vest and the restrictions thereon shall not lapse and no Shares shall be issued pursuant thereto prior to the time when the Plan is approved by the stockholders;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such approval has not been obtained at the end of said twelve (12) month period, all Awards previously granted or awarded under the Plan shall thereupon be canceled and become null and void.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13.4</w:t>
      </w:r>
      <w:r>
        <w:rPr>
          <w:rFonts w:ascii="Times New Roman;sans-serif" w:hAnsi="Times New Roman;sans-serif"/>
          <w:b w:val="false"/>
          <w:color w:val="000000"/>
          <w:sz w:val="24"/>
          <w:u w:val="single"/>
        </w:rPr>
        <w:t>No Stockholders Rights</w:t>
      </w:r>
      <w:r>
        <w:rPr>
          <w:rFonts w:ascii="Times New Roman;sans-serif" w:hAnsi="Times New Roman;sans-serif"/>
          <w:b w:val="false"/>
          <w:color w:val="000000"/>
          <w:sz w:val="24"/>
        </w:rPr>
        <w:t>. Except as otherwise provided herein, a Holder shall have none of the rights of a stockholder with respect to Shares covered by any Award until the Holder becomes the record owner of such Shares.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13.5</w:t>
      </w:r>
      <w:r>
        <w:rPr>
          <w:rFonts w:ascii="Times New Roman;sans-serif" w:hAnsi="Times New Roman;sans-serif"/>
          <w:b w:val="false"/>
          <w:color w:val="000000"/>
          <w:sz w:val="24"/>
          <w:u w:val="single"/>
        </w:rPr>
        <w:t>Paperless Administration</w:t>
      </w:r>
      <w:r>
        <w:rPr>
          <w:rFonts w:ascii="Times New Roman;sans-serif" w:hAnsi="Times New Roman;sans-serif"/>
          <w:b w:val="false"/>
          <w:color w:val="000000"/>
          <w:sz w:val="24"/>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13.6</w:t>
      </w:r>
      <w:r>
        <w:rPr>
          <w:rFonts w:ascii="Times New Roman;sans-serif" w:hAnsi="Times New Roman;sans-serif"/>
          <w:b w:val="false"/>
          <w:color w:val="000000"/>
          <w:sz w:val="24"/>
          <w:u w:val="single"/>
        </w:rPr>
        <w:t>Effect of Plan upon Other Compensation Plans</w:t>
      </w:r>
      <w:r>
        <w:rPr>
          <w:rFonts w:ascii="Times New Roman;sans-serif" w:hAnsi="Times New Roman;sans-serif"/>
          <w:b w:val="false"/>
          <w:color w:val="000000"/>
          <w:sz w:val="24"/>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13.7</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xml:space="preserve">. The Plan, the granting and vesting of Awards under the Plan and the issuance and delivery of Shares and the payment of money under the Plan or under Awards granted or awarded hereunder are subject to compliance with all Applicable Law,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awarded hereunder shall be deemed amended to the extent necessary to conform to such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13.8</w:t>
      </w:r>
      <w:r>
        <w:rPr>
          <w:rFonts w:ascii="Times New Roman;sans-serif" w:hAnsi="Times New Roman;sans-serif"/>
          <w:b w:val="false"/>
          <w:color w:val="000000"/>
          <w:sz w:val="24"/>
          <w:u w:val="single"/>
        </w:rPr>
        <w:t>Titles and Headings, References to Sections of the Code or Exchange Act</w:t>
      </w:r>
      <w:r>
        <w:rPr>
          <w:rFonts w:ascii="Times New Roman;sans-serif" w:hAnsi="Times New Roman;sans-serif"/>
          <w:b w:val="false"/>
          <w:color w:val="000000"/>
          <w:sz w:val="24"/>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13.9</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Plan and any agreements hereunder shall be administered, interpreted and enforced under the internal laws of the State of Delaware without regard to conflicts of laws thereof or of any other jurisdiction.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13.10</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13.11</w:t>
      </w:r>
      <w:r>
        <w:rPr>
          <w:rFonts w:ascii="Times New Roman;sans-serif" w:hAnsi="Times New Roman;sans-serif"/>
          <w:b w:val="false"/>
          <w:color w:val="000000"/>
          <w:sz w:val="24"/>
          <w:u w:val="single"/>
        </w:rPr>
        <w:t>No Rights to Awards</w:t>
      </w:r>
      <w:r>
        <w:rPr>
          <w:rFonts w:ascii="Times New Roman;sans-serif" w:hAnsi="Times New Roman;sans-serif"/>
          <w:b w:val="false"/>
          <w:color w:val="000000"/>
          <w:sz w:val="24"/>
        </w:rPr>
        <w:t>. No Eligible Individual or other person shall have any claim to be granted any Award pursuant to the Plan, and neither the Company nor the Administrator is obligated to treat Eligible Individuals, Holders or any other persons uniformly.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13.12</w:t>
      </w:r>
      <w:r>
        <w:rPr>
          <w:rFonts w:ascii="Times New Roman;sans-serif" w:hAnsi="Times New Roman;sans-serif"/>
          <w:b w:val="false"/>
          <w:color w:val="000000"/>
          <w:sz w:val="24"/>
          <w:u w:val="single"/>
        </w:rPr>
        <w:t>Unfunded Status of Awards</w:t>
      </w:r>
      <w:r>
        <w:rPr>
          <w:rFonts w:ascii="Times New Roman;sans-serif" w:hAnsi="Times New Roman;sans-serif"/>
          <w:b w:val="false"/>
          <w:color w:val="000000"/>
          <w:sz w:val="24"/>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13.13</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To the extent allowable pursuant to Applicable Law, each member of the Committee or of the Board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13.14</w:t>
      </w:r>
      <w:r>
        <w:rPr>
          <w:rFonts w:ascii="Times New Roman;sans-serif" w:hAnsi="Times New Roman;sans-serif"/>
          <w:b w:val="false"/>
          <w:color w:val="000000"/>
          <w:sz w:val="24"/>
          <w:u w:val="single"/>
        </w:rPr>
        <w:t>Relationship to other Benefits</w:t>
      </w:r>
      <w:r>
        <w:rPr>
          <w:rFonts w:ascii="Times New Roman;sans-serif" w:hAnsi="Times New Roman;sans-serif"/>
          <w:b w:val="false"/>
          <w:color w:val="000000"/>
          <w:sz w:val="24"/>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13.15</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The expenses of administering the Plan shall be borne by the Company and its Affiliates.</w:t>
      </w:r>
    </w:p>
    <w:p>
      <w:pPr>
        <w:pStyle w:val="TextBody"/>
        <w:bidi w:val="0"/>
        <w:spacing w:before="0" w:after="240"/>
        <w:ind w:left="0" w:right="0" w:firstLine="720"/>
        <w:jc w:val="both"/>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 * * *</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9"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ARDELYX, INC.</w:t>
        <w:br/>
        <w:t>AMENDED AND RESTATED 2014 EMPLOYEE STOCK PURCHASE PLAN</w:t>
      </w:r>
    </w:p>
    <w:p>
      <w:pPr>
        <w:pStyle w:val="TextBody"/>
        <w:bidi w:val="0"/>
        <w:spacing w:lineRule="auto" w:line="288" w:before="0" w:after="240"/>
        <w:jc w:val="center"/>
        <w:rPr/>
      </w:pPr>
      <w:r>
        <w:rPr>
          <w:rFonts w:ascii="Times New Roman;sans-serif" w:hAnsi="Times New Roman;sans-serif"/>
          <w:b/>
          <w:color w:val="000000"/>
          <w:sz w:val="24"/>
        </w:rPr>
        <w:t>ARTICLE I.</w:t>
      </w:r>
      <w:r>
        <w:rPr>
          <w:rFonts w:ascii="Times New Roman;sans-serif" w:hAnsi="Times New Roman;sans-serif"/>
          <w:b/>
          <w:color w:val="000000"/>
          <w:sz w:val="24"/>
        </w:rPr>
        <w:br/>
        <w:t>PURPOSE, SCOPE AND ADMINISTRATION OF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I.1</w:t>
      </w:r>
      <w:r>
        <w:rPr>
          <w:rFonts w:ascii="Times New Roman;sans-serif" w:hAnsi="Times New Roman;sans-serif"/>
          <w:b w:val="false"/>
          <w:color w:val="000000"/>
          <w:sz w:val="24"/>
          <w:u w:val="single"/>
        </w:rPr>
        <w:t>Purpose and Scope</w:t>
      </w:r>
      <w:r>
        <w:rPr>
          <w:rFonts w:ascii="Times New Roman;sans-serif" w:hAnsi="Times New Roman;sans-serif"/>
          <w:b w:val="false"/>
          <w:color w:val="000000"/>
          <w:sz w:val="24"/>
        </w:rPr>
        <w:t>. The purpose of the Amended and Restated Ardelyx, Inc. 2014 Employee Stock Purchase Plan, as it may be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is to assist employees of Ardelyx,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its Designated Subsidiaries in acquiring a stock ownership interest in the Company pursuant to a plan which is intended to qualify as an “employee stock purchase plan” under Section 423 of the Code and to help such employees provide for their future security and to encourage them to remain in the employment of the Company and its Subsidiaries. The Plan amends and restates the 2014 Employee Stock Purchase Plan (the “</w:t>
      </w:r>
      <w:r>
        <w:rPr>
          <w:rFonts w:ascii="Times New Roman;sans-serif" w:hAnsi="Times New Roman;sans-serif"/>
          <w:b w:val="false"/>
          <w:color w:val="000000"/>
          <w:sz w:val="24"/>
          <w:u w:val="single"/>
        </w:rPr>
        <w:t>Original 2014 Plan</w:t>
      </w:r>
      <w:r>
        <w:rPr>
          <w:color w:val="000000"/>
        </w:rPr>
        <w:t>”</w:t>
      </w:r>
      <w:r>
        <w:rPr>
          <w:rFonts w:ascii="Times New Roman;sans-serif" w:hAnsi="Times New Roman;sans-serif"/>
          <w:b w:val="false"/>
          <w:color w:val="000000"/>
          <w:sz w:val="24"/>
        </w:rPr>
        <w:t>) in its entirety, subject to stockholder approval of this Plan at the annual meeting of the Company’s stockholders in 2024. In the event the Company’s stockholders fail to approve the Plan as set forth herein at the annual meeting of the Company’s stockholders in 2024, then this Plan shall be deemed void ab initio and the Original 2014 Plan shall continue in effect in accordance with its terms.</w:t>
      </w:r>
    </w:p>
    <w:p>
      <w:pPr>
        <w:pStyle w:val="TextBody"/>
        <w:bidi w:val="0"/>
        <w:spacing w:lineRule="auto" w:line="288" w:before="0" w:after="240"/>
        <w:jc w:val="center"/>
        <w:rPr/>
      </w:pPr>
      <w:r>
        <w:rPr>
          <w:rFonts w:ascii="Times New Roman;sans-serif" w:hAnsi="Times New Roman;sans-serif"/>
          <w:b/>
          <w:color w:val="000000"/>
          <w:sz w:val="24"/>
        </w:rPr>
        <w:t>ARTICLE II.</w:t>
      </w:r>
      <w:r>
        <w:rPr>
          <w:rFonts w:ascii="Times New Roman;sans-serif" w:hAnsi="Times New Roman;sans-serif"/>
          <w:b/>
          <w:color w:val="000000"/>
          <w:sz w:val="24"/>
        </w:rPr>
        <w:br/>
        <w:t>DEFINITIONS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following terms are used in the Plan, they shall have the meaning specified below unless the context clearly indicates to the contrary. The singular pronoun shall include the plural where the context so indicates.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II.1</w:t>
      </w:r>
      <w:r>
        <w:rPr>
          <w:color w:val="000000"/>
        </w:rPr>
        <w:t>“</w:t>
      </w:r>
      <w:r>
        <w:rPr>
          <w:rFonts w:ascii="Times New Roman;sans-serif" w:hAnsi="Times New Roman;sans-serif"/>
          <w:b w:val="false"/>
          <w:color w:val="000000"/>
          <w:sz w:val="24"/>
          <w:u w:val="single"/>
        </w:rPr>
        <w:t>Agent</w:t>
      </w:r>
      <w:r>
        <w:rPr>
          <w:color w:val="000000"/>
        </w:rPr>
        <w:t xml:space="preserve">” </w:t>
      </w:r>
      <w:r>
        <w:rPr>
          <w:rFonts w:ascii="Times New Roman;sans-serif" w:hAnsi="Times New Roman;sans-serif"/>
          <w:b w:val="false"/>
          <w:color w:val="000000"/>
          <w:sz w:val="24"/>
        </w:rPr>
        <w:t>means the brokerage firm, bank or other financial institution, entity or person(s), if any, engaged, retained, appointed or authorized to act as the agent of the Company or an Employee with regard to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w:t>
      </w:r>
      <w:r>
        <w:rPr>
          <w:color w:val="000000"/>
        </w:rPr>
        <w:t>“</w:t>
      </w:r>
      <w:r>
        <w:rPr>
          <w:rFonts w:ascii="Times New Roman;sans-serif" w:hAnsi="Times New Roman;sans-serif"/>
          <w:b w:val="false"/>
          <w:color w:val="000000"/>
          <w:sz w:val="24"/>
          <w:u w:val="single"/>
        </w:rPr>
        <w:t>Administrator</w:t>
      </w:r>
      <w:r>
        <w:rPr>
          <w:color w:val="000000"/>
        </w:rPr>
        <w:t xml:space="preserve">” </w:t>
      </w:r>
      <w:r>
        <w:rPr>
          <w:rFonts w:ascii="Times New Roman;sans-serif" w:hAnsi="Times New Roman;sans-serif"/>
          <w:b w:val="false"/>
          <w:color w:val="000000"/>
          <w:sz w:val="24"/>
        </w:rPr>
        <w:t>shall mean the Committee, or such individuals to which authority to administer the Plan has been delegated under Section 7.1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II.3</w:t>
      </w: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shall mean the Board of Directors of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II.4</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shall mean the Internal Revenue Code of 1986, as amended.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II.5</w:t>
      </w:r>
      <w:r>
        <w:rPr>
          <w:color w:val="000000"/>
        </w:rPr>
        <w:t>“</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shall mean the Compensation Committee of the Board.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II.6</w:t>
      </w:r>
      <w:r>
        <w:rPr>
          <w:color w:val="000000"/>
        </w:rPr>
        <w:t>“</w:t>
      </w:r>
      <w:r>
        <w:rPr>
          <w:rFonts w:ascii="Times New Roman;sans-serif" w:hAnsi="Times New Roman;sans-serif"/>
          <w:b w:val="false"/>
          <w:color w:val="000000"/>
          <w:sz w:val="24"/>
          <w:u w:val="single"/>
        </w:rPr>
        <w:t>Common Stock</w:t>
      </w:r>
      <w:r>
        <w:rPr>
          <w:color w:val="000000"/>
        </w:rPr>
        <w:t xml:space="preserve">” </w:t>
      </w:r>
      <w:r>
        <w:rPr>
          <w:rFonts w:ascii="Times New Roman;sans-serif" w:hAnsi="Times New Roman;sans-serif"/>
          <w:b w:val="false"/>
          <w:color w:val="000000"/>
          <w:sz w:val="24"/>
        </w:rPr>
        <w:t>shall mean the common stock of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II.7</w:t>
      </w: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shall have such meaning as set forth in Section 1.1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II.8</w:t>
      </w:r>
      <w:r>
        <w:rPr>
          <w:color w:val="000000"/>
        </w:rPr>
        <w:t>“</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 xml:space="preserve">of an Employee shall mean the regular straight-time earnings or base salary paid to the Employee from the Company on each Payday as compensation for services to the Company or any Designated Subsidiary, before deduction for any salary deferral contributions made by the Employee to any tax-qualified or nonqualified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0705"/>
                <wp:effectExtent l="0" t="0" r="0" b="0"/>
                <wp:wrapNone/>
                <wp:docPr id="110" name="Frame10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deferred compensation plan, including overtime, shift differentials, vacation pay, salaried production schedule premiums, holiday pay, jury duty pay, funeral leave pay, paid time off, military pay, prior week adjustments and weekly bonus, but excluding bonuses and commissions, education or tuition reimbursements, imputed income arising under any group insurance or benefit program, travel expenses, business and moving reimbursements,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Such Compensation shall be calculated before deduction of any income or employment tax withholdings, but shall be withheld from the Employee’s net income.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II.9</w:t>
      </w:r>
      <w:r>
        <w:rPr>
          <w:color w:val="000000"/>
        </w:rPr>
        <w:t>“</w:t>
      </w:r>
      <w:r>
        <w:rPr>
          <w:rFonts w:ascii="Times New Roman;sans-serif" w:hAnsi="Times New Roman;sans-serif"/>
          <w:b w:val="false"/>
          <w:color w:val="000000"/>
          <w:sz w:val="24"/>
          <w:u w:val="single"/>
        </w:rPr>
        <w:t>Designated Subsidiary</w:t>
      </w:r>
      <w:r>
        <w:rPr>
          <w:color w:val="000000"/>
        </w:rPr>
        <w:t xml:space="preserve">” </w:t>
      </w:r>
      <w:r>
        <w:rPr>
          <w:rFonts w:ascii="Times New Roman;sans-serif" w:hAnsi="Times New Roman;sans-serif"/>
          <w:b w:val="false"/>
          <w:color w:val="000000"/>
          <w:sz w:val="24"/>
        </w:rPr>
        <w:t>shall mean each Subsidiary that have been designated by the Board or Committee from time to time in its sole discretion as eligible to participate in the Plan, including any Subsidiary in existence on the Effective Date and any Subsidiary formed or acquired following the Effective Date, in accordance with Section 7.2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II.10</w:t>
      </w: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 xml:space="preserve">shall have the meaning set forth in Section 7.5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II.11</w:t>
      </w:r>
      <w:r>
        <w:rPr>
          <w:color w:val="000000"/>
        </w:rPr>
        <w:t xml:space="preserve"> “</w:t>
      </w:r>
      <w:r>
        <w:rPr>
          <w:rFonts w:ascii="Times New Roman;sans-serif" w:hAnsi="Times New Roman;sans-serif"/>
          <w:b w:val="false"/>
          <w:color w:val="000000"/>
          <w:sz w:val="24"/>
          <w:u w:val="single"/>
        </w:rPr>
        <w:t>Eligible Employee</w:t>
      </w:r>
      <w:r>
        <w:rPr>
          <w:color w:val="000000"/>
        </w:rPr>
        <w:t xml:space="preserve">” </w:t>
      </w:r>
      <w:r>
        <w:rPr>
          <w:rFonts w:ascii="Times New Roman;sans-serif" w:hAnsi="Times New Roman;sans-serif"/>
          <w:b w:val="false"/>
          <w:color w:val="000000"/>
          <w:sz w:val="24"/>
        </w:rPr>
        <w:t xml:space="preserve">shall mean an Employee who (a) is customarily scheduled to work at least twenty (20) hours per week, (b) whose customary employment is more than five (5) months in a calendar year and (c) after the granting of the Option would not be deemed for purposes of Section 423(b)(3) of the Code to possess five percent (5%) or more of the total combined voting power or value of all classes of stock of the Company or any Subsidiary. 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 Notwithstanding the foregoing, the Administrator may exclude from participation in the Plan as an Eligible Employee (x) any Employee that is a “highly compensated employee” of the Company or any Designated Subsidiary (within the meaning of Section 414(q) of the Code), or that is such a “highly compensated employee” (A) with compensation above a specified level, (B) who is an officer and/or (C) is subject to the disclosure requirements of Section 16(a) of the Exchange Act and/or (y) any Employee who is a citizen or resident of a foreign jurisdiction (without regard to whether they are also a citizen of the United States or a resident alien (within the meaning of Section 7701(b)(1)(A) of the Code)) if either (i) the grant of the Option is prohibited under the laws of the jurisdiction governing such Employee, or (ii) compliance with the laws of the foreign jurisdiction would cause the Plan or the Option to violate the requirements of Section 423 of the Code;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any exclusion in clauses (x), and/or (y) shall be applied in an identical manner under each Offering Period to all Employees of the Company and all Designated Subsidiaries, in accordance with Treasury Regulation Section 1.423-2(e).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II.12</w:t>
      </w:r>
      <w:r>
        <w:rPr>
          <w:color w:val="000000"/>
        </w:rPr>
        <w:t>“</w:t>
      </w:r>
      <w:r>
        <w:rPr>
          <w:rFonts w:ascii="Times New Roman;sans-serif" w:hAnsi="Times New Roman;sans-serif"/>
          <w:b w:val="false"/>
          <w:color w:val="000000"/>
          <w:sz w:val="24"/>
          <w:u w:val="single"/>
        </w:rPr>
        <w:t>Employee</w:t>
      </w:r>
      <w:r>
        <w:rPr>
          <w:color w:val="000000"/>
        </w:rPr>
        <w:t xml:space="preserve">” </w:t>
      </w:r>
      <w:r>
        <w:rPr>
          <w:rFonts w:ascii="Times New Roman;sans-serif" w:hAnsi="Times New Roman;sans-serif"/>
          <w:b w:val="false"/>
          <w:color w:val="000000"/>
          <w:sz w:val="24"/>
        </w:rPr>
        <w:t xml:space="preserve">shall mean any person who renders services to the Company or a Designated Subsidiary in the status of an employee within the meaning of Section 3401(c) of the Code. “Employee” shall not include any director of the Company or a Designated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60705"/>
                <wp:effectExtent l="0" t="0" r="0" b="0"/>
                <wp:wrapNone/>
                <wp:docPr id="111" name="Frame1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Designated Subsidiary and meeting the requirements of Treasury Regulation Section 1.421-1(h)(2). Where the period of leave exceeds three (3) months, or such other period specified in Treasury Regulation Section 1.421-1(h)(2), and the individual’s right to reemployment is not guaranteed either by statute or by contract, the employment relationship shall be deemed to have terminated on the first day immediately following such three (3)-month period, or such other period specified in Treasury Regulation Section 1.421-1(h)(2).</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II.13</w:t>
      </w:r>
      <w:r>
        <w:rPr>
          <w:color w:val="000000"/>
        </w:rPr>
        <w:t>“</w:t>
      </w:r>
      <w:r>
        <w:rPr>
          <w:rFonts w:ascii="Times New Roman;sans-serif" w:hAnsi="Times New Roman;sans-serif"/>
          <w:b w:val="false"/>
          <w:color w:val="000000"/>
          <w:sz w:val="24"/>
          <w:u w:val="single"/>
        </w:rPr>
        <w:t>Enrollment Date</w:t>
      </w:r>
      <w:r>
        <w:rPr>
          <w:color w:val="000000"/>
        </w:rPr>
        <w:t xml:space="preserve">” </w:t>
      </w:r>
      <w:r>
        <w:rPr>
          <w:rFonts w:ascii="Times New Roman;sans-serif" w:hAnsi="Times New Roman;sans-serif"/>
          <w:b w:val="false"/>
          <w:color w:val="000000"/>
          <w:sz w:val="24"/>
        </w:rPr>
        <w:t>shall mean the first date of each Offering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II.14</w:t>
      </w:r>
      <w:r>
        <w:rPr>
          <w:color w:val="000000"/>
        </w:rPr>
        <w:t>“</w:t>
      </w:r>
      <w:r>
        <w:rPr>
          <w:rFonts w:ascii="Times New Roman;sans-serif" w:hAnsi="Times New Roman;sans-serif"/>
          <w:b w:val="false"/>
          <w:color w:val="000000"/>
          <w:sz w:val="24"/>
          <w:u w:val="single"/>
        </w:rPr>
        <w:t>Exercise Date</w:t>
      </w:r>
      <w:r>
        <w:rPr>
          <w:color w:val="000000"/>
        </w:rPr>
        <w:t xml:space="preserve">” </w:t>
      </w:r>
      <w:r>
        <w:rPr>
          <w:rFonts w:ascii="Times New Roman;sans-serif" w:hAnsi="Times New Roman;sans-serif"/>
          <w:b w:val="false"/>
          <w:color w:val="000000"/>
          <w:sz w:val="24"/>
        </w:rPr>
        <w:t>shall mean the last Trading Day of each Offering Period, except as provided in Section 5.2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II.15</w:t>
      </w: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shall mean the Securities Exchange Act of 1934, as amended.</w:t>
      </w:r>
    </w:p>
    <w:p>
      <w:pPr>
        <w:pStyle w:val="TextBody"/>
        <w:bidi w:val="0"/>
        <w:spacing w:lineRule="auto" w:line="288" w:before="240" w:after="283"/>
        <w:ind w:left="0" w:right="0" w:firstLine="1440"/>
        <w:jc w:val="both"/>
        <w:rPr/>
      </w:pPr>
      <w:r>
        <w:rPr>
          <w:rFonts w:ascii="Times New Roman;sans-serif" w:hAnsi="Times New Roman;sans-serif"/>
          <w:b w:val="false"/>
          <w:color w:val="000000"/>
          <w:sz w:val="24"/>
        </w:rPr>
        <w:t>II.16</w:t>
      </w:r>
      <w:r>
        <w:rPr>
          <w:color w:val="000000"/>
        </w:rPr>
        <w:t>“</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shall mean, as of any date, the value of Common Stock determined as follows:</w:t>
      </w:r>
    </w:p>
    <w:p>
      <w:pPr>
        <w:pStyle w:val="TextBody"/>
        <w:bidi w:val="0"/>
        <w:spacing w:lineRule="auto" w:line="288" w:before="240" w:after="283"/>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the Common Stock is (i) listed on any established securities exchange (such as the New York Stock Exchange, the Nasdaq Capital Market, Nasdaq Global Market and the Nasdaq Global Select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Stock on the last preceding date for which such quotation exists, as reported in </w:t>
      </w:r>
      <w:r>
        <w:rPr>
          <w:rFonts w:ascii="Times New Roman;sans-serif" w:hAnsi="Times New Roman;sans-serif"/>
          <w:b w:val="false"/>
          <w:i/>
          <w:color w:val="000000"/>
          <w:sz w:val="24"/>
        </w:rPr>
        <w:t>The Wall Street Journal</w:t>
      </w:r>
      <w:r>
        <w:rPr>
          <w:color w:val="000000"/>
        </w:rPr>
        <w:t xml:space="preserve"> </w:t>
      </w:r>
      <w:r>
        <w:rPr>
          <w:rFonts w:ascii="Times New Roman;sans-serif" w:hAnsi="Times New Roman;sans-serif"/>
          <w:b w:val="false"/>
          <w:color w:val="000000"/>
          <w:sz w:val="24"/>
        </w:rPr>
        <w:t>or such other source as the Administrator deems reliable;</w:t>
      </w:r>
    </w:p>
    <w:p>
      <w:pPr>
        <w:pStyle w:val="TextBody"/>
        <w:bidi w:val="0"/>
        <w:spacing w:lineRule="auto" w:line="288" w:before="240" w:after="283"/>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sans-serif" w:hAnsi="Times New Roman;sans-serif"/>
          <w:b w:val="false"/>
          <w:i/>
          <w:color w:val="000000"/>
          <w:sz w:val="24"/>
        </w:rPr>
        <w:t>The Wall Street Journal</w:t>
      </w:r>
      <w:r>
        <w:rPr>
          <w:color w:val="000000"/>
        </w:rPr>
        <w:t xml:space="preserve"> </w:t>
      </w:r>
      <w:r>
        <w:rPr>
          <w:rFonts w:ascii="Times New Roman;sans-serif" w:hAnsi="Times New Roman;sans-serif"/>
          <w:b w:val="false"/>
          <w:color w:val="000000"/>
          <w:sz w:val="24"/>
        </w:rPr>
        <w:t>or such other source as the Administrator deems reliable; or</w:t>
      </w:r>
    </w:p>
    <w:p>
      <w:pPr>
        <w:pStyle w:val="TextBody"/>
        <w:bidi w:val="0"/>
        <w:spacing w:lineRule="auto" w:line="288" w:before="240" w:after="283"/>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II.17</w:t>
      </w:r>
      <w:r>
        <w:rPr>
          <w:color w:val="000000"/>
        </w:rPr>
        <w:t>“</w:t>
      </w:r>
      <w:r>
        <w:rPr>
          <w:rFonts w:ascii="Times New Roman;sans-serif" w:hAnsi="Times New Roman;sans-serif"/>
          <w:b w:val="false"/>
          <w:color w:val="000000"/>
          <w:sz w:val="24"/>
          <w:u w:val="single"/>
        </w:rPr>
        <w:t>Grant Date</w:t>
      </w:r>
      <w:r>
        <w:rPr>
          <w:color w:val="000000"/>
        </w:rPr>
        <w:t xml:space="preserve">” </w:t>
      </w:r>
      <w:r>
        <w:rPr>
          <w:rFonts w:ascii="Times New Roman;sans-serif" w:hAnsi="Times New Roman;sans-serif"/>
          <w:b w:val="false"/>
          <w:color w:val="000000"/>
          <w:sz w:val="24"/>
        </w:rPr>
        <w:t>shall mean the first Trading Day of an Offering Period.</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0705"/>
                <wp:effectExtent l="0" t="0" r="0" b="0"/>
                <wp:wrapNone/>
                <wp:docPr id="112" name="Frame1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II.18</w:t>
      </w:r>
      <w:r>
        <w:rPr>
          <w:color w:val="000000"/>
        </w:rPr>
        <w:t xml:space="preserve"> “</w:t>
      </w:r>
      <w:r>
        <w:rPr>
          <w:rFonts w:ascii="Times New Roman;sans-serif" w:hAnsi="Times New Roman;sans-serif"/>
          <w:b w:val="false"/>
          <w:color w:val="000000"/>
          <w:sz w:val="24"/>
          <w:u w:val="single"/>
        </w:rPr>
        <w:t>New Exercise Date</w:t>
      </w:r>
      <w:r>
        <w:rPr>
          <w:color w:val="000000"/>
        </w:rPr>
        <w:t xml:space="preserve">” </w:t>
      </w:r>
      <w:r>
        <w:rPr>
          <w:rFonts w:ascii="Times New Roman;sans-serif" w:hAnsi="Times New Roman;sans-serif"/>
          <w:b w:val="false"/>
          <w:color w:val="000000"/>
          <w:sz w:val="24"/>
        </w:rPr>
        <w:t xml:space="preserve">shall have such meaning as set forth in Section 5.2(b)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II.19</w:t>
      </w:r>
      <w:r>
        <w:rPr>
          <w:color w:val="000000"/>
        </w:rPr>
        <w:t>“</w:t>
      </w:r>
      <w:r>
        <w:rPr>
          <w:rFonts w:ascii="Times New Roman;sans-serif" w:hAnsi="Times New Roman;sans-serif"/>
          <w:b w:val="false"/>
          <w:color w:val="000000"/>
          <w:sz w:val="24"/>
          <w:u w:val="single"/>
        </w:rPr>
        <w:t>Offering Period</w:t>
      </w:r>
      <w:r>
        <w:rPr>
          <w:color w:val="000000"/>
        </w:rPr>
        <w:t xml:space="preserve">” </w:t>
      </w:r>
      <w:r>
        <w:rPr>
          <w:rFonts w:ascii="Times New Roman;sans-serif" w:hAnsi="Times New Roman;sans-serif"/>
          <w:b w:val="false"/>
          <w:color w:val="000000"/>
          <w:sz w:val="24"/>
        </w:rPr>
        <w:t xml:space="preserve">shall mean the six (6)-month period commencing on each March 1 and September 1 following the Effective Date, except as otherwise provided under Section 5.3 hereof;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the first Offering Period commencing on or after the Effective Date shall commence and end on the dates determined by the Administrator. The duration and timing of Offering Periods may be changed by the Board or Committee, in its sole discretion. In no event may an Offering Period exceed twenty-seven (27) months.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II.20</w:t>
      </w:r>
      <w:r>
        <w:rPr>
          <w:color w:val="000000"/>
        </w:rPr>
        <w:t>“</w:t>
      </w:r>
      <w:r>
        <w:rPr>
          <w:rFonts w:ascii="Times New Roman;sans-serif" w:hAnsi="Times New Roman;sans-serif"/>
          <w:b w:val="false"/>
          <w:color w:val="000000"/>
          <w:sz w:val="24"/>
          <w:u w:val="single"/>
        </w:rPr>
        <w:t>Option</w:t>
      </w:r>
      <w:r>
        <w:rPr>
          <w:color w:val="000000"/>
        </w:rPr>
        <w:t xml:space="preserve">” </w:t>
      </w:r>
      <w:r>
        <w:rPr>
          <w:rFonts w:ascii="Times New Roman;sans-serif" w:hAnsi="Times New Roman;sans-serif"/>
          <w:b w:val="false"/>
          <w:color w:val="000000"/>
          <w:sz w:val="24"/>
        </w:rPr>
        <w:t xml:space="preserve">shall mean the right to purchase shares of Common Stock pursuant to the Plan during each Offering Period.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II.21</w:t>
      </w:r>
      <w:r>
        <w:rPr>
          <w:color w:val="000000"/>
        </w:rPr>
        <w:t>“</w:t>
      </w:r>
      <w:r>
        <w:rPr>
          <w:rFonts w:ascii="Times New Roman;sans-serif" w:hAnsi="Times New Roman;sans-serif"/>
          <w:b w:val="false"/>
          <w:color w:val="000000"/>
          <w:sz w:val="24"/>
          <w:u w:val="single"/>
        </w:rPr>
        <w:t>Option Price</w:t>
      </w:r>
      <w:r>
        <w:rPr>
          <w:color w:val="000000"/>
        </w:rPr>
        <w:t xml:space="preserve">” </w:t>
      </w:r>
      <w:r>
        <w:rPr>
          <w:rFonts w:ascii="Times New Roman;sans-serif" w:hAnsi="Times New Roman;sans-serif"/>
          <w:b w:val="false"/>
          <w:color w:val="000000"/>
          <w:sz w:val="24"/>
        </w:rPr>
        <w:t>shall mean the purchase price of a share of Common Stock hereunder as provided in Section 4.2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II.22</w:t>
      </w:r>
      <w:r>
        <w:rPr>
          <w:color w:val="000000"/>
        </w:rPr>
        <w:t>“</w:t>
      </w:r>
      <w:r>
        <w:rPr>
          <w:rFonts w:ascii="Times New Roman;sans-serif" w:hAnsi="Times New Roman;sans-serif"/>
          <w:b w:val="false"/>
          <w:color w:val="000000"/>
          <w:sz w:val="24"/>
          <w:u w:val="single"/>
        </w:rPr>
        <w:t>Original 2014 Plan</w:t>
      </w:r>
      <w:r>
        <w:rPr>
          <w:color w:val="000000"/>
        </w:rPr>
        <w:t xml:space="preserve">” </w:t>
      </w:r>
      <w:r>
        <w:rPr>
          <w:rFonts w:ascii="Times New Roman;sans-serif" w:hAnsi="Times New Roman;sans-serif"/>
          <w:b w:val="false"/>
          <w:color w:val="000000"/>
          <w:sz w:val="24"/>
        </w:rPr>
        <w:t xml:space="preserve">shall have the meaning set forth in Section 1.1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II.23</w:t>
      </w:r>
      <w:r>
        <w:rPr>
          <w:color w:val="000000"/>
        </w:rPr>
        <w:t>“</w:t>
      </w:r>
      <w:r>
        <w:rPr>
          <w:rFonts w:ascii="Times New Roman;sans-serif" w:hAnsi="Times New Roman;sans-serif"/>
          <w:b w:val="false"/>
          <w:color w:val="000000"/>
          <w:sz w:val="24"/>
          <w:u w:val="single"/>
        </w:rPr>
        <w:t>Parent</w:t>
      </w:r>
      <w:r>
        <w:rPr>
          <w:color w:val="000000"/>
        </w:rPr>
        <w:t xml:space="preserve">” </w:t>
      </w:r>
      <w:r>
        <w:rPr>
          <w:rFonts w:ascii="Times New Roman;sans-serif" w:hAnsi="Times New Roman;sans-serif"/>
          <w:b w:val="false"/>
          <w:color w:val="000000"/>
          <w:sz w:val="24"/>
        </w:rPr>
        <w:t>means any entity that is a parent corporation of the Company within the meaning of Section 424 of the Code and the Treasury Regulations thereunder.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II.24</w:t>
      </w: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shall mean any Eligible Employee who elects to participate in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II.25</w:t>
      </w:r>
      <w:r>
        <w:rPr>
          <w:color w:val="000000"/>
        </w:rPr>
        <w:t>“</w:t>
      </w:r>
      <w:r>
        <w:rPr>
          <w:rFonts w:ascii="Times New Roman;sans-serif" w:hAnsi="Times New Roman;sans-serif"/>
          <w:b w:val="false"/>
          <w:color w:val="000000"/>
          <w:sz w:val="24"/>
          <w:u w:val="single"/>
        </w:rPr>
        <w:t>Payday</w:t>
      </w:r>
      <w:r>
        <w:rPr>
          <w:color w:val="000000"/>
        </w:rPr>
        <w:t xml:space="preserve">” </w:t>
      </w:r>
      <w:r>
        <w:rPr>
          <w:rFonts w:ascii="Times New Roman;sans-serif" w:hAnsi="Times New Roman;sans-serif"/>
          <w:b w:val="false"/>
          <w:color w:val="000000"/>
          <w:sz w:val="24"/>
        </w:rPr>
        <w:t>shall mean the regular and recurring established day for payment of Compensation to an Employee of the Company or any Designated Subsidiary.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II.26</w:t>
      </w: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shall have such meaning as set forth in Section 1.1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II.27</w:t>
      </w:r>
      <w:r>
        <w:rPr>
          <w:color w:val="000000"/>
        </w:rPr>
        <w:t>“</w:t>
      </w:r>
      <w:r>
        <w:rPr>
          <w:rFonts w:ascii="Times New Roman;sans-serif" w:hAnsi="Times New Roman;sans-serif"/>
          <w:b w:val="false"/>
          <w:color w:val="000000"/>
          <w:sz w:val="24"/>
          <w:u w:val="single"/>
        </w:rPr>
        <w:t>Plan Account</w:t>
      </w:r>
      <w:r>
        <w:rPr>
          <w:color w:val="000000"/>
        </w:rPr>
        <w:t xml:space="preserve">” </w:t>
      </w:r>
      <w:r>
        <w:rPr>
          <w:rFonts w:ascii="Times New Roman;sans-serif" w:hAnsi="Times New Roman;sans-serif"/>
          <w:b w:val="false"/>
          <w:color w:val="000000"/>
          <w:sz w:val="24"/>
        </w:rPr>
        <w:t>shall mean a bookkeeping account established and maintained by the Company in the name of each Participant.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II.28</w:t>
      </w:r>
      <w:r>
        <w:rPr>
          <w:color w:val="000000"/>
        </w:rPr>
        <w:t>“</w:t>
      </w:r>
      <w:r>
        <w:rPr>
          <w:rFonts w:ascii="Times New Roman;sans-serif" w:hAnsi="Times New Roman;sans-serif"/>
          <w:b w:val="false"/>
          <w:color w:val="000000"/>
          <w:sz w:val="24"/>
          <w:u w:val="single"/>
        </w:rPr>
        <w:t>Section 423 Option</w:t>
      </w:r>
      <w:r>
        <w:rPr>
          <w:color w:val="000000"/>
        </w:rPr>
        <w:t xml:space="preserve">” </w:t>
      </w:r>
      <w:r>
        <w:rPr>
          <w:rFonts w:ascii="Times New Roman;sans-serif" w:hAnsi="Times New Roman;sans-serif"/>
          <w:b w:val="false"/>
          <w:color w:val="000000"/>
          <w:sz w:val="24"/>
        </w:rPr>
        <w:t xml:space="preserve">shall have such meaning as set forth in Section 3.1(b)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II.29</w:t>
      </w: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shall mean any entity that is a subsidiary corporation of the Company within the meaning of Section 424 of the Code and the Treasury Regulations thereunder. In addition, with respect to any sub-plans adopted under Section 7.1(d) hereof which are designed to be outside the scope of Section 423 of the Code, Subsidiary shall include any corporate or noncorporate entity in which the Company has a direct or indirect equity interest or significant business relationship.</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II.30</w:t>
      </w:r>
      <w:r>
        <w:rPr>
          <w:color w:val="000000"/>
        </w:rPr>
        <w:t>“</w:t>
      </w:r>
      <w:r>
        <w:rPr>
          <w:rFonts w:ascii="Times New Roman;sans-serif" w:hAnsi="Times New Roman;sans-serif"/>
          <w:b w:val="false"/>
          <w:color w:val="000000"/>
          <w:sz w:val="24"/>
          <w:u w:val="single"/>
        </w:rPr>
        <w:t>Trading Day</w:t>
      </w:r>
      <w:r>
        <w:rPr>
          <w:color w:val="000000"/>
        </w:rPr>
        <w:t xml:space="preserve">” </w:t>
      </w:r>
      <w:r>
        <w:rPr>
          <w:rFonts w:ascii="Times New Roman;sans-serif" w:hAnsi="Times New Roman;sans-serif"/>
          <w:b w:val="false"/>
          <w:color w:val="000000"/>
          <w:sz w:val="24"/>
        </w:rPr>
        <w:t>shall mean a day on which the principal securities exchange on which the Common Stock is listed is open for trading or, if the Common Stock is not listed on a securities exchange, shall mean a business day, as determined by the Administrator in good faith.</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0705"/>
                <wp:effectExtent l="0" t="0" r="0" b="0"/>
                <wp:wrapNone/>
                <wp:docPr id="113" name="Frame1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II.31</w:t>
      </w:r>
      <w:r>
        <w:rPr>
          <w:color w:val="000000"/>
        </w:rPr>
        <w:t>“</w:t>
      </w:r>
      <w:r>
        <w:rPr>
          <w:rFonts w:ascii="Times New Roman;sans-serif" w:hAnsi="Times New Roman;sans-serif"/>
          <w:b w:val="false"/>
          <w:color w:val="000000"/>
          <w:sz w:val="24"/>
          <w:u w:val="single"/>
        </w:rPr>
        <w:t>Withdrawal Election</w:t>
      </w:r>
      <w:r>
        <w:rPr>
          <w:color w:val="000000"/>
        </w:rPr>
        <w:t xml:space="preserve">” </w:t>
      </w:r>
      <w:r>
        <w:rPr>
          <w:rFonts w:ascii="Times New Roman;sans-serif" w:hAnsi="Times New Roman;sans-serif"/>
          <w:b w:val="false"/>
          <w:color w:val="000000"/>
          <w:sz w:val="24"/>
        </w:rPr>
        <w:t>shall have such meaning as set forth in Section 6.1(a) hereof.</w:t>
      </w:r>
    </w:p>
    <w:p>
      <w:pPr>
        <w:pStyle w:val="TextBody"/>
        <w:bidi w:val="0"/>
        <w:spacing w:lineRule="auto" w:line="288" w:before="0" w:after="240"/>
        <w:jc w:val="center"/>
        <w:rPr/>
      </w:pPr>
      <w:r>
        <w:rPr>
          <w:rFonts w:ascii="Times New Roman;sans-serif" w:hAnsi="Times New Roman;sans-serif"/>
          <w:b/>
          <w:color w:val="000000"/>
          <w:sz w:val="24"/>
        </w:rPr>
        <w:t>ARTICLE III.</w:t>
      </w:r>
      <w:r>
        <w:rPr>
          <w:rFonts w:ascii="Times New Roman;sans-serif" w:hAnsi="Times New Roman;sans-serif"/>
          <w:b/>
          <w:color w:val="000000"/>
          <w:sz w:val="24"/>
        </w:rPr>
        <w:br/>
        <w:t>PARTICIPATION</w:t>
      </w:r>
    </w:p>
    <w:p>
      <w:pPr>
        <w:pStyle w:val="TextBody"/>
        <w:bidi w:val="0"/>
        <w:spacing w:lineRule="auto" w:line="288" w:before="240" w:after="283"/>
        <w:ind w:left="0" w:right="0" w:firstLine="1440"/>
        <w:jc w:val="both"/>
        <w:rPr/>
      </w:pPr>
      <w:r>
        <w:rPr>
          <w:rFonts w:ascii="Times New Roman;sans-serif" w:hAnsi="Times New Roman;sans-serif"/>
          <w:b w:val="false"/>
          <w:color w:val="000000"/>
          <w:sz w:val="24"/>
        </w:rPr>
        <w:t>III.1</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 xml:space="preserve">. </w:t>
      </w:r>
    </w:p>
    <w:p>
      <w:pPr>
        <w:pStyle w:val="TextBody"/>
        <w:bidi w:val="0"/>
        <w:spacing w:lineRule="auto" w:line="288" w:before="24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 Eligible Employee who shall be employed by the Company or a Designated Subsidiary on a given Enrollment Date for an Offering Period shall be eligible to participate in the Plan during such Offering Period, subject to the requirements of Articles IV and V hereof, and the limitations imposed by Section 423(b) of the Code and the Treasury Regulations thereunder.</w:t>
      </w:r>
    </w:p>
    <w:p>
      <w:pPr>
        <w:pStyle w:val="TextBody"/>
        <w:bidi w:val="0"/>
        <w:spacing w:lineRule="auto" w:line="288" w:before="24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Eligible Employee shall be granted an Option under the Plan which permits the Participant’s rights to purchase shares of Common Stock under the Plan, and to purchase stock under all other employee stock purchase plans of the Company, any Parent or any Subsidiary subject to the Section 423 of the Code (any such Option or other option, a “</w:t>
      </w:r>
      <w:r>
        <w:rPr>
          <w:rFonts w:ascii="Times New Roman;sans-serif" w:hAnsi="Times New Roman;sans-serif"/>
          <w:b w:val="false"/>
          <w:color w:val="000000"/>
          <w:sz w:val="24"/>
          <w:u w:val="single"/>
        </w:rPr>
        <w:t>Section 423 Option</w:t>
      </w:r>
      <w:r>
        <w:rPr>
          <w:color w:val="000000"/>
        </w:rPr>
        <w:t>”</w:t>
      </w:r>
      <w:r>
        <w:rPr>
          <w:rFonts w:ascii="Times New Roman;sans-serif" w:hAnsi="Times New Roman;sans-serif"/>
          <w:b w:val="false"/>
          <w:color w:val="000000"/>
          <w:sz w:val="24"/>
        </w:rPr>
        <w:t xml:space="preserve">), to accrue at a rate which exceeds $25,000 of fair market value of such stock (determined at the time the Section 423 Option is granted) for each calendar year in which any Section 423 Option granted to the Participant is outstanding at any time. For purposes of the limitation imposed by this subsection, </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the right to purchase stock under a Section 423 Option accrues when the Section 423 Option (or any portion thereof) first becomes exercisable during the calendar year, </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the right to purchase stock under a Section 423 Option accrues at the rate provided in the Section 423 Option, but in no case may such rate exceed $25,000 of fair market value of such stock (determined at the time such option is granted) for any one calendar year, and </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a right to purchase stock which has accrued under a Section 423 Option may not be carried over to any other Section 423 Option;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Participants may carry forward amounts so accrued that represent a fractional share of stock and were withheld but not applied towards the purchase of Common Stock under an earlier Offering Period, and may apply such amounts towards the purchase of additional shares of Common Stock under a subsequent Offering Period.</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4"/>
        </w:rPr>
        <w:t>The limitation under this Section 3.1(b) shall be applied in accordance with Section 423(b)(8) of the Code and the Treasury Regulations thereunder.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III.2</w:t>
      </w:r>
      <w:r>
        <w:rPr>
          <w:rFonts w:ascii="Times New Roman;sans-serif" w:hAnsi="Times New Roman;sans-serif"/>
          <w:b w:val="false"/>
          <w:color w:val="000000"/>
          <w:sz w:val="24"/>
          <w:u w:val="single"/>
        </w:rPr>
        <w:t>Election to Participate; Payroll Deductions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Except as provided in Section 3.3 hereof, an Eligible Employee may become a Participant in the Plan only by means of payroll deduction. Each individual who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0705"/>
                <wp:effectExtent l="0" t="0" r="0" b="0"/>
                <wp:wrapNone/>
                <wp:docPr id="114" name="Frame1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is an Eligible Employee as of an Offering Period’s Enrollment Date may elect to participate in such Offering Period and the Plan by delivering to the Company a payroll deduction authorization no later such period of time prior to the applicable Enrollment Date as determined by the Administrator, in its sole discretion.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Subject to Section 3.1(b) hereof, payroll deductions (i) shall be equal to at least one percent (1%) of the Participant’s Compensation as of each Payday of the Offering Period following the Enrollment Date, but not more than the lesser of fifteen percent (15%) of the Participant’s Compensation as of each Payday of the Offering Period following the Enrollment Date or $25,000 per Offering Period; and (ii) may be expressed either as (A) a whole number percentage, or (B) a fixed dollar amount. Amounts deducted from a Participant’s Compensation with respect to an Offering Period pursuant to this Section 3.2 shall be deducted each Payday through payroll deduction and credited to the Participant’s Plan Account.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Following at least one (1) payroll deduction, a Participant may decrease (to as low as zero) the amount deducted from such Participant’s Compensation only once during an Offering Period upon ten (10) calendar days’ prior written notice to the Company. A Participant may not increase the amount deducted from such Participant’s Compensation during an Offering Period.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Notwithstanding the foregoing, upon the termination of an Offering Period, each Participant in such Offering Period shall automatically participate in the immediately following Offering Period at the same payroll deduction percentage or fixed amount as in effect at the termination of the prior Offering Period, unless such Participant delivers to the Company a different election with respect to the successive Offering Period in accordance with Section 3.1(a) hereof, or unless such Participant becomes ineligible for participation in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III.3</w:t>
      </w:r>
      <w:r>
        <w:rPr>
          <w:rFonts w:ascii="Times New Roman;sans-serif" w:hAnsi="Times New Roman;sans-serif"/>
          <w:b w:val="false"/>
          <w:color w:val="000000"/>
          <w:sz w:val="24"/>
          <w:u w:val="single"/>
        </w:rPr>
        <w:t>Leave of Absence</w:t>
      </w:r>
      <w:r>
        <w:rPr>
          <w:rFonts w:ascii="Times New Roman;sans-serif" w:hAnsi="Times New Roman;sans-serif"/>
          <w:b w:val="false"/>
          <w:color w:val="000000"/>
          <w:sz w:val="24"/>
        </w:rPr>
        <w:t>. During leaves of absence approved by the Company meeting the requirements of Treasury Regulation Section 1.421-1(h)(2) under the Code, a Participant may continue participation in the Plan by making cash payments to the Company on his or her normal payday equal to his or her authorized payroll deduction.</w:t>
      </w:r>
    </w:p>
    <w:p>
      <w:pPr>
        <w:pStyle w:val="TextBody"/>
        <w:bidi w:val="0"/>
        <w:spacing w:lineRule="auto" w:line="288" w:before="0" w:after="240"/>
        <w:jc w:val="center"/>
        <w:rPr/>
      </w:pPr>
      <w:r>
        <w:rPr>
          <w:rFonts w:ascii="Times New Roman;sans-serif" w:hAnsi="Times New Roman;sans-serif"/>
          <w:b/>
          <w:color w:val="000000"/>
          <w:sz w:val="24"/>
        </w:rPr>
        <w:t>ARTICLE IV.</w:t>
      </w:r>
      <w:r>
        <w:rPr>
          <w:rFonts w:ascii="Times New Roman;sans-serif" w:hAnsi="Times New Roman;sans-serif"/>
          <w:b/>
          <w:color w:val="000000"/>
          <w:sz w:val="24"/>
        </w:rPr>
        <w:br/>
        <w:t>PURCHASE OF SHARES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IV.1</w:t>
      </w:r>
      <w:r>
        <w:rPr>
          <w:rFonts w:ascii="Times New Roman;sans-serif" w:hAnsi="Times New Roman;sans-serif"/>
          <w:b w:val="false"/>
          <w:color w:val="000000"/>
          <w:sz w:val="24"/>
          <w:u w:val="single"/>
        </w:rPr>
        <w:t>Grant of Option</w:t>
      </w:r>
      <w:r>
        <w:rPr>
          <w:rFonts w:ascii="Times New Roman;sans-serif" w:hAnsi="Times New Roman;sans-serif"/>
          <w:b w:val="false"/>
          <w:color w:val="000000"/>
          <w:sz w:val="24"/>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such Exercise Date and retained in the Participant’s Plan Account on such Exercise Date by (b) the applicable Option Price;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in no event shall a Participant be permitted to purchase during each Offering Period more than 3,000 shares of Common Stock (subject to any adjustment pursuant to Section 5.2 hereof). The Administrator may, for future Offering Periods, increase or decrease, in its absolute discretion, the maximum number of shares of Common Stock that a Participant may purchase during such future Offering Periods. Each Option shall expire on the Exercise Date for the applicable Offering Period immediately after the automatic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0705"/>
                <wp:effectExtent l="0" t="0" r="0" b="0"/>
                <wp:wrapNone/>
                <wp:docPr id="115" name="Frame1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exercise of the Option in accordance with Section 4.3 hereof, unless such Option terminates earlier in accordance with Article 6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IV.2</w:t>
      </w:r>
      <w:r>
        <w:rPr>
          <w:rFonts w:ascii="Times New Roman;sans-serif" w:hAnsi="Times New Roman;sans-serif"/>
          <w:b w:val="false"/>
          <w:color w:val="000000"/>
          <w:sz w:val="24"/>
          <w:u w:val="single"/>
        </w:rPr>
        <w:t>Option Price</w:t>
      </w:r>
      <w:r>
        <w:rPr>
          <w:rFonts w:ascii="Times New Roman;sans-serif" w:hAnsi="Times New Roman;sans-serif"/>
          <w:b w:val="false"/>
          <w:color w:val="000000"/>
          <w:sz w:val="24"/>
        </w:rPr>
        <w:t>. The “</w:t>
      </w:r>
      <w:r>
        <w:rPr>
          <w:rFonts w:ascii="Times New Roman;sans-serif" w:hAnsi="Times New Roman;sans-serif"/>
          <w:b w:val="false"/>
          <w:color w:val="000000"/>
          <w:sz w:val="24"/>
          <w:u w:val="single"/>
        </w:rPr>
        <w:t>Option Price</w:t>
      </w:r>
      <w:r>
        <w:rPr>
          <w:color w:val="000000"/>
        </w:rPr>
        <w:t xml:space="preserve">” </w:t>
      </w:r>
      <w:r>
        <w:rPr>
          <w:rFonts w:ascii="Times New Roman;sans-serif" w:hAnsi="Times New Roman;sans-serif"/>
          <w:b w:val="false"/>
          <w:color w:val="000000"/>
          <w:sz w:val="24"/>
        </w:rPr>
        <w:t xml:space="preserve">per share of Common Stock to be paid by a Participant upon exercise of the Participant’s Option on the applicable Exercise Date for an Offering Period shall be equal to eighty five percent (85%) of the lesser of the Fair Market Value of a share of Common Stock on (a) the applicable Grant Date and (b) the applicable Exercise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in no event shall the Option Price per share of Common Stock be less than the par value per share of the Common Stock.</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IV.3</w:t>
      </w:r>
      <w:r>
        <w:rPr>
          <w:rFonts w:ascii="Times New Roman;sans-serif" w:hAnsi="Times New Roman;sans-serif"/>
          <w:b w:val="false"/>
          <w:color w:val="000000"/>
          <w:sz w:val="24"/>
          <w:u w:val="single"/>
        </w:rPr>
        <w:t>Purchase of Shares</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On the applicable Exercise Date for an Offering Period, each Participant shall automatically and without any action on such Participant’s part be deemed to have exercised his or her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carried forward to the next Offering Period, unless the Participant has elected to withdraw from the Plan pursuant to Section 6.1 hereof or, pursuant to Section 6.2 hereof, such Participant has ceased to be an Eligible Employee. Any balance not carried forward to the next Offering Period in accordance with the prior sentence promptly shall be refunded to the applicable Participant. For the avoidance of doubt, in no event shall an amount greater than or equal to the per share Option Price as of an Exercise Date be carried forward to the next Offering Period.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As soon as practicable following the applicable Exercise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IV.4</w:t>
      </w:r>
      <w:r>
        <w:rPr>
          <w:rFonts w:ascii="Times New Roman;sans-serif" w:hAnsi="Times New Roman;sans-serif"/>
          <w:b w:val="false"/>
          <w:color w:val="000000"/>
          <w:sz w:val="24"/>
          <w:u w:val="single"/>
        </w:rPr>
        <w:t>Transferability of Rights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 Option granted under the Plan shall not be transferable, other than by will or the applicable laws of descent and distribution, and is exercisable during the Participant’s lifetime only by the Participant.</w:t>
      </w:r>
      <w:r>
        <w:rPr>
          <w:color w:val="000000"/>
        </w:rPr>
        <w:t xml:space="preserve"> </w:t>
      </w:r>
      <w:r>
        <w:rPr>
          <w:rFonts w:ascii="Times New Roman;sans-serif" w:hAnsi="Times New Roman;sans-serif"/>
          <w:b w:val="false"/>
          <w:color w:val="000000"/>
          <w:sz w:val="24"/>
        </w:rPr>
        <w:t xml:space="preserve">No option or interest or right to the Option shall be available to pay off any debts, contracts or engagements of the Participant or his or her successors in interest or shall be subject to disposition by pledge, encumbrance, assignment or any other means whether such disposition be voluntary or involuntary or by operation of law by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0705"/>
                <wp:effectExtent l="0" t="0" r="0" b="0"/>
                <wp:wrapNone/>
                <wp:docPr id="116" name="Frame1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judgment, levy, attachment, garnishment or any other legal or equitable proceedings (including bankruptcy), and any attempt at disposition of the option shall have no effect.</w:t>
      </w:r>
    </w:p>
    <w:p>
      <w:pPr>
        <w:pStyle w:val="TextBody"/>
        <w:bidi w:val="0"/>
        <w:spacing w:lineRule="auto" w:line="288" w:before="0" w:after="240"/>
        <w:jc w:val="center"/>
        <w:rPr/>
      </w:pPr>
      <w:r>
        <w:rPr>
          <w:rFonts w:ascii="Times New Roman;sans-serif" w:hAnsi="Times New Roman;sans-serif"/>
          <w:b/>
          <w:color w:val="000000"/>
          <w:sz w:val="24"/>
        </w:rPr>
        <w:t>ARTICLE V.</w:t>
      </w:r>
      <w:r>
        <w:rPr>
          <w:rFonts w:ascii="Times New Roman;sans-serif" w:hAnsi="Times New Roman;sans-serif"/>
          <w:b/>
          <w:color w:val="000000"/>
          <w:sz w:val="24"/>
        </w:rPr>
        <w:br/>
        <w:t>PROVISIONS RELATING TO COMMON STOCK</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V.1</w:t>
      </w:r>
      <w:r>
        <w:rPr>
          <w:rFonts w:ascii="Times New Roman;sans-serif" w:hAnsi="Times New Roman;sans-serif"/>
          <w:b w:val="false"/>
          <w:color w:val="000000"/>
          <w:sz w:val="24"/>
          <w:u w:val="single"/>
        </w:rPr>
        <w:t>Common Stock Reserved</w:t>
      </w:r>
      <w:r>
        <w:rPr>
          <w:rFonts w:ascii="Times New Roman;sans-serif" w:hAnsi="Times New Roman;sans-serif"/>
          <w:b w:val="false"/>
          <w:color w:val="000000"/>
          <w:sz w:val="24"/>
        </w:rPr>
        <w:t>. Subject to adjustment as provided in Section 5.2 hereof, the maximum number of shares of Common Stock that shall be made available for sale under the Plan is 5,940,132. Shares of Common Stock made available for sale under the Plan may be authorized but unissued shares, treasury shares of Common Stock, or reacquired shares reserved for issuance under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V.2</w:t>
      </w:r>
      <w:r>
        <w:rPr>
          <w:rFonts w:ascii="Times New Roman;sans-serif" w:hAnsi="Times New Roman;sans-serif"/>
          <w:b w:val="false"/>
          <w:color w:val="000000"/>
          <w:sz w:val="24"/>
          <w:u w:val="single"/>
        </w:rPr>
        <w:t>Adjustments Upon Changes in Capitalization, Dissolution, Liquidation, Merger or Asset Sale</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Changes in Capitalization</w:t>
      </w:r>
      <w:r>
        <w:rPr>
          <w:rFonts w:ascii="Times New Roman;sans-serif" w:hAnsi="Times New Roman;sans-serif"/>
          <w:b w:val="false"/>
          <w:color w:val="000000"/>
          <w:sz w:val="24"/>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Dissolution or Liquidation</w:t>
      </w:r>
      <w:r>
        <w:rPr>
          <w:rFonts w:ascii="Times New Roman;sans-serif" w:hAnsi="Times New Roman;sans-serif"/>
          <w:b w:val="false"/>
          <w:color w:val="000000"/>
          <w:sz w:val="24"/>
        </w:rPr>
        <w:t>. In the event of the proposed dissolution or liquidation of the Company, the Offering Period then in progress shall be shortened by setting a new Exercise Date (the “</w:t>
      </w:r>
      <w:r>
        <w:rPr>
          <w:rFonts w:ascii="Times New Roman;sans-serif" w:hAnsi="Times New Roman;sans-serif"/>
          <w:b w:val="false"/>
          <w:color w:val="000000"/>
          <w:sz w:val="24"/>
          <w:u w:val="single"/>
        </w:rPr>
        <w:t>New Exercise Date</w:t>
      </w:r>
      <w:r>
        <w:rPr>
          <w:color w:val="000000"/>
        </w:rPr>
        <w:t>”</w:t>
      </w:r>
      <w:r>
        <w:rPr>
          <w:rFonts w:ascii="Times New Roman;sans-serif" w:hAnsi="Times New Roman;sans-serif"/>
          <w:b w:val="false"/>
          <w:color w:val="000000"/>
          <w:sz w:val="24"/>
        </w:rPr>
        <w:t xml:space="preserve">),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Merger or Asset Sale</w:t>
      </w:r>
      <w:r>
        <w:rPr>
          <w:rFonts w:ascii="Times New Roman;sans-serif" w:hAnsi="Times New Roman;sans-serif"/>
          <w:b w:val="false"/>
          <w:color w:val="000000"/>
          <w:sz w:val="24"/>
        </w:rPr>
        <w:t xml:space="preserv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117" name="Frame1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V.3</w:t>
      </w:r>
      <w:r>
        <w:rPr>
          <w:rFonts w:ascii="Times New Roman;sans-serif" w:hAnsi="Times New Roman;sans-serif"/>
          <w:b w:val="false"/>
          <w:color w:val="000000"/>
          <w:sz w:val="24"/>
          <w:u w:val="single"/>
        </w:rPr>
        <w:t>Insufficient Shares</w:t>
      </w:r>
      <w:r>
        <w:rPr>
          <w:rFonts w:ascii="Times New Roman;sans-serif" w:hAnsi="Times New Roman;sans-serif"/>
          <w:b w:val="false"/>
          <w:color w:val="000000"/>
          <w:sz w:val="24"/>
        </w:rPr>
        <w:t xml:space="preserve">.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thirty (30) days after such Exercise Date, without any interest thereon.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V.4</w:t>
      </w:r>
      <w:r>
        <w:rPr>
          <w:rFonts w:ascii="Times New Roman;sans-serif" w:hAnsi="Times New Roman;sans-serif"/>
          <w:b w:val="false"/>
          <w:color w:val="000000"/>
          <w:sz w:val="24"/>
          <w:u w:val="single"/>
        </w:rPr>
        <w:t>Rights as Stockholders</w:t>
      </w:r>
      <w:r>
        <w:rPr>
          <w:rFonts w:ascii="Times New Roman;sans-serif" w:hAnsi="Times New Roman;sans-serif"/>
          <w:b w:val="false"/>
          <w:color w:val="000000"/>
          <w:sz w:val="24"/>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his or her Option.</w:t>
      </w:r>
    </w:p>
    <w:p>
      <w:pPr>
        <w:pStyle w:val="TextBody"/>
        <w:bidi w:val="0"/>
        <w:spacing w:lineRule="auto" w:line="288" w:before="0" w:after="240"/>
        <w:jc w:val="center"/>
        <w:rPr/>
      </w:pPr>
      <w:r>
        <w:rPr>
          <w:rFonts w:ascii="Times New Roman;sans-serif" w:hAnsi="Times New Roman;sans-serif"/>
          <w:b/>
          <w:color w:val="000000"/>
          <w:sz w:val="24"/>
        </w:rPr>
        <w:t>ARTICLE VI.</w:t>
      </w:r>
      <w:r>
        <w:rPr>
          <w:rFonts w:ascii="Times New Roman;sans-serif" w:hAnsi="Times New Roman;sans-serif"/>
          <w:b/>
          <w:color w:val="000000"/>
          <w:sz w:val="24"/>
        </w:rPr>
        <w:br/>
        <w:t>TERMINATION OF PARTICIPATION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VI.1</w:t>
      </w:r>
      <w:r>
        <w:rPr>
          <w:rFonts w:ascii="Times New Roman;sans-serif" w:hAnsi="Times New Roman;sans-serif"/>
          <w:b w:val="false"/>
          <w:color w:val="000000"/>
          <w:sz w:val="24"/>
          <w:u w:val="single"/>
        </w:rPr>
        <w:t>Cessation of Contributions; Voluntary Withdrawal</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Times New Roman;sans-serif" w:hAnsi="Times New Roman;sans-serif"/>
          <w:b w:val="false"/>
          <w:color w:val="000000"/>
          <w:sz w:val="24"/>
          <w:u w:val="single"/>
        </w:rPr>
        <w:t>Withdrawal Election</w:t>
      </w:r>
      <w:r>
        <w:rPr>
          <w:color w:val="000000"/>
        </w:rPr>
        <w:t>”</w:t>
      </w:r>
      <w:r>
        <w:rPr>
          <w:rFonts w:ascii="Times New Roman;sans-serif" w:hAnsi="Times New Roman;sans-serif"/>
          <w:b w:val="false"/>
          <w:color w:val="000000"/>
          <w:sz w:val="24"/>
        </w:rPr>
        <w:t xml:space="preserve">).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(1) lump-sum payment in cash within thirty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 Account balance returned to the Participant in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0705"/>
                <wp:effectExtent l="0" t="0" r="0" b="0"/>
                <wp:wrapNone/>
                <wp:docPr id="118" name="Frame1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one (1) lump-sum payment in cash within thirty (30) days after such Exercise Date, without any interest thereon, and after such exercise cease to participate in the Plan.</w:t>
      </w:r>
      <w:r>
        <w:rPr>
          <w:color w:val="000000"/>
        </w:rPr>
        <w:t xml:space="preserve"> </w:t>
      </w:r>
      <w:r>
        <w:rPr>
          <w:rFonts w:ascii="Times New Roman;sans-serif" w:hAnsi="Times New Roman;sans-serif"/>
          <w:b w:val="false"/>
          <w:color w:val="000000"/>
          <w:sz w:val="24"/>
        </w:rPr>
        <w:t>Upon receipt of a Withdrawal Election, the Participant’s payroll deduction authorization and his or her Option to purchase under the Plan shall terminate.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participant’s withdrawal from the Plan shall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 Participant who ceases contributions to the Plan during any Offering Period shall not be permitted to resume contributions to the Plan during that Offering Period.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VI.2</w:t>
      </w:r>
      <w:r>
        <w:rPr>
          <w:rFonts w:ascii="Times New Roman;sans-serif" w:hAnsi="Times New Roman;sans-serif"/>
          <w:b w:val="false"/>
          <w:color w:val="000000"/>
          <w:sz w:val="24"/>
          <w:u w:val="single"/>
        </w:rPr>
        <w:t>Termination of Eligibility</w:t>
      </w:r>
      <w:r>
        <w:rPr>
          <w:rFonts w:ascii="Times New Roman;sans-serif" w:hAnsi="Times New Roman;sans-serif"/>
          <w:b w:val="false"/>
          <w:color w:val="000000"/>
          <w:sz w:val="24"/>
        </w:rPr>
        <w:t>. Upon a Participant’s ceasing to be an Eligible Employee, for any reason, such Participant’s Option for the applicable Offering Period shall automatically terminate, he or she shall be deemed to have elected to withdraw from the Plan, and such Participant’s Plan Account shall be paid to such Participant or, in the case of his or her death, to the person or persons entitled thereto pursuant to applicable law, within thirty (30) days after such cessation of being an Eligible Employee, without any interest thereon.</w:t>
      </w:r>
    </w:p>
    <w:p>
      <w:pPr>
        <w:pStyle w:val="TextBody"/>
        <w:bidi w:val="0"/>
        <w:spacing w:lineRule="auto" w:line="288" w:before="0" w:after="240"/>
        <w:jc w:val="center"/>
        <w:rPr/>
      </w:pPr>
      <w:r>
        <w:rPr>
          <w:rFonts w:ascii="Times New Roman;sans-serif" w:hAnsi="Times New Roman;sans-serif"/>
          <w:b/>
          <w:color w:val="000000"/>
          <w:sz w:val="24"/>
        </w:rPr>
        <w:t>ARTICLE VII.</w:t>
      </w:r>
      <w:r>
        <w:rPr>
          <w:rFonts w:ascii="Times New Roman;sans-serif" w:hAnsi="Times New Roman;sans-serif"/>
          <w:b/>
          <w:color w:val="000000"/>
          <w:sz w:val="24"/>
        </w:rPr>
        <w:br/>
        <w:t>GENERAL PROVISIONS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VII.1</w:t>
      </w:r>
      <w:r>
        <w:rPr>
          <w:rFonts w:ascii="Times New Roman;sans-serif" w:hAnsi="Times New Roman;sans-serif"/>
          <w:b w:val="false"/>
          <w:color w:val="000000"/>
          <w:sz w:val="24"/>
          <w:u w:val="single"/>
        </w:rPr>
        <w:t>Administration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Plan shall be administered by the Committee, which shall be composed of members of the Board. The Committee may delegate administrative tasks under the Plan to the services of an Agent and/or Employees to assist in the administration of the Plan, including establishing and maintaining an individual securities account under the Plan for each Participant.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It shall be the duty of the Administrator to conduct the general administration of the Plan in accordance with the provisions of the Plan. The Administrator shall have the power, subject to, and within the limitations of, the express provisions of the Plan:</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(i)To establish Offering Periods;</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To determine when and how Options shall be granted and the provisions and terms of each Offering Period (which need not be identical);</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To select Designated Subsidiaries in accordance with Section 7.2 hereof; and</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To construe and interpret the Plan, the terms of any Offering Period and the terms of the Options and to adopt such rules for the administration, interpretation, and application of the Plan as are consistent therewith and to interpret, amend or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119" name="Frame1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revoke any such rules. The Administrator, in the exercise of this power, may correct any defect, omission or inconsistency in the Plan, any Offering Period or any Option, in a manner and to the extent it shall deem necessary or expedient to make the Plan fully effect, subject to Section 423 of the Code and the Treasury Regulations thereunder.</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VII.2</w:t>
      </w:r>
      <w:r>
        <w:rPr>
          <w:rFonts w:ascii="Times New Roman;sans-serif" w:hAnsi="Times New Roman;sans-serif"/>
          <w:b w:val="false"/>
          <w:color w:val="000000"/>
          <w:sz w:val="24"/>
          <w:u w:val="single"/>
        </w:rPr>
        <w:t>Designation of Subsidiary Corporations</w:t>
      </w:r>
      <w:r>
        <w:rPr>
          <w:rFonts w:ascii="Times New Roman;sans-serif" w:hAnsi="Times New Roman;sans-serif"/>
          <w:b w:val="false"/>
          <w:color w:val="000000"/>
          <w:sz w:val="24"/>
        </w:rPr>
        <w:t>. The Board or Committee shall designate from among the Subsidiaries, as determined from time to time, the Subsidiary or Subsidiaries that shall constitute Designated Subsidiaries. The Board or Committee may designate a Subsidiary, or terminate the designation of a Subsidiary, without the approval of the stockholders of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VII.3</w:t>
      </w:r>
      <w:r>
        <w:rPr>
          <w:rFonts w:ascii="Times New Roman;sans-serif" w:hAnsi="Times New Roman;sans-serif"/>
          <w:b w:val="false"/>
          <w:color w:val="000000"/>
          <w:sz w:val="24"/>
          <w:u w:val="single"/>
        </w:rPr>
        <w:t>Reports</w:t>
      </w:r>
      <w:r>
        <w:rPr>
          <w:rFonts w:ascii="Times New Roman;sans-serif" w:hAnsi="Times New Roman;sans-serif"/>
          <w:b w:val="false"/>
          <w:color w:val="000000"/>
          <w:sz w:val="24"/>
        </w:rPr>
        <w:t>.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VII.4</w:t>
      </w:r>
      <w:r>
        <w:rPr>
          <w:rFonts w:ascii="Times New Roman;sans-serif" w:hAnsi="Times New Roman;sans-serif"/>
          <w:b w:val="false"/>
          <w:color w:val="000000"/>
          <w:sz w:val="24"/>
          <w:u w:val="single"/>
        </w:rPr>
        <w:t>No Right to Employment</w:t>
      </w:r>
      <w:r>
        <w:rPr>
          <w:rFonts w:ascii="Times New Roman;sans-serif" w:hAnsi="Times New Roman;sans-serif"/>
          <w:b w:val="false"/>
          <w:color w:val="000000"/>
          <w:sz w:val="24"/>
        </w:rPr>
        <w:t xml:space="preserve">. Nothing in the Plan shall be construed to give any person (including any Participant) the right to remain in the employ of the Company, a Parent or a Subsidiary or to affect the right of the Company, any Parent or any Subsidiary to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0705"/>
                <wp:effectExtent l="0" t="0" r="0" b="0"/>
                <wp:wrapNone/>
                <wp:docPr id="120" name="Frame1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terminate the employment of any person (including any Participant) at any time, with or without cause, which right is expressly 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VII.5</w:t>
      </w:r>
      <w:r>
        <w:rPr>
          <w:rFonts w:ascii="Times New Roman;sans-serif" w:hAnsi="Times New Roman;sans-serif"/>
          <w:b w:val="false"/>
          <w:color w:val="000000"/>
          <w:sz w:val="24"/>
          <w:u w:val="single"/>
        </w:rPr>
        <w:t>Amendment and Termination of the Plan</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Plan shall be effective on the date it is adopted by the Board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stockholders of the Company approve the Plan within twelve (12) months following the effective date.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Board may, in its sole discretion, amend, suspend or terminate the Plan at any time and from time to time;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without approval of the Company’s stockholders given within twelve (12) months before or after action by the Board, the Plan may not be amended to increase the maximum number of shares of Common Stock subject to the Plan or change the designation or class of Eligible Employees; and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color w:val="000000"/>
        </w:rPr>
        <w:t xml:space="preserve"> </w:t>
      </w:r>
      <w:r>
        <w:rPr>
          <w:rFonts w:ascii="Times New Roman;sans-serif" w:hAnsi="Times New Roman;sans-serif"/>
          <w:b w:val="false"/>
          <w:color w:val="000000"/>
          <w:sz w:val="24"/>
        </w:rPr>
        <w:t>that without approval of the Company’s stockholders, the Plan may not be amended in any manner that would cause the Plan to no longer be an “employee stock purchase plan” within the meaning of Section 423(b) of the Code.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the Administrator determines that the ongoing operation of the Plan may result in unfavorable financial accounting consequences, the Administrator may, to the extent permitted under Section 423 of the Code, in its discretion and, to the extent necessary or desirable, modify or amend the Plan to reduce or eliminate such accounting consequence including, but not limited to:</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altering the Option Price for any Offering Period including an Offering Period underway at the time of the change in Option Price;</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shortening any Offering Period so that the Offering Period ends on a new Exercise Date, including an Offering Period underway at the time of the Administrator action;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(iii)allocating shares of Common Stock.</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modifications or amendments shall not require stockholder approval or the consent of any Participant.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Upon termination of the Plan, the balance in each Participant’s Plan Account shall be refunded as soon as practicable after such termination, without any interest thereon.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VII.6</w:t>
      </w:r>
      <w:r>
        <w:rPr>
          <w:rFonts w:ascii="Times New Roman;sans-serif" w:hAnsi="Times New Roman;sans-serif"/>
          <w:b w:val="false"/>
          <w:color w:val="000000"/>
          <w:sz w:val="24"/>
          <w:u w:val="single"/>
        </w:rPr>
        <w:t>Use of Funds; No Interest Paid</w:t>
      </w:r>
      <w:r>
        <w:rPr>
          <w:rFonts w:ascii="Times New Roman;sans-serif" w:hAnsi="Times New Roman;sans-serif"/>
          <w:b w:val="false"/>
          <w:color w:val="000000"/>
          <w:sz w:val="24"/>
        </w:rPr>
        <w:t>. All funds received by the Company by reason of purchase of Common Stock under the Plan shall be included in the general funds of the Company free of any trust or other restriction and may be used for any corporate purpose. No interest shall be paid to any Participant or credited under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VII.7</w:t>
      </w:r>
      <w:r>
        <w:rPr>
          <w:rFonts w:ascii="Times New Roman;sans-serif" w:hAnsi="Times New Roman;sans-serif"/>
          <w:b w:val="false"/>
          <w:color w:val="000000"/>
          <w:sz w:val="24"/>
          <w:u w:val="single"/>
        </w:rPr>
        <w:t>Term; Approval by Stockholders</w:t>
      </w:r>
      <w:r>
        <w:rPr>
          <w:rFonts w:ascii="Times New Roman;sans-serif" w:hAnsi="Times New Roman;sans-serif"/>
          <w:b w:val="false"/>
          <w:color w:val="000000"/>
          <w:sz w:val="24"/>
        </w:rPr>
        <w:t xml:space="preserve">. No Option may be granted during any period of suspension of the Plan or after termination of the Plan. The Plan shall be submitted for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121" name="Frame1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the approval of the Company’s stockholders within twelve (12) months after the date of the Board’s initial adoption of the Plan. Options may be granted prior to such stockholder approval;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such Options shall not be exercisable prior to the time when the Plan is approved by the stockholders;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color w:val="000000"/>
        </w:rPr>
        <w:t xml:space="preserve"> </w:t>
      </w:r>
      <w:r>
        <w:rPr>
          <w:rFonts w:ascii="Times New Roman;sans-serif" w:hAnsi="Times New Roman;sans-serif"/>
          <w:b w:val="false"/>
          <w:color w:val="000000"/>
          <w:sz w:val="24"/>
        </w:rPr>
        <w:t>that if such approval has not been obtained by the end of said twelve (12)-month period, all Options previously granted under the Plan shall thereupon terminate and be canceled and become null and void without being exercised.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VII.8</w:t>
      </w:r>
      <w:r>
        <w:rPr>
          <w:rFonts w:ascii="Times New Roman;sans-serif" w:hAnsi="Times New Roman;sans-serif"/>
          <w:b w:val="false"/>
          <w:color w:val="000000"/>
          <w:sz w:val="24"/>
          <w:u w:val="single"/>
        </w:rPr>
        <w:t>Effect Upon Other Plans</w:t>
      </w:r>
      <w:r>
        <w:rPr>
          <w:rFonts w:ascii="Times New Roman;sans-serif" w:hAnsi="Times New Roman;sans-serif"/>
          <w:b w:val="false"/>
          <w:color w:val="000000"/>
          <w:sz w:val="24"/>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VII.9</w:t>
      </w:r>
      <w:r>
        <w:rPr>
          <w:rFonts w:ascii="Times New Roman;sans-serif" w:hAnsi="Times New Roman;sans-serif"/>
          <w:b w:val="false"/>
          <w:color w:val="000000"/>
          <w:sz w:val="24"/>
          <w:u w:val="single"/>
        </w:rPr>
        <w:t>Conformity to Securities Laws</w:t>
      </w:r>
      <w:r>
        <w:rPr>
          <w:rFonts w:ascii="Times New Roman;sans-serif" w:hAnsi="Times New Roman;sans-serif"/>
          <w:b w:val="false"/>
          <w:color w:val="000000"/>
          <w:sz w:val="24"/>
        </w:rPr>
        <w:t xml:space="preserve">.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VII.10</w:t>
      </w:r>
      <w:r>
        <w:rPr>
          <w:rFonts w:ascii="Times New Roman;sans-serif" w:hAnsi="Times New Roman;sans-serif"/>
          <w:b w:val="false"/>
          <w:color w:val="000000"/>
          <w:sz w:val="24"/>
          <w:u w:val="single"/>
        </w:rPr>
        <w:t>Notice of Disposition of Shares</w:t>
      </w:r>
      <w:r>
        <w:rPr>
          <w:rFonts w:ascii="Times New Roman;sans-serif" w:hAnsi="Times New Roman;sans-serif"/>
          <w:b w:val="false"/>
          <w:color w:val="000000"/>
          <w:sz w:val="24"/>
        </w:rPr>
        <w:t>. Each Participant shall give the Company prompt notice of any disposition or other transfer of any shares of Common Stock, acquired pursuant to the exercise of an Option, if such disposition or transfer is made (a) within two (2) years after the applicable Grant Date or (b) within one (1) year after the transfer of such shares of Common Stock to such Participant upon exercise of such Option. The Company may direct that any certificates evidencing shares acquired pursuant to the Plan refer to such requirement.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VII.11</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VII.12</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Plan and all rights and obligations thereunder shall be construed and enforced in accordance with the laws of the State of Delaware.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VII.13</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VII.14</w:t>
      </w:r>
      <w:r>
        <w:rPr>
          <w:rFonts w:ascii="Times New Roman;sans-serif" w:hAnsi="Times New Roman;sans-serif"/>
          <w:b w:val="false"/>
          <w:color w:val="000000"/>
          <w:sz w:val="24"/>
          <w:u w:val="single"/>
        </w:rPr>
        <w:t>Conditions To Issuance of Shares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60705"/>
                <wp:effectExtent l="0" t="0" r="0" b="0"/>
                <wp:wrapNone/>
                <wp:docPr id="122" name="Frame1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VII.15</w:t>
      </w:r>
      <w:r>
        <w:rPr>
          <w:rFonts w:ascii="Times New Roman;sans-serif" w:hAnsi="Times New Roman;sans-serif"/>
          <w:b w:val="false"/>
          <w:color w:val="000000"/>
          <w:sz w:val="24"/>
          <w:u w:val="single"/>
        </w:rPr>
        <w:t>Equal Rights and Privileges</w:t>
      </w:r>
      <w:r>
        <w:rPr>
          <w:rFonts w:ascii="Times New Roman;sans-serif" w:hAnsi="Times New Roman;sans-serif"/>
          <w:b w:val="false"/>
          <w:color w:val="000000"/>
          <w:sz w:val="24"/>
        </w:rPr>
        <w:t xml:space="preserve">. Except with respect to sub-plans designed to be outside the scope of Section 423 of the Code, all Eligible Employees of the Company (or of any Designated Subsidiary) shall have equal rights and privileges under this Plan to the extent required under Section 423 of the Code or the regulations promulgated thereunder so that this Plan qualifies as an “employee stock purchase plan” within the meaning of Section 423 of the Code or the Treasury Regulations thereunder. Any provision of this Plan that is inconsistent with Section 423 of the Code or the Treasury Regulations thereunder shall, without further act or amendment by the Company or the Board, be reformed to comply with the equal rights and privileges requirement of Section 423 of the Code or the Treasury Regulations thereunder. </w:t>
      </w:r>
    </w:p>
    <w:p>
      <w:pPr>
        <w:pStyle w:val="TextBody"/>
        <w:bidi w:val="0"/>
        <w:spacing w:before="0" w:after="240"/>
        <w:ind w:left="0" w:right="0" w:firstLine="1440"/>
        <w:jc w:val="both"/>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60705"/>
                <wp:effectExtent l="0" t="0" r="0" b="0"/>
                <wp:wrapNone/>
                <wp:docPr id="123" name="Frame1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Raab,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71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210"/>
        <w:gridCol w:w="1210"/>
        <w:gridCol w:w="171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Justin Renz,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7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965"/>
        <w:gridCol w:w="965"/>
        <w:gridCol w:w="137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&amp; Operations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Ardelyx, Inc. (the “Company”) on Form 10-Q for the period ending June 30, 2024, as filed with the Securities and Exchange Commission on the date hereof (the “Report”), Michael Raab, President and Chief Executive Officer of the Company, and Justin Renz, Chief Financial &amp; Operations Officer of the Company, respectively, do each hereby certify, pursuant to 18 U.S.C. Section 1350, as adopted pursuant to Section 906 of the Sarbanes-Oxley Act of 2002,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671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210"/>
        <w:gridCol w:w="1210"/>
        <w:gridCol w:w="171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tbl>
      <w:tblPr>
        <w:tblW w:w="587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965"/>
        <w:gridCol w:w="965"/>
        <w:gridCol w:w="137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&amp; Operations Officer</w:t>
              <w:br/>
              <w:t>(Principal Financial Officer)</w:t>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37402/000119312514247380/d748616dex31.htm" TargetMode="External"/><Relationship Id="rId4" Type="http://schemas.openxmlformats.org/officeDocument/2006/relationships/hyperlink" Target="https://www.sec.gov/Archives/edgar/data/1437402/000162828023022681/certificateofamendment6-16.htm" TargetMode="External"/><Relationship Id="rId5" Type="http://schemas.openxmlformats.org/officeDocument/2006/relationships/hyperlink" Target="https://www.sec.gov/Archives/edgar/data/1437402/000119312514247380/d748616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73875</Words>
  <Characters>398793</Characters>
  <CharactersWithSpaces>470616</CharactersWithSpaces>
  <Paragraphs>3356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