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0"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231F20"/>
          <w:sz w:val="24"/>
        </w:rPr>
      </w:pPr>
      <w:r>
        <w:rPr>
          <w:rFonts w:ascii="Times New Roman;sans-serif" w:hAnsi="Times New Roman;sans-serif"/>
          <w:b/>
          <w:color w:val="231F20"/>
          <w:sz w:val="24"/>
        </w:rPr>
        <w:t>UNITED STATES</w:t>
      </w:r>
    </w:p>
    <w:p>
      <w:pPr>
        <w:pStyle w:val="TextBody"/>
        <w:spacing w:lineRule="auto" w:line="288" w:before="0" w:after="0"/>
        <w:jc w:val="center"/>
        <w:rPr>
          <w:rFonts w:ascii="Times New Roman;sans-serif" w:hAnsi="Times New Roman;sans-serif"/>
          <w:b/>
          <w:color w:val="231F20"/>
          <w:sz w:val="24"/>
        </w:rPr>
      </w:pPr>
      <w:r>
        <w:rPr>
          <w:rFonts w:ascii="Times New Roman;sans-serif" w:hAnsi="Times New Roman;sans-serif"/>
          <w:b/>
          <w:color w:val="231F20"/>
          <w:sz w:val="24"/>
        </w:rPr>
        <w:t>SECURITIES AND EXCHANGE COMMISSION</w:t>
      </w:r>
    </w:p>
    <w:p>
      <w:pPr>
        <w:pStyle w:val="TextBody"/>
        <w:spacing w:lineRule="auto" w:line="288" w:before="0" w:after="0"/>
        <w:jc w:val="center"/>
        <w:rPr>
          <w:rFonts w:ascii="Times New Roman;sans-serif" w:hAnsi="Times New Roman;sans-serif"/>
          <w:b/>
          <w:color w:val="231F20"/>
          <w:sz w:val="18"/>
        </w:rPr>
      </w:pPr>
      <w:r>
        <w:rPr>
          <w:rFonts w:ascii="Times New Roman;sans-serif" w:hAnsi="Times New Roman;sans-serif"/>
          <w:b/>
          <w:color w:val="231F20"/>
          <w:sz w:val="18"/>
        </w:rPr>
        <w:t>WASHINGTON, D.C. 20549</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spacing w:lineRule="auto" w:line="288" w:before="120" w:after="283"/>
        <w:jc w:val="center"/>
        <w:rPr/>
      </w:pPr>
      <w:r>
        <w:rPr>
          <w:rFonts w:ascii="Times New Roman;sans-serif" w:hAnsi="Times New Roman;sans-serif"/>
          <w:b/>
          <w:color w:val="231F20"/>
          <w:sz w:val="24"/>
        </w:rPr>
        <w:t>FORM</w:t>
      </w:r>
      <w:r>
        <w:rPr>
          <w:color w:val="000000"/>
        </w:rPr>
        <w:t xml:space="preserve"> </w:t>
      </w:r>
      <w:r>
        <w:rPr>
          <w:rFonts w:ascii="Times New Roman;sans-serif" w:hAnsi="Times New Roman;sans-serif"/>
          <w:b/>
          <w:color w:val="231F20"/>
          <w:sz w:val="24"/>
        </w:rPr>
        <w:t>10-K</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tbl>
      <w:tblPr>
        <w:tblW w:w="8765" w:type="dxa"/>
        <w:jc w:val="left"/>
        <w:tblInd w:w="0" w:type="dxa"/>
        <w:tblCellMar>
          <w:top w:w="28" w:type="dxa"/>
          <w:left w:w="28" w:type="dxa"/>
          <w:bottom w:w="28" w:type="dxa"/>
          <w:right w:w="28" w:type="dxa"/>
        </w:tblCellMar>
      </w:tblPr>
      <w:tblGrid>
        <w:gridCol w:w="138"/>
        <w:gridCol w:w="121"/>
        <w:gridCol w:w="121"/>
        <w:gridCol w:w="2450"/>
        <w:gridCol w:w="2450"/>
        <w:gridCol w:w="3485"/>
      </w:tblGrid>
      <w:tr>
        <w:trPr/>
        <w:tc>
          <w:tcPr>
            <w:tcW w:w="13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87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231F20"/>
                <w:sz w:val="12"/>
              </w:rPr>
            </w:pPr>
            <w:r>
              <w:rPr>
                <w:rFonts w:ascii="Times New Roman;sans-serif" w:hAnsi="Times New Roman;sans-serif"/>
                <w:b/>
                <w:color w:val="231F20"/>
                <w:sz w:val="12"/>
              </w:rPr>
              <w:t>(Mark One)</w:t>
            </w:r>
          </w:p>
        </w:tc>
      </w:tr>
      <w:tr>
        <w:trPr/>
        <w:tc>
          <w:tcPr>
            <w:tcW w:w="3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231F20"/>
                <w:sz w:val="16"/>
              </w:rPr>
              <w:t>ANNUAL REPORT PURSUANT TO SECTION 13 OR 15(D) OF THE SECURITIES</w:t>
            </w:r>
            <w:r>
              <w:rPr>
                <w:color w:val="000000"/>
              </w:rPr>
              <w:t xml:space="preserve"> </w:t>
            </w:r>
            <w:r>
              <w:rPr>
                <w:rFonts w:ascii="Times New Roman;sans-serif" w:hAnsi="Times New Roman;sans-serif"/>
                <w:b/>
                <w:color w:val="231F20"/>
                <w:sz w:val="16"/>
              </w:rPr>
              <w:t>EXCHANGE ACT OF 1934</w:t>
            </w:r>
          </w:p>
        </w:tc>
      </w:tr>
    </w:tbl>
    <w:p>
      <w:pPr>
        <w:pStyle w:val="TextBody"/>
        <w:spacing w:lineRule="auto" w:line="288" w:before="60" w:after="283"/>
        <w:jc w:val="center"/>
        <w:rPr/>
      </w:pPr>
      <w:r>
        <w:rPr>
          <w:rFonts w:ascii="Times New Roman;sans-serif" w:hAnsi="Times New Roman;sans-serif"/>
          <w:b/>
          <w:color w:val="231F20"/>
          <w:sz w:val="16"/>
        </w:rPr>
        <w:t>FOR THE FISCAL YEAR ENDED</w:t>
      </w:r>
      <w:r>
        <w:rPr>
          <w:color w:val="000000"/>
        </w:rPr>
        <w:t xml:space="preserve"> </w:t>
      </w:r>
      <w:r>
        <w:rPr>
          <w:rFonts w:ascii="Times New Roman;sans-serif" w:hAnsi="Times New Roman;sans-serif"/>
          <w:b/>
          <w:color w:val="000000"/>
          <w:sz w:val="16"/>
        </w:rPr>
        <w:t>DECEMBER 31, 2021</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57" w:type="dxa"/>
        <w:jc w:val="left"/>
        <w:tblInd w:w="0" w:type="dxa"/>
        <w:tblCellMar>
          <w:top w:w="28" w:type="dxa"/>
          <w:left w:w="28" w:type="dxa"/>
          <w:bottom w:w="28" w:type="dxa"/>
          <w:right w:w="28" w:type="dxa"/>
        </w:tblCellMar>
      </w:tblPr>
      <w:tblGrid>
        <w:gridCol w:w="124"/>
        <w:gridCol w:w="109"/>
        <w:gridCol w:w="109"/>
        <w:gridCol w:w="2550"/>
        <w:gridCol w:w="2550"/>
        <w:gridCol w:w="36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36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231F20"/>
                <w:sz w:val="16"/>
              </w:rPr>
              <w:t>TRANSITION REPORT PURSUANT TO SECTION 13 OR 15(D) OF THE SECURITIES</w:t>
            </w:r>
            <w:r>
              <w:rPr>
                <w:color w:val="000000"/>
              </w:rPr>
              <w:t xml:space="preserve"> </w:t>
            </w:r>
            <w:r>
              <w:rPr>
                <w:rFonts w:ascii="Times New Roman;sans-serif" w:hAnsi="Times New Roman;sans-serif"/>
                <w:b/>
                <w:color w:val="231F20"/>
                <w:sz w:val="16"/>
              </w:rPr>
              <w:t>EXCHANGE ACT OF 1934</w:t>
            </w:r>
          </w:p>
        </w:tc>
      </w:tr>
    </w:tbl>
    <w:p>
      <w:pPr>
        <w:pStyle w:val="TextBody"/>
        <w:spacing w:lineRule="auto" w:line="288" w:before="60" w:after="283"/>
        <w:jc w:val="center"/>
        <w:rPr>
          <w:rFonts w:ascii="Times New Roman;sans-serif" w:hAnsi="Times New Roman;sans-serif"/>
          <w:b/>
          <w:color w:val="231F20"/>
          <w:sz w:val="12"/>
        </w:rPr>
      </w:pPr>
      <w:r>
        <w:rPr>
          <w:rFonts w:ascii="Times New Roman;sans-serif" w:hAnsi="Times New Roman;sans-serif"/>
          <w:b/>
          <w:color w:val="231F20"/>
          <w:sz w:val="12"/>
        </w:rPr>
        <w:t>FOR THE TRANSITION PERIOD FROM                     TO                     </w:t>
      </w:r>
    </w:p>
    <w:p>
      <w:pPr>
        <w:pStyle w:val="TextBody"/>
        <w:spacing w:lineRule="auto" w:line="288" w:before="60" w:after="283"/>
        <w:jc w:val="center"/>
        <w:rPr/>
      </w:pPr>
      <w:r>
        <w:rPr>
          <w:rFonts w:ascii="Times New Roman;sans-serif" w:hAnsi="Times New Roman;sans-serif"/>
          <w:b/>
          <w:color w:val="231F20"/>
          <w:sz w:val="16"/>
        </w:rPr>
        <w:t>COMMISSION FILE NUMBER</w:t>
      </w:r>
      <w:r>
        <w:rPr>
          <w:color w:val="000000"/>
        </w:rPr>
        <w:t xml:space="preserve"> </w:t>
      </w:r>
      <w:r>
        <w:rPr>
          <w:rFonts w:ascii="Times New Roman;sans-serif" w:hAnsi="Times New Roman;sans-serif"/>
          <w:b/>
          <w:color w:val="231F20"/>
          <w:sz w:val="16"/>
        </w:rPr>
        <w:t>001-36485</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spacing w:before="0" w:after="0"/>
        <w:jc w:val="center"/>
        <w:rPr/>
      </w:pPr>
      <w:r>
        <w:rPr/>
        <w:drawing>
          <wp:inline distT="0" distB="6350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231F20"/>
          <w:sz w:val="28"/>
        </w:rPr>
      </w:pPr>
      <w:r>
        <w:rPr>
          <w:rFonts w:ascii="Times New Roman;sans-serif" w:hAnsi="Times New Roman;sans-serif"/>
          <w:b/>
          <w:color w:val="231F20"/>
          <w:sz w:val="28"/>
        </w:rPr>
        <w:t>ARDELYX, INC.</w:t>
      </w:r>
    </w:p>
    <w:p>
      <w:pPr>
        <w:pStyle w:val="TextBody"/>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(EXACT NAME OF REGISTRANT AS SPECIFIED IN ITS CHARTER)</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tbl>
      <w:tblPr>
        <w:tblW w:w="3870" w:type="dxa"/>
        <w:jc w:val="left"/>
        <w:tblInd w:w="0" w:type="dxa"/>
        <w:tblCellMar>
          <w:top w:w="28" w:type="dxa"/>
          <w:left w:w="28" w:type="dxa"/>
          <w:bottom w:w="28" w:type="dxa"/>
          <w:right w:w="28" w:type="dxa"/>
        </w:tblCellMar>
      </w:tblPr>
      <w:tblGrid>
        <w:gridCol w:w="874"/>
        <w:gridCol w:w="768"/>
        <w:gridCol w:w="773"/>
        <w:gridCol w:w="425"/>
        <w:gridCol w:w="425"/>
        <w:gridCol w:w="605"/>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26-1303944</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(I.R.S. EMPLOYER</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IDENTIFICATION NO.)</w:t>
            </w:r>
          </w:p>
        </w:tc>
      </w:tr>
    </w:tbl>
    <w:p>
      <w:pPr>
        <w:pStyle w:val="TextBody"/>
        <w:spacing w:lineRule="auto" w:line="288" w:before="120" w:after="283"/>
        <w:jc w:val="center"/>
        <w:rPr/>
      </w:pPr>
      <w:r>
        <w:rPr>
          <w:rFonts w:ascii="Times New Roman;sans-serif" w:hAnsi="Times New Roman;sans-serif"/>
          <w:b/>
          <w:color w:val="231F20"/>
          <w:sz w:val="14"/>
        </w:rPr>
        <w:t>400 FIFTH AVE.,</w:t>
      </w:r>
      <w:r>
        <w:rPr>
          <w:color w:val="000000"/>
        </w:rPr>
        <w:t xml:space="preserve"> </w:t>
      </w:r>
      <w:r>
        <w:rPr>
          <w:rFonts w:ascii="Times New Roman;sans-serif" w:hAnsi="Times New Roman;sans-serif"/>
          <w:b/>
          <w:color w:val="231F20"/>
          <w:sz w:val="14"/>
        </w:rPr>
        <w:t>SUITE 210,</w:t>
      </w:r>
      <w:r>
        <w:rPr>
          <w:color w:val="000000"/>
        </w:rPr>
        <w:t xml:space="preserve"> </w:t>
      </w:r>
      <w:r>
        <w:rPr>
          <w:rFonts w:ascii="Times New Roman;sans-serif" w:hAnsi="Times New Roman;sans-serif"/>
          <w:b/>
          <w:color w:val="231F20"/>
          <w:sz w:val="14"/>
        </w:rPr>
        <w:t>WALTHAM,</w:t>
      </w:r>
      <w:r>
        <w:rPr>
          <w:color w:val="000000"/>
        </w:rPr>
        <w:t xml:space="preserve"> </w:t>
      </w:r>
      <w:r>
        <w:rPr>
          <w:rFonts w:ascii="Times New Roman;sans-serif" w:hAnsi="Times New Roman;sans-serif"/>
          <w:b/>
          <w:color w:val="231F20"/>
          <w:sz w:val="14"/>
        </w:rPr>
        <w:t>MASSACHUSETTS</w:t>
      </w:r>
      <w:r>
        <w:rPr>
          <w:color w:val="000000"/>
        </w:rPr>
        <w:t xml:space="preserve"> </w:t>
      </w:r>
      <w:r>
        <w:rPr>
          <w:rFonts w:ascii="Times New Roman;sans-serif" w:hAnsi="Times New Roman;sans-serif"/>
          <w:b/>
          <w:color w:val="000000"/>
          <w:sz w:val="14"/>
        </w:rPr>
        <w:t>02451</w:t>
      </w:r>
    </w:p>
    <w:p>
      <w:pPr>
        <w:pStyle w:val="TextBody"/>
        <w:spacing w:lineRule="auto" w:line="288" w:before="0" w:after="0"/>
        <w:jc w:val="center"/>
        <w:rPr>
          <w:rFonts w:ascii="Times New Roman;sans-serif" w:hAnsi="Times New Roman;sans-serif"/>
          <w:b/>
          <w:color w:val="231F20"/>
          <w:sz w:val="12"/>
        </w:rPr>
      </w:pPr>
      <w:r>
        <w:rPr>
          <w:rFonts w:ascii="Times New Roman;sans-serif" w:hAnsi="Times New Roman;sans-serif"/>
          <w:b/>
          <w:color w:val="231F20"/>
          <w:sz w:val="12"/>
        </w:rPr>
        <w:t>(ADDRESS OF PRINCIPAL EXECUTIVE OFFICES, INCLUDING ZIP CODE)</w:t>
      </w:r>
    </w:p>
    <w:p>
      <w:pPr>
        <w:pStyle w:val="TextBody"/>
        <w:spacing w:lineRule="auto" w:line="288" w:before="120" w:after="283"/>
        <w:jc w:val="center"/>
        <w:rPr/>
      </w:pPr>
      <w:r>
        <w:rPr>
          <w:rFonts w:ascii="Times New Roman;sans-serif" w:hAnsi="Times New Roman;sans-serif"/>
          <w:b/>
          <w:color w:val="231F20"/>
          <w:sz w:val="14"/>
        </w:rPr>
        <w:t>(510)</w:t>
      </w:r>
      <w:r>
        <w:rPr>
          <w:color w:val="000000"/>
        </w:rPr>
        <w:t xml:space="preserve"> </w:t>
      </w:r>
      <w:r>
        <w:rPr>
          <w:rFonts w:ascii="Times New Roman;sans-serif" w:hAnsi="Times New Roman;sans-serif"/>
          <w:b/>
          <w:color w:val="231F20"/>
          <w:sz w:val="14"/>
        </w:rPr>
        <w:t>745-1700</w:t>
      </w:r>
    </w:p>
    <w:p>
      <w:pPr>
        <w:pStyle w:val="TextBody"/>
        <w:spacing w:lineRule="auto" w:line="288" w:before="0" w:after="0"/>
        <w:jc w:val="center"/>
        <w:rPr>
          <w:rFonts w:ascii="Times New Roman;sans-serif" w:hAnsi="Times New Roman;sans-serif"/>
          <w:b/>
          <w:color w:val="231F20"/>
          <w:sz w:val="12"/>
        </w:rPr>
      </w:pPr>
      <w:r>
        <w:rPr>
          <w:rFonts w:ascii="Times New Roman;sans-serif" w:hAnsi="Times New Roman;sans-serif"/>
          <w:b/>
          <w:color w:val="231F20"/>
          <w:sz w:val="12"/>
        </w:rPr>
        <w:t>(REGISTRANT’S TELEPHONE NUMBER, INCLUDING AREA CODE)</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spacing w:lineRule="auto" w:line="288" w:before="120" w:after="283"/>
        <w:jc w:val="center"/>
        <w:rPr>
          <w:rFonts w:ascii="Times New Roman;sans-serif" w:hAnsi="Times New Roman;sans-serif"/>
          <w:b/>
          <w:color w:val="231F20"/>
          <w:sz w:val="14"/>
        </w:rPr>
      </w:pPr>
      <w:r>
        <w:rPr>
          <w:rFonts w:ascii="Times New Roman;sans-serif" w:hAnsi="Times New Roman;sans-serif"/>
          <w:b/>
          <w:color w:val="231F20"/>
          <w:sz w:val="14"/>
        </w:rPr>
        <w:t>Securities registered pursuant to Section 12(b) of the Act:</w:t>
      </w:r>
    </w:p>
    <w:tbl>
      <w:tblPr>
        <w:tblW w:w="6951" w:type="dxa"/>
        <w:jc w:val="left"/>
        <w:tblInd w:w="0" w:type="dxa"/>
        <w:tblCellMar>
          <w:top w:w="28" w:type="dxa"/>
          <w:left w:w="28" w:type="dxa"/>
          <w:bottom w:w="28" w:type="dxa"/>
          <w:right w:w="28" w:type="dxa"/>
        </w:tblCellMar>
      </w:tblPr>
      <w:tblGrid>
        <w:gridCol w:w="984"/>
        <w:gridCol w:w="865"/>
        <w:gridCol w:w="880"/>
        <w:gridCol w:w="109"/>
        <w:gridCol w:w="109"/>
        <w:gridCol w:w="109"/>
        <w:gridCol w:w="349"/>
        <w:gridCol w:w="349"/>
        <w:gridCol w:w="351"/>
        <w:gridCol w:w="109"/>
        <w:gridCol w:w="109"/>
        <w:gridCol w:w="109"/>
        <w:gridCol w:w="737"/>
        <w:gridCol w:w="737"/>
        <w:gridCol w:w="1045"/>
      </w:tblGrid>
      <w:tr>
        <w:trPr/>
        <w:tc>
          <w:tcPr>
            <w:tcW w:w="984"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Name of Each Exchange on Which Registered</w:t>
            </w:r>
          </w:p>
        </w:tc>
      </w:tr>
      <w:tr>
        <w:trPr/>
        <w:tc>
          <w:tcPr>
            <w:tcW w:w="2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par value $0.0001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Global Market</w:t>
            </w:r>
          </w:p>
        </w:tc>
      </w:tr>
    </w:tbl>
    <w:p>
      <w:pPr>
        <w:pStyle w:val="TextBody"/>
        <w:spacing w:lineRule="auto" w:line="288" w:before="120" w:after="283"/>
        <w:jc w:val="center"/>
        <w:rPr>
          <w:rFonts w:ascii="Times New Roman;sans-serif" w:hAnsi="Times New Roman;sans-serif"/>
          <w:b/>
          <w:color w:val="231F20"/>
          <w:sz w:val="14"/>
        </w:rPr>
      </w:pPr>
      <w:r>
        <w:rPr>
          <w:rFonts w:ascii="Times New Roman;sans-serif" w:hAnsi="Times New Roman;sans-serif"/>
          <w:b/>
          <w:color w:val="231F20"/>
          <w:sz w:val="14"/>
        </w:rPr>
        <w:t>Securities registered pursuant to Section 12(g) of the Act: None</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spacing w:lineRule="auto" w:line="288" w:before="60" w:after="283"/>
        <w:rPr/>
      </w:pPr>
      <w:r>
        <w:rPr>
          <w:rFonts w:ascii="Times New Roman;sans-serif" w:hAnsi="Times New Roman;sans-serif"/>
          <w:b w:val="false"/>
          <w:color w:val="231F20"/>
          <w:sz w:val="16"/>
        </w:rPr>
        <w:t xml:space="preserve">Indicate by check mark if the Registrant is a well-known seasoned issuer, as defined in Rule 405 of the Securities Act. Yes </w:t>
      </w:r>
      <w:r>
        <w:rPr>
          <w:rFonts w:ascii="Wingdings;sans-serif" w:hAnsi="Wingdings;sans-serif"/>
          <w:b w:val="false"/>
          <w:color w:val="231F20"/>
          <w:sz w:val="16"/>
        </w:rPr>
        <w:t>o</w:t>
      </w:r>
      <w:r>
        <w:rPr>
          <w:color w:val="000000"/>
        </w:rPr>
        <w:t xml:space="preserve"> </w:t>
      </w:r>
      <w:r>
        <w:rPr>
          <w:rFonts w:ascii="Times New Roman;sans-serif" w:hAnsi="Times New Roman;sans-serif"/>
          <w:b w:val="false"/>
          <w:color w:val="231F20"/>
          <w:sz w:val="16"/>
        </w:rPr>
        <w:t>No</w:t>
      </w:r>
      <w:r>
        <w:rPr>
          <w:color w:val="000000"/>
        </w:rPr>
        <w:t xml:space="preserve"> </w:t>
      </w:r>
      <w:r>
        <w:rPr>
          <w:rFonts w:ascii="Wingdings;sans-serif" w:hAnsi="Wingdings;sans-serif"/>
          <w:b w:val="false"/>
          <w:color w:val="000000"/>
          <w:sz w:val="16"/>
        </w:rPr>
        <w:t>x</w:t>
      </w:r>
    </w:p>
    <w:p>
      <w:pPr>
        <w:pStyle w:val="TextBody"/>
        <w:spacing w:lineRule="auto" w:line="288" w:before="60" w:after="283"/>
        <w:rPr/>
      </w:pPr>
      <w:r>
        <w:rPr>
          <w:rFonts w:ascii="Times New Roman;sans-serif" w:hAnsi="Times New Roman;sans-serif"/>
          <w:b w:val="false"/>
          <w:color w:val="231F20"/>
          <w:sz w:val="16"/>
        </w:rPr>
        <w:t xml:space="preserve">Indicate by check mark if the Registrant is not required to file reports pursuant to Section 13 or 15(d) of the Act. Yes </w:t>
      </w:r>
      <w:r>
        <w:rPr>
          <w:rFonts w:ascii="Wingdings;sans-serif" w:hAnsi="Wingdings;sans-serif"/>
          <w:b w:val="false"/>
          <w:color w:val="231F20"/>
          <w:sz w:val="16"/>
        </w:rPr>
        <w:t>o</w:t>
      </w:r>
      <w:r>
        <w:rPr>
          <w:color w:val="000000"/>
        </w:rPr>
        <w:t xml:space="preserve">  </w:t>
      </w:r>
      <w:r>
        <w:rPr>
          <w:rFonts w:ascii="Times New Roman;sans-serif" w:hAnsi="Times New Roman;sans-serif"/>
          <w:b w:val="false"/>
          <w:color w:val="231F20"/>
          <w:sz w:val="16"/>
        </w:rPr>
        <w:t>No</w:t>
      </w:r>
      <w:r>
        <w:rPr>
          <w:color w:val="000000"/>
        </w:rPr>
        <w:t xml:space="preserve"> </w:t>
      </w:r>
      <w:r>
        <w:rPr>
          <w:rFonts w:ascii="Wingdings;sans-serif" w:hAnsi="Wingdings;sans-serif"/>
          <w:b w:val="false"/>
          <w:color w:val="000000"/>
          <w:sz w:val="16"/>
        </w:rPr>
        <w:t>x</w:t>
      </w:r>
    </w:p>
    <w:p>
      <w:pPr>
        <w:pStyle w:val="TextBody"/>
        <w:spacing w:lineRule="auto" w:line="288" w:before="60" w:after="283"/>
        <w:rPr/>
      </w:pPr>
      <w:r>
        <w:rPr>
          <w:rFonts w:ascii="Times New Roman;sans-serif" w:hAnsi="Times New Roman;sans-serif"/>
          <w:b w:val="false"/>
          <w:color w:val="231F20"/>
          <w:sz w:val="16"/>
        </w:rPr>
        <w:t>Indicate by check mark whether the Registrant: (1) has filed all reports required to be filed by Section 13 or 15(d) of the Securities Exchange Act</w:t>
      </w:r>
      <w:r>
        <w:rPr>
          <w:color w:val="000000"/>
        </w:rPr>
        <w:t xml:space="preserve"> </w:t>
      </w:r>
      <w:r>
        <w:rPr>
          <w:rFonts w:ascii="Times New Roman;sans-serif" w:hAnsi="Times New Roman;sans-serif"/>
          <w:b w:val="false"/>
          <w:color w:val="231F20"/>
          <w:sz w:val="16"/>
        </w:rPr>
        <w:t>of 1934 during the preceding 12 months (or for such shorter period that the Registrant was required to file such reports), and (2) has been subject</w:t>
      </w:r>
      <w:r>
        <w:rPr>
          <w:color w:val="000000"/>
        </w:rPr>
        <w:t xml:space="preserve"> </w:t>
      </w:r>
      <w:r>
        <w:rPr>
          <w:rFonts w:ascii="Times New Roman;sans-serif" w:hAnsi="Times New Roman;sans-serif"/>
          <w:b w:val="false"/>
          <w:color w:val="231F20"/>
          <w:sz w:val="16"/>
        </w:rPr>
        <w:t>to such filing requirements for the past 90 days.</w:t>
      </w:r>
      <w:r>
        <w:rPr>
          <w:color w:val="000000"/>
        </w:rPr>
        <w:t xml:space="preserve"> </w:t>
      </w:r>
      <w:r>
        <w:rPr>
          <w:rFonts w:ascii="Times New Roman;sans-serif" w:hAnsi="Times New Roman;sans-serif"/>
          <w:b w:val="false"/>
          <w:color w:val="231F20"/>
          <w:sz w:val="16"/>
        </w:rPr>
        <w:t>Yes</w:t>
      </w:r>
      <w:r>
        <w:rPr>
          <w:color w:val="000000"/>
        </w:rPr>
        <w:t xml:space="preserve">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231F20"/>
          <w:sz w:val="16"/>
        </w:rPr>
        <w:t>No</w:t>
      </w:r>
      <w:r>
        <w:rPr>
          <w:color w:val="000000"/>
        </w:rPr>
        <w:t xml:space="preserve"> </w:t>
      </w:r>
      <w:r>
        <w:rPr>
          <w:rFonts w:ascii="Wingdings;sans-serif" w:hAnsi="Wingdings;sans-serif"/>
          <w:b w:val="false"/>
          <w:color w:val="231F20"/>
          <w:sz w:val="16"/>
        </w:rPr>
        <w:t>o</w:t>
      </w:r>
    </w:p>
    <w:p>
      <w:pPr>
        <w:pStyle w:val="TextBody"/>
        <w:spacing w:lineRule="auto" w:line="288" w:before="60" w:after="283"/>
        <w:rPr/>
      </w:pPr>
      <w:r>
        <w:rPr>
          <w:rFonts w:ascii="Times New Roman;sans-serif" w:hAnsi="Times New Roman;sans-serif"/>
          <w:b w:val="false"/>
          <w:color w:val="231F20"/>
          <w:sz w:val="16"/>
        </w:rPr>
        <w:t>Indicate by check mark whether the Registrant has submitted electronically every Interactive Data</w:t>
      </w:r>
      <w:r>
        <w:rPr>
          <w:color w:val="000000"/>
        </w:rPr>
        <w:t xml:space="preserve"> </w:t>
      </w:r>
      <w:r>
        <w:rPr>
          <w:rFonts w:ascii="Times New Roman;sans-serif" w:hAnsi="Times New Roman;sans-serif"/>
          <w:b w:val="false"/>
          <w:color w:val="231F20"/>
          <w:sz w:val="16"/>
        </w:rPr>
        <w:t>File required to be submitted pursuant to Rule 405 of Regulation S-T (§232.405 of this chapter) during the preceding 12 months (or for</w:t>
      </w:r>
      <w:r>
        <w:rPr>
          <w:color w:val="000000"/>
        </w:rPr>
        <w:t xml:space="preserve"> </w:t>
      </w:r>
      <w:r>
        <w:rPr>
          <w:rFonts w:ascii="Times New Roman;sans-serif" w:hAnsi="Times New Roman;sans-serif"/>
          <w:b w:val="false"/>
          <w:color w:val="231F20"/>
          <w:sz w:val="16"/>
        </w:rPr>
        <w:t>such shorter period that the Registrant was required to submit such files).</w:t>
      </w:r>
      <w:r>
        <w:rPr>
          <w:color w:val="000000"/>
        </w:rPr>
        <w:t xml:space="preserve"> </w:t>
      </w:r>
      <w:r>
        <w:rPr>
          <w:rFonts w:ascii="Times New Roman;sans-serif" w:hAnsi="Times New Roman;sans-serif"/>
          <w:b w:val="false"/>
          <w:color w:val="231F20"/>
          <w:sz w:val="16"/>
        </w:rPr>
        <w:t>Yes</w:t>
      </w:r>
      <w:r>
        <w:rPr>
          <w:color w:val="000000"/>
        </w:rPr>
        <w:t xml:space="preserve">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231F20"/>
          <w:sz w:val="16"/>
        </w:rPr>
        <w:t>No</w:t>
      </w:r>
      <w:r>
        <w:rPr>
          <w:color w:val="000000"/>
        </w:rPr>
        <w:t xml:space="preserve"> </w:t>
      </w:r>
      <w:r>
        <w:rPr>
          <w:rFonts w:ascii="Wingdings;sans-serif" w:hAnsi="Wingdings;sans-serif"/>
          <w:b w:val="false"/>
          <w:color w:val="231F20"/>
          <w:sz w:val="16"/>
        </w:rPr>
        <w:t>o</w:t>
      </w:r>
    </w:p>
    <w:p>
      <w:pPr>
        <w:pStyle w:val="TextBody"/>
        <w:spacing w:lineRule="auto" w:line="288" w:before="60" w:after="283"/>
        <w:rPr>
          <w:rFonts w:ascii="Times New Roman;sans-serif" w:hAnsi="Times New Roman;sans-serif"/>
          <w:b w:val="false"/>
          <w:color w:val="231F20"/>
          <w:sz w:val="16"/>
        </w:rPr>
      </w:pPr>
      <w:r>
        <w:rPr>
          <w:rFonts w:ascii="Times New Roman;sans-serif" w:hAnsi="Times New Roman;sans-serif"/>
          <w:b w:val="false"/>
          <w:color w:val="231F20"/>
          <w:sz w:val="16"/>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W w:w="5369"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Wingdings;sans-serif" w:hAnsi="Wingdings;sans-serif"/>
                <w:b w:val="false"/>
                <w:color w:val="231F20"/>
                <w:sz w:val="16"/>
              </w:rPr>
            </w:pPr>
            <w:r>
              <w:rPr>
                <w:rFonts w:ascii="Wingdings;sans-serif" w:hAnsi="Wingdings;sans-serif"/>
                <w:b w:val="false"/>
                <w:color w:val="231F2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Wingdings;sans-serif" w:hAnsi="Wingdings;sans-serif"/>
                <w:b w:val="false"/>
                <w:color w:val="231F20"/>
                <w:sz w:val="16"/>
              </w:rPr>
            </w:pPr>
            <w:r>
              <w:rPr>
                <w:rFonts w:ascii="Wingdings;sans-serif" w:hAnsi="Wingdings;sans-serif"/>
                <w:b w:val="false"/>
                <w:color w:val="231F2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Small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Wingdings;sans-serif" w:hAnsi="Wingdings;sans-serif"/>
                <w:b w:val="false"/>
                <w:color w:val="231F20"/>
                <w:sz w:val="16"/>
              </w:rPr>
            </w:pPr>
            <w:r>
              <w:rPr>
                <w:rFonts w:ascii="Wingdings;sans-serif" w:hAnsi="Wingdings;sans-serif"/>
                <w:b w:val="false"/>
                <w:color w:val="231F2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Wingdings;sans-serif" w:hAnsi="Wingdings;sans-serif"/>
                <w:b w:val="false"/>
                <w:color w:val="231F20"/>
                <w:sz w:val="16"/>
              </w:rPr>
            </w:pPr>
            <w:r>
              <w:rPr>
                <w:rFonts w:ascii="Wingdings;sans-serif" w:hAnsi="Wingdings;sans-serif"/>
                <w:b w:val="false"/>
                <w:color w:val="231F2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pPr>
      <w:r>
        <w:rPr>
          <w:rFonts w:ascii="Times New Roman;sans-serif" w:hAnsi="Times New Roman;sans-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231F20"/>
          <w:sz w:val="16"/>
        </w:rPr>
        <w:t>o</w:t>
      </w:r>
    </w:p>
    <w:p>
      <w:pPr>
        <w:pStyle w:val="TextBody"/>
        <w:spacing w:lineRule="auto" w:line="288" w:before="60" w:after="283"/>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r>
        <w:rPr>
          <w:rFonts w:ascii="Wingdings;sans-serif" w:hAnsi="Wingdings;sans-serif"/>
          <w:b w:val="false"/>
          <w:color w:val="000000"/>
          <w:sz w:val="16"/>
        </w:rPr>
        <w:t>x</w:t>
      </w:r>
    </w:p>
    <w:p>
      <w:pPr>
        <w:pStyle w:val="TextBody"/>
        <w:spacing w:lineRule="auto" w:line="288" w:before="60" w:after="283"/>
        <w:rPr/>
      </w:pPr>
      <w:r>
        <w:rPr>
          <w:rFonts w:ascii="Times New Roman;sans-serif" w:hAnsi="Times New Roman;sans-serif"/>
          <w:b w:val="false"/>
          <w:color w:val="231F20"/>
          <w:sz w:val="16"/>
        </w:rPr>
        <w:t>Indicate by check mark whether the Registrant is a shell company (as defined in Rule 12b-2 of the Exchange Act). Yes</w:t>
      </w:r>
      <w:r>
        <w:rPr>
          <w:color w:val="000000"/>
        </w:rPr>
        <w:t xml:space="preserve"> </w:t>
      </w:r>
      <w:r>
        <w:rPr>
          <w:rFonts w:ascii="Wingdings;sans-serif" w:hAnsi="Wingdings;sans-serif"/>
          <w:b w:val="false"/>
          <w:color w:val="231F20"/>
          <w:sz w:val="16"/>
        </w:rPr>
        <w:t>o</w:t>
      </w:r>
      <w:r>
        <w:rPr>
          <w:color w:val="000000"/>
        </w:rPr>
        <w:t xml:space="preserve"> </w:t>
      </w:r>
      <w:r>
        <w:rPr>
          <w:rFonts w:ascii="Times New Roman;sans-serif" w:hAnsi="Times New Roman;sans-serif"/>
          <w:b w:val="false"/>
          <w:color w:val="231F20"/>
          <w:sz w:val="16"/>
        </w:rPr>
        <w:t>No</w:t>
      </w:r>
      <w:r>
        <w:rPr>
          <w:color w:val="000000"/>
        </w:rPr>
        <w:t xml:space="preserve"> </w:t>
      </w:r>
      <w:r>
        <w:rPr>
          <w:rFonts w:ascii="Wingdings;sans-serif" w:hAnsi="Wingdings;sans-serif"/>
          <w:b w:val="false"/>
          <w:color w:val="000000"/>
          <w:sz w:val="16"/>
        </w:rPr>
        <w:t>x</w:t>
      </w:r>
    </w:p>
    <w:p>
      <w:pPr>
        <w:pStyle w:val="TextBody"/>
        <w:spacing w:lineRule="auto" w:line="268" w:before="0" w:after="0"/>
        <w:rPr/>
      </w:pPr>
      <w:r>
        <w:rPr>
          <w:rFonts w:ascii="Times New Roman;sans-serif" w:hAnsi="Times New Roman;sans-serif"/>
          <w:b w:val="false"/>
          <w:color w:val="231F20"/>
          <w:sz w:val="16"/>
        </w:rPr>
        <w:t>The aggregate market value of the Registrant’s common stock held by non-affiliates of the Registrant as of the last business day of the Registrant’s most recently completed second fiscal quarter, June 30, 2021, based on the last reported sales price of the Registrant’s common stock on the Nasdaq Global Market of $7.58 per share was</w:t>
      </w:r>
      <w:r>
        <w:rPr>
          <w:color w:val="000000"/>
        </w:rPr>
        <w:t xml:space="preserve"> </w:t>
      </w:r>
      <w:r>
        <w:rPr>
          <w:rFonts w:ascii="Times New Roman;sans-serif" w:hAnsi="Times New Roman;sans-serif"/>
          <w:b w:val="false"/>
          <w:color w:val="000000"/>
          <w:sz w:val="16"/>
        </w:rPr>
        <w:t>$768,831,274</w:t>
      </w:r>
      <w:r>
        <w:rPr>
          <w:rFonts w:ascii="Times New Roman;sans-serif" w:hAnsi="Times New Roman;sans-serif"/>
          <w:b w:val="false"/>
          <w:color w:val="231F20"/>
          <w:sz w:val="16"/>
        </w:rPr>
        <w:t>.</w:t>
      </w:r>
    </w:p>
    <w:p>
      <w:pPr>
        <w:pStyle w:val="TextBody"/>
        <w:spacing w:lineRule="auto" w:line="288" w:before="60" w:after="283"/>
        <w:rPr/>
      </w:pPr>
      <w:r>
        <w:rPr>
          <w:rFonts w:ascii="Times New Roman;sans-serif" w:hAnsi="Times New Roman;sans-serif"/>
          <w:b w:val="false"/>
          <w:color w:val="231F20"/>
          <w:sz w:val="16"/>
        </w:rPr>
        <w:t>The number of shares of Registrant’s Common Stock outstanding as of February 23, 2022, was</w:t>
      </w:r>
      <w:r>
        <w:rPr>
          <w:color w:val="000000"/>
        </w:rPr>
        <w:t xml:space="preserve"> </w:t>
      </w:r>
      <w:r>
        <w:rPr>
          <w:rFonts w:ascii="Times New Roman;sans-serif" w:hAnsi="Times New Roman;sans-serif"/>
          <w:b w:val="false"/>
          <w:color w:val="000000"/>
          <w:sz w:val="16"/>
        </w:rPr>
        <w:t>130,294,254</w:t>
      </w:r>
      <w:r>
        <w:rPr>
          <w:rFonts w:ascii="Times New Roman;sans-serif" w:hAnsi="Times New Roman;sans-serif"/>
          <w:b w:val="false"/>
          <w:color w:val="231F20"/>
          <w:sz w:val="16"/>
        </w:rPr>
        <w:t>.</w:t>
      </w:r>
    </w:p>
    <w:p>
      <w:pPr>
        <w:pStyle w:val="TextBody"/>
        <w:spacing w:lineRule="auto" w:line="288" w:before="120" w:after="283"/>
        <w:jc w:val="center"/>
        <w:rPr>
          <w:rFonts w:ascii="Times New Roman;sans-serif" w:hAnsi="Times New Roman;sans-serif"/>
          <w:b/>
          <w:color w:val="231F20"/>
          <w:sz w:val="14"/>
        </w:rPr>
      </w:pPr>
      <w:r>
        <w:rPr>
          <w:rFonts w:ascii="Times New Roman;sans-serif" w:hAnsi="Times New Roman;sans-serif"/>
          <w:b/>
          <w:color w:val="231F20"/>
          <w:sz w:val="14"/>
        </w:rPr>
        <w:t>DOCUMENTS INCORPORATED BY REFERENCE:</w:t>
      </w:r>
    </w:p>
    <w:p>
      <w:pPr>
        <w:pStyle w:val="TextBody"/>
        <w:spacing w:lineRule="auto" w:line="288" w:before="120" w:after="283"/>
        <w:rPr/>
      </w:pPr>
      <w:r>
        <w:rPr>
          <w:rFonts w:ascii="Times New Roman;sans-serif" w:hAnsi="Times New Roman;sans-serif"/>
          <w:b w:val="false"/>
          <w:color w:val="231F20"/>
          <w:sz w:val="16"/>
        </w:rPr>
        <w:t>Portions of the Registrant’s Definitive Proxy Statement for its 2022 Annual Meeting of Stockholders, which will be filed with the Commission within 120 days of December 31, 2021, the close of the Registrant’s 2021 fiscal year, are incorporated by reference into Part III of this Report</w:t>
      </w:r>
      <w:r>
        <w:rPr>
          <w:rFonts w:ascii="Times New Roman;sans-serif" w:hAnsi="Times New Roman;sans-serif"/>
          <w:b w:val="false"/>
          <w:color w:val="231F20"/>
          <w:sz w:val="14"/>
        </w:rPr>
        <w: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20"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 FOR THE FISCAL YEAR ENDED December 31,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2"/>
        <w:gridCol w:w="309"/>
        <w:gridCol w:w="315"/>
        <w:gridCol w:w="2904"/>
        <w:gridCol w:w="2888"/>
        <w:gridCol w:w="2924"/>
        <w:gridCol w:w="149"/>
        <w:gridCol w:w="149"/>
        <w:gridCol w:w="215"/>
      </w:tblGrid>
      <w:tr>
        <w:trPr/>
        <w:tc>
          <w:tcPr>
            <w:tcW w:w="35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904"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bc42016084a495692f8bf00dd062b72_13">
              <w:r>
                <w:rPr>
                  <w:rStyle w:val="InternetLink"/>
                  <w:rFonts w:ascii="Times New Roman;sans-serif" w:hAnsi="Times New Roman;sans-serif"/>
                  <w:b/>
                  <w:strike w:val="false"/>
                  <w:dstrike w:val="false"/>
                  <w:color w:val="000000"/>
                  <w:sz w:val="20"/>
                  <w:u w:val="none"/>
                  <w:effect w:val="none"/>
                </w:rPr>
                <w:t>PART I</w:t>
              </w:r>
            </w:hyperlink>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6">
              <w:r>
                <w:rPr>
                  <w:rStyle w:val="InternetLink"/>
                  <w:rFonts w:ascii="Times New Roman;sans-serif" w:hAnsi="Times New Roman;sans-serif"/>
                  <w:b w:val="false"/>
                  <w:color w:val="0000FF"/>
                  <w:sz w:val="20"/>
                  <w:u w:val="single"/>
                </w:rPr>
                <w:t>Item 1.</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6">
              <w:r>
                <w:rPr>
                  <w:rStyle w:val="InternetLink"/>
                  <w:rFonts w:ascii="Times New Roman;sans-serif" w:hAnsi="Times New Roman;sans-serif"/>
                  <w:b w:val="false"/>
                  <w:color w:val="0000FF"/>
                  <w:sz w:val="20"/>
                  <w:u w:val="single"/>
                </w:rPr>
                <w:t>Business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
              <w:r>
                <w:rPr>
                  <w:rStyle w:val="InternetLink"/>
                  <w:rFonts w:ascii="Times New Roman;sans-serif" w:hAnsi="Times New Roman;sans-serif"/>
                  <w:b w:val="false"/>
                  <w:color w:val="0000FF"/>
                  <w:sz w:val="20"/>
                  <w:u w:val="single"/>
                </w:rPr>
                <w:t>Item 1A.</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9">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2">
              <w:r>
                <w:rPr>
                  <w:rStyle w:val="InternetLink"/>
                  <w:rFonts w:ascii="Times New Roman;sans-serif" w:hAnsi="Times New Roman;sans-serif"/>
                  <w:b w:val="false"/>
                  <w:color w:val="0000FF"/>
                  <w:sz w:val="20"/>
                  <w:u w:val="single"/>
                </w:rPr>
                <w:t>Item 1B.</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2">
              <w:r>
                <w:rPr>
                  <w:rStyle w:val="InternetLink"/>
                  <w:rFonts w:ascii="Times New Roman;sans-serif" w:hAnsi="Times New Roman;sans-serif"/>
                  <w:b w:val="false"/>
                  <w:color w:val="0000FF"/>
                  <w:sz w:val="20"/>
                  <w:u w:val="single"/>
                </w:rPr>
                <w:t>Unresolved Staff Comments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2">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5">
              <w:r>
                <w:rPr>
                  <w:rStyle w:val="InternetLink"/>
                  <w:rFonts w:ascii="Times New Roman;sans-serif" w:hAnsi="Times New Roman;sans-serif"/>
                  <w:b w:val="false"/>
                  <w:color w:val="0000FF"/>
                  <w:sz w:val="20"/>
                  <w:u w:val="single"/>
                </w:rPr>
                <w:t>Item 2.</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5">
              <w:r>
                <w:rPr>
                  <w:rStyle w:val="InternetLink"/>
                  <w:rFonts w:ascii="Times New Roman;sans-serif" w:hAnsi="Times New Roman;sans-serif"/>
                  <w:b w:val="false"/>
                  <w:color w:val="0000FF"/>
                  <w:sz w:val="20"/>
                  <w:u w:val="single"/>
                </w:rPr>
                <w:t>Properties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5">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8">
              <w:r>
                <w:rPr>
                  <w:rStyle w:val="InternetLink"/>
                  <w:rFonts w:ascii="Times New Roman;sans-serif" w:hAnsi="Times New Roman;sans-serif"/>
                  <w:b w:val="false"/>
                  <w:color w:val="0000FF"/>
                  <w:sz w:val="20"/>
                  <w:u w:val="single"/>
                </w:rPr>
                <w:t>Item 3.</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8">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8">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31">
              <w:r>
                <w:rPr>
                  <w:rStyle w:val="InternetLink"/>
                  <w:rFonts w:ascii="Times New Roman;sans-serif" w:hAnsi="Times New Roman;sans-serif"/>
                  <w:b w:val="false"/>
                  <w:color w:val="0000FF"/>
                  <w:sz w:val="20"/>
                  <w:u w:val="single"/>
                </w:rPr>
                <w:t>Item 4.</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31">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31">
              <w:r>
                <w:rPr>
                  <w:rStyle w:val="InternetLink"/>
                  <w:rFonts w:ascii="Times New Roman;sans-serif" w:hAnsi="Times New Roman;sans-serif"/>
                  <w:b w:val="false"/>
                  <w:strike w:val="false"/>
                  <w:dstrike w:val="false"/>
                  <w:color w:val="000000"/>
                  <w:sz w:val="20"/>
                  <w:u w:val="none"/>
                  <w:effect w:val="none"/>
                </w:rPr>
                <w:t>53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bc42016084a495692f8bf00dd062b72_34">
              <w:r>
                <w:rPr>
                  <w:rStyle w:val="InternetLink"/>
                  <w:rFonts w:ascii="Times New Roman;sans-serif" w:hAnsi="Times New Roman;sans-serif"/>
                  <w:b/>
                  <w:color w:val="0000FF"/>
                  <w:sz w:val="20"/>
                  <w:u w:val="single"/>
                </w:rPr>
                <w:t>PART II</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37">
              <w:r>
                <w:rPr>
                  <w:rStyle w:val="InternetLink"/>
                  <w:rFonts w:ascii="Times New Roman;sans-serif" w:hAnsi="Times New Roman;sans-serif"/>
                  <w:b w:val="false"/>
                  <w:color w:val="0000FF"/>
                  <w:sz w:val="20"/>
                  <w:u w:val="single"/>
                </w:rPr>
                <w:t>Item 5.</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37">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40">
              <w:r>
                <w:rPr>
                  <w:rStyle w:val="InternetLink"/>
                  <w:rFonts w:ascii="Times New Roman;sans-serif" w:hAnsi="Times New Roman;sans-serif"/>
                  <w:b w:val="false"/>
                  <w:color w:val="0000FF"/>
                  <w:sz w:val="20"/>
                  <w:u w:val="single"/>
                </w:rPr>
                <w:t>Item 6.</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51">
              <w:r>
                <w:rPr>
                  <w:rStyle w:val="InternetLink"/>
                  <w:rFonts w:ascii="Times New Roman;sans-serif" w:hAnsi="Times New Roman;sans-serif"/>
                  <w:b w:val="false"/>
                  <w:color w:val="0000FF"/>
                  <w:sz w:val="20"/>
                  <w:u w:val="single"/>
                </w:rPr>
                <w:t>[Reserved]</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851">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43">
              <w:r>
                <w:rPr>
                  <w:rStyle w:val="InternetLink"/>
                  <w:rFonts w:ascii="Times New Roman;sans-serif" w:hAnsi="Times New Roman;sans-serif"/>
                  <w:b w:val="false"/>
                  <w:color w:val="0000FF"/>
                  <w:sz w:val="20"/>
                  <w:u w:val="single"/>
                </w:rPr>
                <w:t>Item 7.</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43">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73">
              <w:r>
                <w:rPr>
                  <w:rStyle w:val="InternetLink"/>
                  <w:rFonts w:ascii="Times New Roman;sans-serif" w:hAnsi="Times New Roman;sans-serif"/>
                  <w:b w:val="false"/>
                  <w:color w:val="0000FF"/>
                  <w:sz w:val="20"/>
                  <w:u w:val="single"/>
                </w:rPr>
                <w:t>Item 7A.</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73">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73">
              <w:r>
                <w:rPr>
                  <w:rStyle w:val="InternetLink"/>
                  <w:rFonts w:ascii="Times New Roman;sans-serif" w:hAnsi="Times New Roman;sans-serif"/>
                  <w:b w:val="false"/>
                  <w:strike w:val="false"/>
                  <w:dstrike w:val="false"/>
                  <w:color w:val="000000"/>
                  <w:sz w:val="20"/>
                  <w:u w:val="none"/>
                  <w:effect w:val="none"/>
                </w:rPr>
                <w:t>67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76">
              <w:r>
                <w:rPr>
                  <w:rStyle w:val="InternetLink"/>
                  <w:rFonts w:ascii="Times New Roman;sans-serif" w:hAnsi="Times New Roman;sans-serif"/>
                  <w:b w:val="false"/>
                  <w:color w:val="0000FF"/>
                  <w:sz w:val="20"/>
                  <w:u w:val="single"/>
                </w:rPr>
                <w:t>Item 8.</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76">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76">
              <w:r>
                <w:rPr>
                  <w:rStyle w:val="InternetLink"/>
                  <w:rFonts w:ascii="Times New Roman;sans-serif" w:hAnsi="Times New Roman;sans-serif"/>
                  <w:b w:val="false"/>
                  <w:strike w:val="false"/>
                  <w:dstrike w:val="false"/>
                  <w:color w:val="000000"/>
                  <w:sz w:val="20"/>
                  <w:u w:val="none"/>
                  <w:effect w:val="none"/>
                </w:rPr>
                <w:t>69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78">
              <w:r>
                <w:rPr>
                  <w:rStyle w:val="InternetLink"/>
                  <w:rFonts w:ascii="Times New Roman;sans-serif" w:hAnsi="Times New Roman;sans-serif"/>
                  <w:b w:val="false"/>
                  <w:color w:val="0000FF"/>
                  <w:sz w:val="20"/>
                  <w:u w:val="single"/>
                </w:rPr>
                <w:t>Item 9.</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7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78">
              <w:r>
                <w:rPr>
                  <w:rStyle w:val="InternetLink"/>
                  <w:rFonts w:ascii="Times New Roman;sans-serif" w:hAnsi="Times New Roman;sans-serif"/>
                  <w:b w:val="false"/>
                  <w:strike w:val="false"/>
                  <w:dstrike w:val="false"/>
                  <w:color w:val="000000"/>
                  <w:sz w:val="20"/>
                  <w:u w:val="none"/>
                  <w:effect w:val="none"/>
                </w:rPr>
                <w:t>102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1">
              <w:r>
                <w:rPr>
                  <w:rStyle w:val="InternetLink"/>
                  <w:rFonts w:ascii="Times New Roman;sans-serif" w:hAnsi="Times New Roman;sans-serif"/>
                  <w:b w:val="false"/>
                  <w:color w:val="0000FF"/>
                  <w:sz w:val="20"/>
                  <w:u w:val="single"/>
                </w:rPr>
                <w:t>Item 9A.</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1">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81">
              <w:r>
                <w:rPr>
                  <w:rStyle w:val="InternetLink"/>
                  <w:rFonts w:ascii="Times New Roman;sans-serif" w:hAnsi="Times New Roman;sans-serif"/>
                  <w:b w:val="false"/>
                  <w:strike w:val="false"/>
                  <w:dstrike w:val="false"/>
                  <w:color w:val="000000"/>
                  <w:sz w:val="20"/>
                  <w:u w:val="none"/>
                  <w:effect w:val="none"/>
                </w:rPr>
                <w:t>102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4">
              <w:r>
                <w:rPr>
                  <w:rStyle w:val="InternetLink"/>
                  <w:rFonts w:ascii="Times New Roman;sans-serif" w:hAnsi="Times New Roman;sans-serif"/>
                  <w:b w:val="false"/>
                  <w:color w:val="0000FF"/>
                  <w:sz w:val="20"/>
                  <w:u w:val="single"/>
                </w:rPr>
                <w:t>Item 9B.</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4">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84">
              <w:r>
                <w:rPr>
                  <w:rStyle w:val="InternetLink"/>
                  <w:rFonts w:ascii="Times New Roman;sans-serif" w:hAnsi="Times New Roman;sans-serif"/>
                  <w:b w:val="false"/>
                  <w:strike w:val="false"/>
                  <w:dstrike w:val="false"/>
                  <w:color w:val="000000"/>
                  <w:sz w:val="20"/>
                  <w:u w:val="none"/>
                  <w:effect w:val="none"/>
                </w:rPr>
                <w:t>104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60">
              <w:r>
                <w:rPr>
                  <w:rStyle w:val="InternetLink"/>
                  <w:rFonts w:ascii="Times New Roman;sans-serif" w:hAnsi="Times New Roman;sans-serif"/>
                  <w:b w:val="false"/>
                  <w:color w:val="0000FF"/>
                  <w:sz w:val="20"/>
                  <w:u w:val="single"/>
                </w:rPr>
                <w:t>Item 9C.</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860">
              <w:r>
                <w:rPr>
                  <w:rStyle w:val="InternetLink"/>
                </w:rPr>
                <w:t>Discl</w:t>
              </w:r>
            </w:hyperlink>
            <w:hyperlink w:anchor="i6bc42016084a495692f8bf00dd062b72_1860">
              <w:r>
                <w:rPr>
                  <w:rStyle w:val="InternetLink"/>
                </w:rPr>
                <w:t>o</w:t>
              </w:r>
            </w:hyperlink>
            <w:hyperlink w:anchor="i6bc42016084a495692f8bf00dd062b72_1860">
              <w:r>
                <w:rPr>
                  <w:rStyle w:val="InternetLink"/>
                </w:rPr>
                <w:t>s</w:t>
              </w:r>
            </w:hyperlink>
            <w:hyperlink w:anchor="i6bc42016084a495692f8bf00dd062b72_1860">
              <w:r>
                <w:rPr>
                  <w:rStyle w:val="InternetLink"/>
                </w:rPr>
                <w:t>ure Regarding Foreign Jurisdictions that Prevent Inspection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bc42016084a495692f8bf00dd062b72_187">
              <w:r>
                <w:rPr>
                  <w:rStyle w:val="InternetLink"/>
                  <w:rFonts w:ascii="Times New Roman;sans-serif" w:hAnsi="Times New Roman;sans-serif"/>
                  <w:b/>
                  <w:color w:val="0000FF"/>
                  <w:sz w:val="20"/>
                  <w:u w:val="single"/>
                </w:rPr>
                <w:t>PART III</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0">
              <w:r>
                <w:rPr>
                  <w:rStyle w:val="InternetLink"/>
                  <w:rFonts w:ascii="Times New Roman;sans-serif" w:hAnsi="Times New Roman;sans-serif"/>
                  <w:b w:val="false"/>
                  <w:color w:val="0000FF"/>
                  <w:sz w:val="20"/>
                  <w:u w:val="single"/>
                </w:rPr>
                <w:t>Item 10.</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0">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90">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3">
              <w:r>
                <w:rPr>
                  <w:rStyle w:val="InternetLink"/>
                  <w:rFonts w:ascii="Times New Roman;sans-serif" w:hAnsi="Times New Roman;sans-serif"/>
                  <w:b w:val="false"/>
                  <w:color w:val="0000FF"/>
                  <w:sz w:val="20"/>
                  <w:u w:val="single"/>
                </w:rPr>
                <w:t>Item 11.</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3">
              <w:r>
                <w:rPr>
                  <w:rStyle w:val="InternetLink"/>
                  <w:rFonts w:ascii="Times New Roman;sans-serif" w:hAnsi="Times New Roman;sans-serif"/>
                  <w:b w:val="false"/>
                  <w:color w:val="0000FF"/>
                  <w:sz w:val="20"/>
                  <w:u w:val="single"/>
                </w:rPr>
                <w:t>Executive Compensation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93">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6">
              <w:r>
                <w:rPr>
                  <w:rStyle w:val="InternetLink"/>
                  <w:rFonts w:ascii="Times New Roman;sans-serif" w:hAnsi="Times New Roman;sans-serif"/>
                  <w:b w:val="false"/>
                  <w:color w:val="0000FF"/>
                  <w:sz w:val="20"/>
                  <w:u w:val="single"/>
                </w:rPr>
                <w:t>Item 12.</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96">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9">
              <w:r>
                <w:rPr>
                  <w:rStyle w:val="InternetLink"/>
                  <w:rFonts w:ascii="Times New Roman;sans-serif" w:hAnsi="Times New Roman;sans-serif"/>
                  <w:b w:val="false"/>
                  <w:color w:val="0000FF"/>
                  <w:sz w:val="20"/>
                  <w:u w:val="single"/>
                </w:rPr>
                <w:t>Item 13.</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19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199">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02">
              <w:r>
                <w:rPr>
                  <w:rStyle w:val="InternetLink"/>
                  <w:rFonts w:ascii="Times New Roman;sans-serif" w:hAnsi="Times New Roman;sans-serif"/>
                  <w:b w:val="false"/>
                  <w:color w:val="0000FF"/>
                  <w:sz w:val="20"/>
                  <w:u w:val="single"/>
                </w:rPr>
                <w:t>Item 14.</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02">
              <w:r>
                <w:rPr>
                  <w:rStyle w:val="InternetLink"/>
                  <w:rFonts w:ascii="Times New Roman;sans-serif" w:hAnsi="Times New Roman;sans-serif"/>
                  <w:b w:val="false"/>
                  <w:color w:val="0000FF"/>
                  <w:sz w:val="20"/>
                  <w:u w:val="single"/>
                </w:rPr>
                <w:t>Principal Accounting Fees and Services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02">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6bc42016084a495692f8bf00dd062b72_205">
              <w:r>
                <w:rPr>
                  <w:rStyle w:val="InternetLink"/>
                  <w:rFonts w:ascii="Times New Roman;sans-serif" w:hAnsi="Times New Roman;sans-serif"/>
                  <w:b/>
                  <w:color w:val="0000FF"/>
                  <w:sz w:val="20"/>
                  <w:u w:val="single"/>
                </w:rPr>
                <w:t>PART IV</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08">
              <w:r>
                <w:rPr>
                  <w:rStyle w:val="InternetLink"/>
                  <w:rFonts w:ascii="Times New Roman;sans-serif" w:hAnsi="Times New Roman;sans-serif"/>
                  <w:b w:val="false"/>
                  <w:color w:val="0000FF"/>
                  <w:sz w:val="20"/>
                  <w:u w:val="single"/>
                </w:rPr>
                <w:t>Item 15.</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08">
              <w:r>
                <w:rPr>
                  <w:rStyle w:val="InternetLink"/>
                  <w:rFonts w:ascii="Times New Roman;sans-serif" w:hAnsi="Times New Roman;sans-serif"/>
                  <w:b w:val="false"/>
                  <w:color w:val="0000FF"/>
                  <w:sz w:val="20"/>
                  <w:u w:val="single"/>
                </w:rPr>
                <w:t>Exhibits, Financial Statement Schedules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08">
              <w:r>
                <w:rPr>
                  <w:rStyle w:val="InternetLink"/>
                  <w:rFonts w:ascii="Times New Roman;sans-serif" w:hAnsi="Times New Roman;sans-serif"/>
                  <w:b w:val="false"/>
                  <w:strike w:val="false"/>
                  <w:dstrike w:val="false"/>
                  <w:color w:val="000000"/>
                  <w:sz w:val="20"/>
                  <w:u w:val="none"/>
                  <w:effect w:val="none"/>
                </w:rPr>
                <w:t>106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11">
              <w:r>
                <w:rPr>
                  <w:rStyle w:val="InternetLink"/>
                  <w:rFonts w:ascii="Times New Roman;sans-serif" w:hAnsi="Times New Roman;sans-serif"/>
                  <w:b w:val="false"/>
                  <w:color w:val="0000FF"/>
                  <w:sz w:val="20"/>
                  <w:u w:val="single"/>
                </w:rPr>
                <w:t>Item 16.</w:t>
              </w:r>
            </w:hyperlink>
          </w:p>
        </w:tc>
        <w:tc>
          <w:tcPr>
            <w:tcW w:w="871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11">
              <w:r>
                <w:rPr>
                  <w:rStyle w:val="InternetLink"/>
                  <w:rFonts w:ascii="Times New Roman;sans-serif" w:hAnsi="Times New Roman;sans-serif"/>
                  <w:b w:val="false"/>
                  <w:color w:val="0000FF"/>
                  <w:sz w:val="20"/>
                  <w:u w:val="single"/>
                </w:rPr>
                <w:t>Form 10-K Summary</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11">
              <w:r>
                <w:rPr>
                  <w:rStyle w:val="InternetLink"/>
                  <w:rFonts w:ascii="Times New Roman;sans-serif" w:hAnsi="Times New Roman;sans-serif"/>
                  <w:b w:val="false"/>
                  <w:strike w:val="false"/>
                  <w:dstrike w:val="false"/>
                  <w:color w:val="000000"/>
                  <w:sz w:val="20"/>
                  <w:u w:val="none"/>
                  <w:effect w:val="none"/>
                </w:rPr>
                <w:t>106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214">
              <w:r>
                <w:rPr>
                  <w:rStyle w:val="InternetLink"/>
                  <w:rFonts w:ascii="Times New Roman;sans-serif" w:hAnsi="Times New Roman;sans-serif"/>
                  <w:b w:val="false"/>
                  <w:color w:val="0000FF"/>
                  <w:sz w:val="20"/>
                  <w:u w:val="single"/>
                </w:rPr>
                <w:t>Signatures</w:t>
              </w:r>
            </w:hyperlink>
          </w:p>
        </w:tc>
        <w:tc>
          <w:tcPr>
            <w:tcW w:w="8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214">
              <w:r>
                <w:rPr>
                  <w:rStyle w:val="InternetLink"/>
                  <w:rFonts w:ascii="Times New Roman;sans-serif" w:hAnsi="Times New Roman;sans-serif"/>
                  <w:b w:val="false"/>
                  <w:strike w:val="false"/>
                  <w:dstrike w:val="false"/>
                  <w:color w:val="000000"/>
                  <w:sz w:val="20"/>
                  <w:u w:val="none"/>
                  <w:effect w:val="none"/>
                </w:rPr>
                <w:t>109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Annual Report on Form 10-K the terms “Ardelyx”, “we,” “us,” “our” and “the Company” refer to Ardelyx, Inc.</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expectations regarding our plans to commence the commercialization of IBSRELA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(tenapanor) in the U.S. for the treatment of irritable bowel syndrome with constipation (“IBS-C”) in April 2022;</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the timing of our receipt of a decision from the Office of New Drugs (“OND”) with respect to our appeal of the Appeal Denied Letter (“ADL”) received from the Office of Cardiology, Hematology, Endocrinology and Nephrology (“OCHEN”) of the United States ("U.S.) Food and Drug Administration (“FDA”) relating to our New Drug Application (“NDA”) for tenapanor for the control of serum phosphorus in adult patients with chronic kidney disease (“CKD”) on dialysis (the “Hyperphosphatemia Indication”);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expectations regarding our plans for our participation in the commercialization of XPHOZAH</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(tenapanor) for the control of serum phosphorus in adult patients with CKD on dialysis in the U.S., if approved;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expectations regarding our Japanese collaboration partner’s plans to file a marketing authorization application with the Japanese Pharmaceuticals and Medical Devices Agency (“PMDA”) in the second half of 2022;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expectations regarding the potential market size and the size of the patient populations for IBSRELA and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plans with respect to RDX013 and RDX020;</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implementation of our business model and strategic plans for our business, product candidates and technology;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estimates of our expenses, future revenue, capital requirements, our needs for additional financing and our ability to obtain additional capital;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financial performance;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developments and projections relating to our competitors and our industry.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a limited operating history, have incurred significant losses since our inception and will incur losses in the future, which makes it difficult for us to assess our future viability.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Although our financial statements have been prepared on a going concern basis, our current level of cash and investments alone is not sufficient to meet our operating plans for the next twelve months, raising substantial doubt regarding our ability to continue as a going concern.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will require substantial additional financing to achieve our goals, including our goals of commercializing IBSRELA beginning in April 2022 and pursuing a formal dispute resolution (“FDR”) process in response to the CRL received from the FDA relating to our NDA for tenapanor for the Hyperphosphatemia Indication and the inability to access necessary capital when needed on acceptable terms, or at all, could force us to delay, limit, reduce or terminate our efforts to commercialize IBSRELA or to seek and obtain tenapanor for the Hyperphosphatemia Indication.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failure to meet the continued listing requirements of The Nasdaq Global Market ("Nasdaq") could result in a de-listing of our common stock. On February 28, 2022, we received a letter from Nasdaq indicating that we have failed to comply with the minimum bid price requirement of Nasdaq Listing Rule 5550(a)(2). Nasdaq Listing Rule 5550(a)(2) requires that companies listed on the Nasdaq Capital Market maintain a minimum closing bid price of at least $1.00 per share. Under Nasdaq Listing Rule 5810(c)(3)(A), we have a 180 calendar day grace period to regain compliance by meeting the continued listing standard. To regain compliance, the closing bid price of the Company’s common stock must meet or exceed $1.00 per share for a minimum of ten consecutive business days during this grace period. We are monitoring the bid price of our common stock and will consider options available to us to achieve compliance. There can be no assurances that we will be successful in restoring our compliance with the Nasdaq listing requirements.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have never generated any revenue from product sales and may never be profitable.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success is also dependent upon our ability to obtain regulatory approval for tenapanor for the control of serum phosphorus in adult patients with CKD on dialysis, and there can be no assurances that we will be successful in obtaining such regulatory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Even if we are successful in obtaining regulatory approval for tenapanor for control of serum phosphorus in adult patients with CKD on dialysis, the expense and time required to do so could adversely impact our ability to successfully commercialize XPHOZAH for the Hyperphosphatemia Indication.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IBSRELA, and/or XPHOZAH, if approved and commercialized, may cause undesirable side effects or have other properties that could limit the commercial success of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no prior experience in the marketing, sale and distribution of pharmaceutical products; and there are significant risks in building and managing a sales organization.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Third-party payor coverage and reimbursement status of newly-commercialized products are uncertain. Failure to obtain or maintain adequate coverage and reimbursement for IBSRELA and XPHOZAH, if approved, could limit our ability to market those products and decrease our ability to generate revenue.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rely completely on third parties to manufacture IBSRELA, XPHOZAH and RDX013.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if approved and commercialized, and our development efforts for tenapanor or RDX013 may be materially harmed.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operating activities may be restricted as a result of covenants related to the indebtedness under our loan and security agreement and we may be required to repay the outstanding indebtedness in an event of default, which could have a materially adverse effect on our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spacing w:before="0" w:after="0"/>
        <w:ind w:left="0" w:right="0" w:firstLine="720"/>
        <w:jc w:val="both"/>
        <w:rPr/>
      </w:pPr>
      <w:r>
        <w:rPr/>
      </w:r>
    </w:p>
    <w:p>
      <w:pPr>
        <w:pStyle w:val="TextBody"/>
        <w:spacing w:lineRule="auto" w:line="288" w:before="0" w:after="0"/>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rFonts w:ascii="Times New Roman;sans-serif" w:hAnsi="Times New Roman;sans-serif"/>
          <w:b w:val="false"/>
          <w:color w:val="000000"/>
          <w:sz w:val="20"/>
        </w:rPr>
        <w:t>, 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 xml:space="preserve">are trademarks of Ardelyx. All other trademarks, trade names and service marks appearing in this Annual Report on Form 10-K are the property of their respective owners.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biopharmaceutical company founded with a mission to discover, develop and commercialize innovative first-in-class medicines that meet significant unmet medical needs. This includes adult patients with irritable bowel syndrome with constipation (“IBS-C”), adult patients with chronic kidney disease (“CKD”) on dialysis suffering from elevated serum phosphorus, or hyperphosphatemia; and adult patients with CKD and/or heart failure with elevated serum potassium, or hyperkalemia.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commencing operations in October 2007, substantially all our efforts have been dedicated to our research and development (“R&amp;D”) activities, including developing tenapanor and developing our proprietary drug discovery and design platform. We have not generated any revenues from product sales. As of December 31, 2021, we had an accumulated deficit of $712.9 million.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expect to continue to incur substantial operating losses for the foreseeable future as we prepare for commercialization of IBSRELA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(tenapanor) in April of this year, seek to gain approval for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(tenapanor) for the control of serum phosphorus in adult patients with CKD on dialysis; prepare for the potential commercialization of XPHOZAH, if approved; incur manufacturing and development cost for, tenapanor; and incur development costs for RDX013. To date, we have funded our operations from the sale and issuance of common stock and convertible preferred stock, funds from our collaboration partnerships, which includes license fees, milestones and product supply revenue, as well as funds from our loan agreements with our lenders.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Product Pipeline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discovery platform and deep understanding of the primary mechanism of sodium transport in the intestine resulted in our discovery and development of IBSRELA, a first-in-class, FDA approved, sodium hydrogen exchanger 3 ("NHE3") inhibitor for the treatment of IBS-C in adults. IBSRELA acts locally in the gut and is minimally absorbed. By inhibiting NHE3, IBSRELA exerts a triple action mechanism. First, it blocks dietary sodium absorption, leading to increased intestinal transit time and softer stool to address constipation. Second, it decreases intestinal permeability to reduce abdominal pain, and, third, it decreases visceral hypersensitivity to reduce abdominal pain. The triple action mechanism of IBSRELA is differentiated from existing therapies and has been shown to provide significant improvement in abdominal pain, bloating, and constipation – with a quick onset of action and sustained efficacy. In clinical trials, treatment with IBSRELA has been demonstrated to result in improved quality of life versus placebo and patient treatment satisfaction.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launch IBSRELA in the U.S. in April 2022.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IBS-C is a gastrointestinal disorder characterized by both abdominal pain and altered bowel movements, estimated to affect 11 million people in the U.S. IBS-C is associated with significantly impaired quality of life, reduced productivity, and substantial economic burden. The introduction of new agents over the last decade has led to an established prescription ("RX") treated market with 9,000 writers accounting for 50% of the RXs. Despite the active use of GCC agonist therapies, 83% of Health Care Providers ("HCPs") report a significant unmet need for new therapies, and report that approximately 35% of the patients currently under their care do not adequately respond to the available treatments. When presented with the IBSRELA product profile, 75% of HCPs respond favorably, with the efficacy profile and novel method of action rated as the most compelling aspects of the product profile.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preparation for our commercial launch of IBSRELA, we have built a commercial organization highly experienced in launching novel therapies into specialty areas. The established nature of the market, limited number of players, concentration of prescribers, recognized unmet need, and favorable response to the novel mechanism IBSRELA product profile enable a targeted promotional effort centered on the 9,000 health care providers that account for 50% of IBS-C prescriptions. Central to the go to market strategy is a highly experienced specialty sales force, many with existing relationships across their GI target base, full company engagement, and innovative peer-to-peer and digital initiatives leveraging the rapidly evolving market dynamics in how HCPs receive information and interact with industry.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a concentrated promotional focus on patients currently being managed for IBS-C by high writing HCPs - in contrast to the DTC centered, market building approach taken by the existing GCC agonists - competition for IBSRELA will come largely from the four prescription products indicated for IBS-C: Linzess (linaclotide); Amitiza (lubiprostone); Trulance (plecanatide) and Zelnorm (tegaserod). Additionally, over the counter products are commonly used to treat the constipation component of IBS-C, both alone, and in combination with the IBS-C indicated RX therapies.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Therapeutics, Inc. (“Knight”) in Canada for IBSRELA for IBS-C. Knight is currently marketing IBSRELA in Canada.</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Development Candidate XPHOZAH: A New Approach for The Control of Serum Phosphorus in Adult Patients with CKD on Dialysis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XPHOZAH is a first-in-class medicine being developed for the control of serum phosphorus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It is not a phosphate binder.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we submitted a new drug application ("NDA") to the U.S. Food and Drug Administration (“FDA”) for tenapanor for the control of serum phosphorus in adult patients with CKD on dialysis. The NDA was supported by three Phase 3 trials involving over 1,000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2021, we received a Complete Response Letter ("CRL") from the FDA’s Division of Cardiology and Nephrology (the “Division”) regarding our NDA for tenapanor for the control of serum phosphorus in adult patients with CKD on dialysis. According to the CRL, while the Division agrees “that the submitted data provide substantial evidence that tenapanor is effective in reducing serum phosphorus in adult patients with CKD on dialysis,” the Division characterizes the magnitude of the treatment effect as “small and of unclear clinical significance.” Following an End-of-Review Type A meeting (“End of Review Meeting”) in October 2021, with the Division, we submitted a Formal Dispute Resolution Request (“FDRR”) in December 2021 to the Office of Cardiology, Hematology, Endocrinology and Nephrology (“OCHEN”). The FDRR was focused on demonstrating that the data submitted in the NDA supported the clinical significance of the treatment effect of tenapanor.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4, 2022, we received an Appeal Denied Letter (“ADL”) from OCHEN. On February 18, 2022, we submitted an appeal of the ADL to the FDA’s Center for Drug Evaluation and Research, Office of New Drugs (“OND”). If accepted, we expect a decision on the appeal to the OND in April 2022. While the CRL noted that in order for the NDA to be approved, we need to conduct an additional adequate and well-controlled trial demonstrating a clinically relevant treatment effect on serum phosphorus or an effect on the clinical outcome thought to be caused by hyperphosphatemia in adult patients with CKD on dialysis, the ADL provided a potential additional path forward involving the resubmission of the NDA (without conducting an additional trial) with a number of new analyses of each of our Phase 3 clinical trials; an assessment of tenapanor’s benefits and risks; and a proposal of how to label tenapanor for prescribers. There can be no assurances that the Formal Dispute Resolution (“FDR”) process will result in approval of our NDA, or in a clear path to resubmission of our NDA that is achievable in terms of clinical endpoints, time and cost.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RDX013 Program: Small Molecule for Treating Hyperkalemia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advancing a small molecule potassium secretagogue program, RDX013, for the potential treatment of hyperkalemia.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While currently available therapies are all ion exchange agents, RDX013 is a first in class secretagogue with demonstrated proof of concept in a Phase 2 dose ranging study evaluating the safety and pharmacodynamics of RDX013 in adult patients with hyperkalemia. The next steps for RDX013 will be determined based on final analyses of the Phase 2 results, continued formulation development, and sufficient financial resources.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RDX020 Program: Small molecule for Treating Metabolic Acidosis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 Our research organization was eliminated as part of our October 2021 restructuring, and therefore, we currently expect to continue to advance this discovery program utilizing third-party resources managed by internal non-clinical expertise.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Commercial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 portfolio of novel products to address unmet medical needs across gastrointestinal and cardiorenal therapeutic areas and intend to commercialize our products in the United States. We have established a high-quality commercial organization highly experienced in bringing novel products to our customers, including patients, payors and healthcare providers. Our commercial capabilities, including marketing, access, patient services and sales are designed to support our commercialization of IBSRELA, and will enable the commercialization of XPHOZAH, if approved. We have executed ex-U.S. collaborations with established industry leaders to efficiently bring XPHOZAH for hyperphosphatemia and IBSRELA for IBS-C to adult patients in specific territories outside of the Unites States.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evaluate our strategy for the commercialization of IBSRELA and XPHOZAH in other ex-U.S. territories.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Collaboration Partners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 rights to tenapanor in the U.S. and we have established agreements with Kyowa Kirin Co., Ltd. ("KKC”) in Japan, Fosun Pharma in China and Knight in Canada for the development and commercialization of tenapanor for certain indications in their respective territories.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Knight has exclusive rights for the development, commercialization and distribution of tenapanor in Canada for hyperphosphatemia and IBS-C. In March 2021, Knight announced the commercial availability of IBSRELA in Canada, following its approval by Health Canada in April 2020. Under the terms of the agreement with Knight, we received a</w:t>
      </w:r>
      <w:r>
        <w:rPr>
          <w:color w:val="000000"/>
        </w:rPr>
        <w:t xml:space="preserve"> </w:t>
      </w:r>
      <w:r>
        <w:rPr>
          <w:rFonts w:ascii="Times New Roman;sans-serif" w:hAnsi="Times New Roman;sans-serif"/>
          <w:b w:val="false"/>
          <w:color w:val="000000"/>
          <w:sz w:val="20"/>
        </w:rPr>
        <w:t>$2.3 million nonrefundable, one-time upfront payment in March 2018 and are eligible to receive additional development and commercialization milestone payments worth up to $17.4 million. We are also eligible to receive royalties throughout the term of the agreement, and a transfer price for manufacturing services.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KKC has exclusive rights for the development, commercialization and distribution of tenapanor in Japan for cardiorenal indications. In April 2021, we announced that KKC had commenced four phase 3 clinical trials in Japan evaluating tenapanor for hyperphosphatemia. The phase 3 clinical trials consist of a multi-center, randomized, double-blind, placebo-controlled, parallel-group comparative study; a phosphate binder-combination parallel-group comparative study; an open-label, single-arm study evaluating adult hyperphosphatemia patients on peritoneal dialysis; and a long-term study evaluating serum phosphorus in adult patients who switch from one or more phosphate binders to tenapanor. KKC has publicly announced its plans to file a marketing authorization application with the Japanese Pharmaceuticals and Medical Devices Agency (“PMDA”) in the second half of 2022. Under the terms of the agreement with KKC, we received a $30.0 million upfront payment from KKC, and we may be entitled to receive up to</w:t>
      </w:r>
      <w:r>
        <w:rPr>
          <w:color w:val="000000"/>
        </w:rPr>
        <w:t xml:space="preserve"> </w:t>
      </w:r>
      <w:r>
        <w:rPr>
          <w:rFonts w:ascii="Times New Roman;sans-serif" w:hAnsi="Times New Roman;sans-serif"/>
          <w:b w:val="false"/>
          <w:color w:val="000000"/>
          <w:sz w:val="20"/>
        </w:rPr>
        <w:t>$55.0 million in total development milestones, of which $10.0 million has been received and recognized as revenue as of December 31, 2021, and approximately ¥8.5 billion for commercialization milestones, or approximately $73.9 million at the currency exchange rate on December 31, 2021, as well as high-teen royalties on net sales throughout the term of the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Fosun Pharma has exclusive rights for the development and commercialization for the development, commercialization and distribution of tenapanor in China for both hyperphosphatemia and IBS-C. Under the terms of the Fosun Agreement, we received $12.0 million in upfront license, and we may be entitled to additional development and commercialization milestones of up to $110.0 million, as well as reimbursement of cost plus a reasonable overhead for the supply of product and tiered royalties on net sales ranging from the mid-teens to 20%.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Corporate Restructurings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29, 2021, our Board of Directors approved, and on August 2, 2021, we began implementing a restructuring plan to better align our workforce and anticipated commercial and development spend with our capital resources and the needs of our business following the receipt of the CRL for tenapanor for the control of serum phosphorus in adult patients with CKD on dialysis. Under the restructuring plan, we reduced our workforce by 83 employees (approximately 33%). Impacted employees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received cash payments equal to their base pay for a notice period of sixty (60) days and Company funded COBRA premiums through such notice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conclusion of our End of Review Meeting with the FDA, in October 2021, we began to implement an additional restructuring plan to further reduce operating costs and better align our workforce with the needs of our business. Under the restructuring plan, we planned to reduce our workforce by approximately 100 of our remaining employees (approximately 60%). The impacted employees received notice that their positions would be eliminated on December 15, 2021.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2021, we announced plans to launch IBSRELA, our approved treatment for IBS-C in adults. In connection with the planned launch of IBSRELA, which we currently expect to occur in April 2022, we retained 28 of the employees whose positions were originally planned to be eliminated as part of the restructuring plan, thereby reducing the number of employees impacted by the restructuring plan to 72. The restructuring plan, which resulted in the elimination of our research organization was substantially completed in December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Employees who were impacted by the restructurings were eligible to receive severance benefits and Company funded COBRA premiums, contingent upon an impacted employee’s execution (and non-revocation, where applicable) of a separation agreement, which included a general release of claims against us. In connection with the restructurings, we have incurred restructuring charges of $6.2 million, which were recorded during the twelve months ended December 31, 2021, related to one-time employee termination benefits, including severance payments and other employee-related costs. Of these charges, $2.7 million was recorded in research and development expenses, and $3.5 million was recorded in general and administrative expense in the accompanying statements of operations and comprehensive loss. Most of the cash payments related to the reduction in workforce were disbursed during the twelve months ended December 31, 2021. We have reported the remaining estimated liability of $0.5 million as accrued compensation and benefits in our Balance Sheet as of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an Open Market Sales Agreement with Jefferies LLC, as sales agent, deemed to be “at-the-market offerings” (the "2020 Open Market Sales Agreement"). Pursuant to the 2020 Open Market Sales Agreement, Jefferies, as sales agent, received a commission of up to 3.0% of the gross sales price for shares of common stock sold under the 2020 Open Market Sales Agreement. We sold a cumulative total of 23.3 million shares and received gross proceeds of $100.0 million at a weighted average sales price of approximately $4.30 per share under the 2020 Open Market Sales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December 31, 2021, we have sold 15.7 million shares and received gross proceeds of $25.0 million at a weighted average sales price of approximately $1.60 per share under the 2021 Open Market Sales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we completed an underwritten public offering of 23.0 million shares of common stock, resulting in the receipt of aggregate gross proceeds of approximately $143.8 million, less underwriting discounts, commissions and offering expenses totaling approximately $8.9 million, which resulted in net proceeds of approximately $134.9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we enhanced our strategic partnership with KKC by entering into a Stock Purchase Agreement, pursuant to which we sold to KKC an aggregate of 2.9 million shares of our common stock for aggregate gross proceeds of approximately $20.0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cash equivalents and investments totaling $116.7 million.</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may have to participate in interference proceedings in the U.S. Patent and Trademark Office (the “USPTO”) to determine priority of invention, which would result in substantial costs to us even if the eventual outcome is favorable to us.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Tenapanor Patents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tenapanor patent portfolio is wholly owned by us. This portfolio includes five issued U.S. patents, three issued Israeli patents, two issued patents in each of European Patent Organization, Japan, Korea, Hong Kong and Mexico and one issued patent in each of the following territories: Australia, Brazil, India, and China. These issued patents cover the composition and certain methods of using tenapanor and are predicted, without extension or adjustment, to expire in December 2029. The portfolio further includes patents covering the use of tenapanor for the control of serum phosphorus that have been issued in the U.S., Europe, Japan, China, Australia, Gulf Co-op countries, Hong Kong, Israel, Korea, Mexico, New Zealand, Russia and Taiwan and is pending in other countries. These patents are predicted, without extension or adjustment, to expire in April 2034.</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U.S. and international patent applications are pending covering additional methods of treatment with tenapanor, and composition of matter and methods of using compounds that we believe may be follow on compounds to tenapanor.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Program Patents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patent applications pending in the U.S. and internationally that cover the compositions and methods of using compounds in our RDX013 program.</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relied upon third-party contract manufacturing organizations (“CMOs”) to manufacture both the active pharmaceutical ingredient and final drug product dosage forms of our potential drug candidates used as clinical trial material. We expect that we will continue to rely upon CMOs for the manufacture of commercial product for IBSRELA, our clinical trial materials and for our commercial product requirements for XPHOZAH, when and if regulatory approval is received. Our license agreements with Knight, and Fosun Pharma require us to supply final drug product dosage forms of tenapanor for their use in the development and commercialization of tenapanor in each of their respective territories. We are further obligated to supply active pharmaceutical ingredient to KKC to support their development and commercialization of tenapanor in Japan. We expect that we will use CMOs to satisfy our supply obligations to our collaboration partners.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FDA regulates drug products under the Federal Food, Drug, and Cosmetic Act (the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required by the FDA before a drug may be marketed in the United States generally involves: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completion of extensive preclinical laboratory tests, preclinical animal studies and formulation studies, some performed in accordance with the FDA’s current Good Laboratory Practice (“GLP”) regulations;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submission to the FDA of an Investigational New Drug (“IND”) application which must become effective before human clinical trials in the United States may begin;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approval by an independent institutional review board, (“IRB”) or ethics committee at each clinical trial site before each trial may be initiated;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performance of adequate and well-controlled human clinical trials in accordance with Good Clinical Practice ("GCP") regulations to establish the safety and efficacy of the drug candidate for each proposed indication;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submission to the FDA of a new drug application (“NDA”);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satisfactory completion of an FDA inspection of the manufacturing facility or facilities at which the drug is produced to assess compliance with current Good Manufacturing Practice (“cGMP”) regulations;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satisfactory completion of a potential review by an FDA advisory committee, if applicable;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FDA review and approval of the NDA prior to any commercial marketing, sale or commercial shipment of the drug.</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Additional preclinical testing may continue even after the IND is submitted. The IND automatically becomes effective 30 days after receipt by the FDA, unless the FDA, within the 30-day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clinical research performed in the United States in support of an NDA must be submitted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each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clinical investigation of a new drug is typically conducted in three or four phases, which may overlap or be combined, and generally proceed as follows.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Phase 1</w:t>
      </w:r>
      <w:r>
        <w:rPr>
          <w:rFonts w:ascii="Times New Roman;sans-serif" w:hAnsi="Times New Roman;sans-serif"/>
          <w:b w:val="false"/>
          <w:color w:val="000000"/>
          <w:sz w:val="20"/>
        </w:rPr>
        <w:t>: Clinical trials are initially conducted in a limited population of subjects to test the drug candidate for safety, dose tolerance, absorption, metabolism, distribution and excretion in healthy humans or, on occasion, in patients with severe problems or life-threatening diseases to gain an early indication of its effectiveness.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Phase 2</w:t>
      </w:r>
      <w:r>
        <w:rPr>
          <w:rFonts w:ascii="Times New Roman;sans-serif" w:hAnsi="Times New Roman;sans-serif"/>
          <w:b w:val="false"/>
          <w:color w:val="000000"/>
          <w:sz w:val="20"/>
        </w:rPr>
        <w:t>: Clinical trials are generally conducted in a limited patient population to evaluate dosage tolerance and appropriate dosage, identify possible adverse effects and safety risks, and evaluate preliminarily the efficacy of the drug for specific targeted indications in patients with the disease or condition under study.</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Phase 3</w:t>
      </w:r>
      <w:r>
        <w:rPr>
          <w:rFonts w:ascii="Times New Roman;sans-serif" w:hAnsi="Times New Roman;sans-serif"/>
          <w:b w:val="false"/>
          <w:color w:val="000000"/>
          <w:sz w:val="20"/>
        </w:rPr>
        <w:t>: Clinical trials are typically conducted when Phase 2 clinical trials demonstrate that a dose range of the 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geographically-dispersed clinical trial sites.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Phase 4</w:t>
      </w:r>
      <w:r>
        <w:rPr>
          <w:rFonts w:ascii="Times New Roman;sans-serif" w:hAnsi="Times New Roman;sans-serif"/>
          <w:b w:val="false"/>
          <w:color w:val="000000"/>
          <w:sz w:val="20"/>
        </w:rPr>
        <w:t xml:space="preserve">: In some cases, the FDA may condition approval of an NDA for a product candidate on the sponsor’s agreement to conduct additional clinical trials after NDA approval. In other cases, a sponsor may voluntarily conduct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clinical trials post approval to gain more information about the drug. Such post approval trials are typically referred to as Phase 4 clinical trials.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the IRB or the clinical trial sponsor may suspend or terminate a clinical trial at any time on various grounds, including a finding that the research subjects are being exposed to an unacceptable health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New Drug Applications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Prescription Drug User Fee Act, the FDA has a goal of responding to standard review NDAs for new molecular entities within ten months after the 60-day filing review period, or six months after the 60-day filing review period for priority review NDAs and for non-new molecular entities, within ten months of receipt of standard review NDAs and six month of receipt for priority review NDAs, but this timeframe is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approving an application, the FDA may inspect the facility or the facilities at which the finished drug product, and sometimes the active pharmaceutical ingredient (“API”) is manufactured, and will not approve the drug unless cGMP compliance is satisfactory. The FDA may also inspect the sites at which the clinical trials were conducted to assess their compliance and will not approve the drug unless compliance with GCP requirements is satisfactory.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(“REMS”) if it is determined that a REMS is necessary to ensure that the drug’s benefits outweigh its risks and a REMS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Drugs may be marketed only for the FDA approved indications and in accordance with the provisions of the approved labeling. Further, if there are any modifications to the drug, including changes in indications, labeling, or manufacturing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processes or facilities, the applicant may be required to submit and obtain FDA approval of a new NDA or NDA supplement, which may require the applicant to develop additional data or conduct additional preclinical studies and clinical trials.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Regulatory Requirements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Hatch-Waxman Act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Price Competition and Patent Term Restoration Act, or Hatch-Waxman Act, Section 505 of the FFDCA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ANDA or 505(b)(2) NDA applicant has provided a Paragraph IV certification to the FDA, the applicant must send notice of the Paragraph IV certification to the NDA holder and patent owners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a new chemical entity (“NCE”) that has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of patent invalidity or non-infringement.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specific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Fraud and Abuse Laws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research, manufacturing, distribution, sale and promotion of drug products and medical devices are potentially subject to regulation by various federal, state and local authorities in addition to the FDA, including the Centers for Medicare &amp; Medicaid Services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program, such as Medicare or Medicaid. Violations of this law are punishable by up to five years in prison, criminal fines, administrative civil money penalties, and exclusion from participation in federal healthcare programs. In addition, a person or entity does not need to have actual knowledge of the statute or specific intent to violate it in order to have committed a violation.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Penalties for a False Claims Act violation include three times the actual damages sustained by the government, plus mandatory civil penalties for each separate false claim, the potential for exclusion from participation in federal healthcare programs. As well,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laws described above, the Physician Payments Sunshine Act requires certain drug manufacturers to report payments and other transfer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Third-Party Coverage and Reimbursement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reimbursement rate will be approved. Adequate third-party reimbursement may not be available to enable us to maintain price levels sufficient to realize an appropriate return on our investment in product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increased uncertainty related to insurance coverage and reimbursement for certain drugs, like XPHOZAH, which, if approved, will be marketed for the control of serum phosphorus in adult patients with CKD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XPHOZAH and our business should XPHOZAH be brought into the bundle in 2025, or at any time, we may be unable to sell XPHOZAH,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Healthcare Reform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2010, Congress passed the Patient Protection and Affordable Care Act, a healthcare reform measure (the “ACA”). The ACA was signed into law and substantially changed the way healthcare is financed by both governmental and private insurers, and significantly impacted the pharmaceutical industry.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ACA contained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ACA: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the minimum level of Medicaid rebates payable by manufacturers of brand-name drugs from 15.1% to 23.1% of the average manufacturer price;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required collection of rebates for drugs paid by Medicaid managed care organizations;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expanded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expanded access to commercial health insurance coverage through new state-based health insurance marketplaces, or exchanges;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required manufacturers to participate in a coverage gap discount program, under which they must now agree to offer 70% point-of-sale discounts off negotiated prices of applicable brand drugs to eligible beneficiaries during their coverage gap period, as a condition for the manufacturer’s outpatient drugs to be covered under Medicare Part D;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imposed a non-deductible annual fee on pharmaceutical manufacturers or importers who sell “branded prescription drugs” to specified federal government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in the United States since the ACA was enacted. For example, in August 2011, the Budget Control Act of 2011, among other things, included aggregate reductions to Medicare payments to providers of 2% per fiscal year, which went into effect on April 1, 2013, and, due to subsequent legislative amendments, will remain in effect through 2030, with the exception of a temporary suspension from May 1, 2020 through March 31, 2022 and a 1% reduction from April 1, 2022 through June 30, 2022,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By way of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Government Price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Medicaid is a joint federal and state program for low-income and disabled beneficiaries. Medicare is a federal program covering individuals age 65 and over as well as those with certain disabilities. As a condition of having federal funds being made available for our covered drugs under Medicaid, we intend to enroll in the Medicaid Drug Rebate Program (“MDRP”), which would require us to pay a rebate to state Medicaid programs for each unit of our covered drugs dispensed to a Medicaid beneficiary and paid for by a state Medicaid program. Medicaid drug rebates are based on pricing data that we must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Manufacturers who fail to provide information timely or are found to have knowingly submitted false information to the government may be subject to civil monetary penalties and other sanctions, including termination from the MDRP.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requires that a manufacturer that participates in the MDRP also participate in the Public Health Service’s 340B drug pricing program (the “340B program”) in order for federal funds to be available for the manufacturer’s drugs under Medicaid and Medicare Part B. We intend to participate in the 340B program, which is administered by the Health Resources and Services Administration (“HRSA”), and requires us to charge statutorily defined covered entities no more than the 340B “ceiling price” for the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be eligible to have drug products paid for with federal funds under Medicaid and purchased by certain federal agencies and grantees, manufacturers must also participate in the U.S. Department of Veterans Affairs (“VA”) Federal Supply Schedule (“FSS”) pricing program. Under the VA/FSS program, manufacturers must report the Non-Federal Average Manufacturer Price (“Non-FAMP”) for their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Manufacturers must also pay rebates on products purchased by military personnel and dependents through the TRICARE retail pharmacy program. Manufacturers who fail to provide timely information or are found to have knowingly submitted false information may be subject to civil monetary penalties.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Laws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of 1996, as amended, and regulations promulgated thereunder (collectively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laws, such as the California Consumer Privacy Act (“CCPA”) and the California Privacy Rights Act (“CPRA”) govern the privacy and security of personal data, including health-related data in certain circumstances, some of which are more stringent than HIPAA and many of which differ from each other in significant ways and may not have the same effect, thus complicating compliance efforts. Further, certain foreign laws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and execute the commercial launch of IBSRELA, including our ability to hire and successfully integrate into the company the new personnel required to prepare for such launch, or our ability to pursue our appeal of the ADL issued by OHCEN following the issuance of a CRL for our NDA for tenapanor for the control of serum phosphorus in adult patients with CKD on dialysis,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“Item 1A. - Risk Factors- Risks Related to Our Business- The ongoing COVID-19 pandemic, or any other outbreak of epidemic diseases, or the perception of their effects, could have a material adverse effect on our business, financial condition,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or cash flows.” As of the date of issuance of this financial report, we are not aware of any specific event or circumstance that would require updates to our estimates and judgments or revisions to the carrying value of our assets or liabilities. These estimates may change as new events occur and additional information is obtained.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company depends on our ability to attract, retain, and further develop top talent. We plan to launch IBSRELA in April 2022 and, as a result, we are building an experienced commercial team and expanding our internal resources to support a commercial organization. During this ongoing transition and expansion of our workforce, we remain steadfastly committed to our core values, including our goal to develop and maintain an inclusive, diverse, and safe workplace with opportunities for our employees to grow and develop in their careers, supported by strong compensation and benefits.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approximately 86 full-time employees, 55 of whom were engaged directly in development and manufacturing, and 31 in marketing, sales and administrative activities. During 2021 our employee base decreased by approximately 43, or 33%, primarily as a result of our restructurings in August 2021 and October 2021.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Inclusion and Diversity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culture is supported by an unwavering commitment to inclusion and diversity. As of December 31, 2021, approximately 63% of our workforce was female; 43% of our executive leadership team was female and 56% of our employees in managerial roles were female. As of December 31, 2021, minorities represented approximately 39% of our workforce, of which 41% of our employees in managerial roles were minorities. We strive to foster a culture where mutual respect, inclusive behavior, and dignity are core to our individual expectations.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success will be significantly impacted by our ability to create and maintain a safe inclusive environment where everyone is empowered to do their best work—regardless of race, color, national origin, religion, sex, sexual orientation, gender identity and expression, age, or disability. We are united by our desire to serve our patients, and we are proud financial sponsors of the California Life Sciences Association Racial and Social Equity Initiative, a first step in a unified effort for the life sciences industry in California to do more for the under-served and under-represented, focusing on the most critical need to address the inequality for Black, Hispanic, Native American and Pacific Islander populations in California.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Core Values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Fostering and maintaining a strong, healthy culture is a key strategic focus. Our core values reflect who we are and the way our employees interact with one another, our partners and our stockholders. We are dedicated to our core values, recognizing that this dedication will foster an environment where we will be able to realize our vision of advancing patient care.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to discuss our core values with potential candidates looking to join our team. We believe that this is an important step in helping our culture stay strong and unique.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Health, Safety, and Wellness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safety, and wellness of our employees is a priority in which we have always invested, and will continue to do so. These investments and the prioritization of employee health, safety, and wellness took on particular significance in light of COVID-19. In response to the COVID-19 pandemic, we implemented significant changes that we determined were in the best interest of our employees, as well as the communities in which we operate, in compliance with government regulations. This included having the vast majority of our employees work from home. We have reopened our facilities and are currently inviting our employees to return to our facilities in the manner in which they are comfortable. We will continue to monitor infection rates and severity of disease in those communities in which are facilities are located and will continue to adopt and align our policies to focus on the health, safety and wellness of our employees, and the needs of our business.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stock awards, an Employee Stock Purchase Plan, 401(k), healthcare and insurance benefits, health savings (funded by the Company) and flexible spending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family leave, family care resources, and flexible work schedules, among many others. As a response to the COVID-19 pandemic, we implemented payments to assist employees in paying for expenses incurred in working from home.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in Delaware on October 17, 2007, under the name Nteryx and changed our name to Ardelyx, Inc. in June 2008. We operate in one business segment, which is the development and planned commercialization of biopharmaceutical products. Our principal office is located at 400 Fifth Avenue, Suite 210, Waltham, Massachusetts 02415. Our telephone number is (510) 745-1700 and our website address is www.ardelyx.com.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electronically with the Securities and Exchange Commission (“SEC”) our annual reports on Form 10-K, quarterly reports on Form 10-Q and current reports on Form 8-K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 economic environment as a result. Additional risks and uncertainties not presently known to us or that we currently deem immaterial may also impair our business operations.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have incurred significant losses since our inception and we will incur losses in the future, which makes it difficult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 </w:t>
      </w:r>
    </w:p>
    <w:p>
      <w:pPr>
        <w:pStyle w:val="TextBody"/>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profitable and have incurred losses in each year since our inception in October 2007, and we do not know whether or when we will become profitable. We continue to incur significant research, development and other expenses related to our ongoing operations. As of December 31, 2021, we had an accumulated deficit of $712.9 million.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expect to continue to incur substantial operating losses for the foreseeable future as we prepare for commercialization of IBSRELA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(tenapanor) for the treatment of irritable bowel syndrome with constipation (“IBS-C”) in April of this year, seek to gain approval for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 xml:space="preserve">(tenapanor) for the control of serum phosphorus in adult patients with chronic kidney disease (“CKD”) on dialysis (the “Hyperphosphatemia Indication”); prepare for the potential commercialization of XPHOZAH, if approved; incur manufacturing and development cost for, tenapanor; and incur development costs for RDX013.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Ernst &amp; Young LLP, our independent registered public accounting firm for the fiscal year ended December 31, 2021, has included an explanatory paragraph in their opinion that accompanies our audited financial statements as of the year ended December 31, 2021, indicating our current liquidity position raises substantial doubt about our ability to continue as a going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concern. We plan to address our operating cash flow requirements with our current cash and investments, cash generated from the product launch of IBSRELA, our potential receipt of anticipated milestone payments from our collaboration partners, our ability to access the capital markets, as well as through the implementation of cash preservation activities to reduce or defer discretionary spending.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our liquidity, financial condition and business prospects will be materially affected. </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require substantial additional financing to achieve our goals, including our goals of commercializing IBSRELA beginning in April 2022 and pursuing a formal dispute resolution ("FDR") process in response to the Complete Response Letter (“CRL”) received from the U.S. Food and Drug Administration (“FDA”) relating to our New Drug Application (“NDA”) for tenapanor for the Hyperphosphatemia Indication and the inability to access necessary capital when needed on acceptable terms, or at all, could force us to delay, limit, reduce or terminate our efforts to commercialize IBSRELA or to seek and obtain approval for tenapanor for the Hyperphosphatemia Indication.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most of our resources have been dedicated to our research and development activities, including developing tenapanor and developing our proprietary drug discovery and design platform. Following the receipt of the CRL, we implemented two restructuring plans in order to reduce operating costs and to better align our workforce with the needs of our business. Notwithstanding the restructurings, we believe that we will continue to expend substantial resources for the foreseeable future, including, costs associated with our efforts to commercialize IBSRELA commencing in April 2022, cost associated with our efforts to pursue approval for our NDA for tenapanor for the Hyperphosphatemia Indication through the FDR process; conducting pediatric clinical trials for IBSRELA and XPHOZAH, if approved, development of RDX013; and manufacturing for IBSRELA and RDX013. Our future funding requirements will depend on many factors,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we are successful in our efforts under the FDR process to secure approval for our NDA for tenapanor for the Hyperphosphatemia Indication, or to reach resolution with the FDA regarding a path to address the deficiencies in the NDA noted in the CRL and ADL, and the time and cost associated with such path;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sales price and the availability of adequate third-party reimbursement for IBSRELA and XPHOZAH, if approved;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manufacturing costs of IBSRELA and XPHOZAH;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selling and marketing costs associated with IBSRELA and XPHOZAH, if approved;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sales of, or royalties on, tenapanor,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cash requirements of any future acquisitions or discovery of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clinical trials we are required to or decide to pursue for tenapanor or RDX013;</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in February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delay, limit, reduce or terminate our commercialization of IBSRELA, our efforts to secure approval for XPHOZAH for the hyperphosphatemia indication, or clinical trials for tenapanor or RDX013.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IBSRELA or XPHOZAH through the use of alternative structures.</w:t>
      </w:r>
    </w:p>
    <w:p>
      <w:pPr>
        <w:pStyle w:val="TextBody"/>
        <w:spacing w:before="0" w:after="0"/>
        <w:jc w:val="both"/>
        <w:rPr/>
      </w:pPr>
      <w:r>
        <w:rPr/>
      </w:r>
    </w:p>
    <w:p>
      <w:pPr>
        <w:pStyle w:val="TextBody"/>
        <w:spacing w:lineRule="auto" w:line="288" w:before="0" w:after="0"/>
        <w:rPr/>
      </w:pPr>
      <w:r>
        <w:rPr>
          <w:rFonts w:ascii="Times New Roman;sans-serif" w:hAnsi="Times New Roman;sans-serif"/>
          <w:b/>
          <w:i/>
          <w:color w:val="000000"/>
          <w:sz w:val="20"/>
        </w:rPr>
        <w:t>Our failure to meet the continued listing requirements of The Nasdaq Global Market could result in a de-listing of our common stock</w:t>
      </w:r>
      <w:r>
        <w:rPr>
          <w:rFonts w:ascii="Times New Roman;sans-serif" w:hAnsi="Times New Roman;sans-serif"/>
          <w:b w:val="false"/>
          <w:color w:val="000000"/>
          <w:sz w:val="2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satisfy the continued listing requirements of The Nasdaq Global Market ("Nasdaq") such as the minimum stockholders’ equity requirement or the minimum closing bid price requirement, Nasdaq may take steps to de-list our common stock. For example, on February 28, 2022 we received a letter from Nasdaq indicating that Nasdaq had determined that we had failed to comply with the minimum bid price requirement of Nasdaq Listing Rule 5550(a)(2). Nasdaq Listing Rule 5550(a)(2) requires that companies listed on the Nasdaq Global Market maintain a minimum closing bid price of at least $1.00 per share. In accordance with Nasdaq Listing Rule 5810(c)(3)(A), we have been provided with a period of 180 calendar days, or until August 29, 2022, to regain compliance with the minimum bid price requirement. We are monitoring the bid price of our common stock and will consider options available to us to achieve compliance. If we fail to maintain compliance with this requirement, or any other of the continued listing requirements of The Nasdaq Global Market, Nasdaq may take steps to de-list our common stock.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Nasdaq de-lists our securities for trading on the Nasdaq or takes other actions with respect to our Nasdaq listing, we could face significant adverse consequences, including:</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a limited availability of market quotations for our common stock;</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reduced liquidity with respect to our common stock;</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reduced trading volume in and market price of our common stock;</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a limited amount of news and analyst coverage for our company; and</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a decreased ability to issue additional securities or obtain additional financing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a de-listing would likely have an adverse effect on the price of our common stock and would impair your ability to sell or purchase our common stock when you wish to do so. We may take actions to avoid such a de-listing or in the event of a de-listing, we may take actions to restore our compliance with Nasdaq’s listing requirements, but we can provide no assurance that any such action taken by us would allow our common stock to remain listed or to become listed again, stabilize the market price or improve the liquidity or trading volume of our common stock, prevent our common capitalization and stockholder’s equity from dropping below the Nasdaq minimum requirements, or prevent other future non-compliance with Nasdaq’s continued listing requirements.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never generated any revenue from product sales and may never be profitable.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FDA approval for our NDA for tenapanor for the treatment of IBS-C in adults in September 2019, and we currently expect to launch IBSRELA in April 2022. We have no other products approved for sale and have received a CRL from the FDA for our NDA for the Hyperphosphatemia Indication and an Appeal Denied Letter (“ADL”) in response to our appeal of the CRL to the FDA Office of Cardiology, Hematology, Endocrinology and Nephrology (“OCHEN”). There can be no assurances that our NDA for tenapanor for the Hyperphosphatemia Indication will be approved for such indication or any other related indication. We have never generated any revenue from product sales. Our ability to generate revenue from product sales and achieve profitability depends on our ability to successfully commercialize IBSRELA; obtain approval by the FDA for the Hyperphosphatemia Indication, and subsequently successfully commercialize XPHOZAH for the Hyperphosphatemia Indication; and the ability of our collaboration partners to obtain regulatory approval to market tenapanor in their respective territories. There can be no assurances that we will generate sufficient product revenue from sales of IBSRELA and, if approved, XPHOZAH, to cover our expenses. Our ability to generate product revenue from sales or pursuant to milestone payments depends heavily on many factors,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successfully commercialize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obtaining market acceptance of IBSRELA as a viable treatment option for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we are successful in our efforts under the FDR process to secure approval for our NDA for tenapanor for the Hyperphosphatemia Indication, or whether we are able during the FDR to reach resolution with the FDA regarding a path to addressing the deficiencies in our NDA noted in the CRL and ADL that is achievable in terms of clinical study design, time and cost;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if approved,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commercialization of IBSRELA, and if we are successful in obtaining regulatory approval to market XPHOZAH, our revenue will be dependent, in part, upon the size of the markets in the U.S. and the label for which approval is or was granted, accepted price for the product, the ability to get reimbursement at any price. While there is significant uncertainty related to the insurance coverage and reimbursement of newly approved products in general in the United States, there is additional uncertainty related to insurance coverage and reimbursement for drugs, like XPHOZAH, which, if approved, will be marketed for the control of serum phosphorus in adult patients with CKD on dialysis or for another other related indication. If we are successful in obtaining regulatory approval to market XPHOZAH for such indication, our ability to generate and sustain future revenues from sales of tenapanor for such indication, may be dependent upon whether and when XPHOZAH,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IBSRELA or XPHOZAH, if approved, could limit our ability to market those products and decrease our ability to generate revenue” below. Additionally, if the number of adult patients for IBSRELA or XPHOZAH, if approved, is not as significant as we estimate, the indication approved by regulatory authorities for XPHOZAH is narrower than we expect, coverage and reimbursement for either IBSRELA or XPHOZAH, if approved, are not available in the manner and to the extent we expect, or the reasonably accepted population for treatment is narrowed by competition, physician choice or treatment guidelines, we may not generate significant revenue from the sale of IBSRELA or XPHOZAH, if approved.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announced plans to launch IBSRELA, our approved treatment for IBS-C in adults. We are investing a significant portion of our efforts and financial resources to prepare for and fund the commercialization of IBSRELA, which we currently expect to commence in April 2022. Our ability to successfully launch IBSRELA, and the overall commercial success of IBSRELA will depend on a number of factors, including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launch and market demand for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size of the treatable patient population;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effectiveness of our sales, market access and marketing efforts;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adoption of IBSRELA by physicians for the treatment of IBS-C, depends upon whether physicians view IBSRELA as a safe and effective treatment for adult patients with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availability, perceived advantages, relative cost, relative safety and relative efficacy of IBSRELA compared to alternative and competing treatments; and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IBSRELA;</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 to achieve revenue from the commercialization of IBSRELA and the amount of such potential revenue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for would adversely affect our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success is also dependent upon our ability to obtain regulatory approval for tenapanor for the control of serum phosphorus in adult patients with CKD on dialysis, and there can be no assurances that we will be successful in obtaining such regulatory approval.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is also dependent upon our ability to obtain regulatory approval for tenapanor for the control of serum phosphorus in adult patients with CKD on dialysis. To date, we have invested a significant amount of our efforts and financial resources in the research and development of tenapanor for the control of serum phosphorus in adult patients with CKD on dialysis. On July 28, 2021, we received a CRL from the’FDA's Division of Cardiology and Nephrology (the “Division”) regarding our NDA for tenapanor for the control of serum phosphorus in adult patients with CKD on dialysis. According to the CRL, the FDA has determined that the magnitude of the treatment effect observed in our Phase 3 clinical trials was small and of unclear of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On February 4, 2022, we received an ADL from OCHEN. On February 18, 2022, we submitted an appeal of the ADL to the FDA’s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Center for Drug Evaluation and Research, Office of New Drugs (“OND”). If accepted, we expect a decision on the appeal to the OND in April 2022. There can be no assurances that the Formal Dispute Resolution (“FDR”) process will result in approval of our NDA, or in a clear path to resubmission of our NDA that is achievable in terms of clinical study design, time and cost. As a result, the regulatory approval process for our NDA is highly uncertain. We may not obtain approval at all, and if we are able to obtain approval, the expense and time to do so could adversely impact our ability to successfully commercialize XPHOZAH, our business and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Even if we are successful in obtaining regulatory approval for tenapanor for control of serum phosphorus in adult patients with CKD on dialysis, the expense and time required to do so could adversely impact our ability to successfully commercialize XPHOZAH for the Hyperphosphatemia Indication.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obtaining approval for tenapanor for the Hyperphosphatemia Indication, and if we are able to obtain approval, the expense and time to do so could adversely impact our ability to successfully commercialize XPHOZAH for the Hyperphosphatemia Indication, our business and our results of operations. If we are successful in obtaining approval for XPHOZAH for the Hyperphosphatemia Indication, the commercial success of XPHOZAH will depend on a number of factors, including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both IBSRELA and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or not the content and breadth of the label approved by the FDA for XPHOZAH may materially and adversely impact our ability to commercialize the product for the approved indication;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whether or when XPHOZAH, along with other oral end-stage renal disease (“ESRD”) related drugs without an injectable or intravenous equivalent, are bundled into the ESRD prospective payment system, and the manner in which such introduction into the ESRD prospective payment system may occur;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acceptance of XPHOZAH as safe, effective and well-tolerated by patients and the medical community, and, the extent to which the issuance of a CRL by the FDA has impacted the potential acceptance of XPHOZAH as safe, effective and well-tolerated;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the same product at different doses for separate indications;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 continued acceptable safety and tolerability profile of XPHOZAH following approval.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IBSRELA, and/or XPHOZAH, if approved and commercialized, may cause undesirable side effects or have other properties that could limit the commercial success of the product.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XPHOZAH, if approved, could cause us or regulatory authorities to interrupt, delay or halt the commercialization of the product. To date, the most common adverse reactions reported in at least 2% of patients in IBSRELA-treated patients and at an incidence greater than placebo in the two Phase 3 trials include: diarrhea, abdominal distension, flatulence and dizziness. Despite our receipt of marketing approval for IBSRELA and the completion of our Phase 3 clinical program for XPHOZAH, the prevalence and/or severity of these or other side effects could result in a number of potentially significant negative consequences could occur,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product may become less competitive;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reputation may suffer.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XPHOZAH, if approved, and could result in the loss of significant revenue to us, which would materially and adversely affect our results of operations and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no prior experience in the marketing, sale and distribution of pharmaceutical products; and there are significant risks in building and managing a commercial organization.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receipt of the CRL for our NDA for the Hyperphosphatemia Indication, we had made significant progress in the establishment of our sales, marketing, and access organizations. Many members of those teams had their positions eliminated by our restructuring plans adopted in August and October 2021. In November 2021, we announced our plans to commercialize IBSRELA and commenced our efforts to rebuild the critical components of the sales, marketing and access teams aligned to the IBSRELA commercial opportunity. As a company, we have no prior experience in building and managing a commercial organization, or in the marketing, sale and distribution of pharmaceutical products. There can be no assurances that we will be successful in our efforts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or are delayed in the development of our internal sales, marketing and distribution capabilities, we may need to delay the commercialization of IBSRELA, or commercialization could be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activities may be restricted as a result of covenants related to the indebtedness under our loan and security agreement and we may be required to repay the outstanding indebtedness in an event of default, which could have a materially adverse effect on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we entered into a loan and security agreement with SLR Investment Corp. (the “Lender”) pursuant to which the Lender agreed to provide us a $50.0 million term loan facility with a maturity date of March 1, 2027. The loan was funded in the amount of $27.5 million on February 23, 2022 and the remaining $22.5 million may be funded upon the satisfaction of both of the following conditions precedent to funding (i) receipt from the FDA of approval of the NDA for tenapanor for the Hyperphosphatemia Indication on or prior to December 31, 2022 and (ii) our achievement of a minimum of $30.0 million in net product revenue calculated on a trailing six month basis.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permitted to make interest only payments on the loan facility through March 2024, with principal repayments commencing on April 1, 2024, however, we may be required to repay the outstanding indebtedness under the loan facility if an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activities necessary to commercialize IBSRELA, and/or if approved, XPHOZAH, clinical trials for tenapanor or RDX013,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XPHOZAH, if approved, could limit our ability to market those products and decrease our ability to generate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if approved, must be adequate to support a commercial infrastructure. The availability and adequacy of coverage and reimbursement by governmental and private payors are essential for most patients to be able to afford treatments. Sales of IBSRELA, and XPHOZAH, if approved and commercialized,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if approved. Even if coverage is provided, the approved reimbursement amount may not be high enough to allow us to establish or maintain pricing sufficient to realize a return on our investment.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increased uncertainty related to insurance coverage and reimbursement for drugs, like XPHOZAH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for the Hyperphosphatemia Indication, if approved, to dialysis providers on a profitable basis if third-party payors reduce their current levels of payment, or if our costs of production are higher than levels necessary for an appropriate gross margin after payment of all discounts, rebates and chargebacks.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if approved and commercialized,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completely on third parties to manufacture IBSRELA, XPHOZAH and RDX013.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if approved and commercialized, and our development efforts for tenapanor and RDX013 may be materially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if approved, may be materially harmed.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Clinical drug development involves a lengthy and expensive process with an uncertain outcome and the results of earlier studies and trials may not be predictive of future trial results.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including RDX013,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indications that we are pursuing due to lack of efficacy or adverse safety profiles, notwithstanding promising results in earlier studies, and we cannot be certain that we will not face similar setbacks.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encounter delays in our future development of RDX013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identifying and qualifying patients to participate in our RDX013 clinical trials is critical to the success of the clinical trials. The timing of our clinical trials depends,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RDX013 clinical trials may be delayed. These delays could result in increased costs, delays in advancing our development of RDX013, or termination of the clinical studies altogether. Any of these occurrences may significantly harm our business, financial condition and prospects.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w:t>
      </w:r>
    </w:p>
    <w:p>
      <w:pPr>
        <w:pStyle w:val="TextBody"/>
        <w:spacing w:lineRule="auto" w:line="288" w:before="240" w:after="283"/>
        <w:jc w:val="both"/>
        <w:rPr/>
      </w:pPr>
      <w:r>
        <w:rPr>
          <w:rFonts w:ascii="Times New Roman;sans-serif" w:hAnsi="Times New Roman;sans-serif"/>
          <w:b/>
          <w:i/>
          <w:color w:val="000000"/>
          <w:sz w:val="20"/>
        </w:rPr>
        <w:t>We face substantial competition, and our competitors may discover, develop or commercialize products faster or more successfully than us.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as Ducolax), docusate sodium (such as Colace), magnesium hydroxide (such as Milk of Magnesia), saline enemas (such as Fleet), and sorbitol. These agents are generally inexpensive and work well to temporarily relieve constipation.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aware of four prescription products marketed for certain patients with IBS-C, including Linzess (linaclotide), Amitiza (lubiprostone), Trulance (plecanatide) and Zelnorm (tegaserod maleate).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XPHOZAH, if approved for the Hyperphosphatemia Indication will compete with phosphate binders used for the same or similar indication`. If approved, our label for XPHOZAH may include data comparing the effectiveness of tenapanor to phosphate binders used for the same indication. The various types of phosphate binders commercialized in the United States include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Calcium carbonate (many over-the-counter brands including Tums and Caltrate);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Calcium acetate (several prescription brands including PhosLo and Phoslyra);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Lanthanum carbonate (Fosrenol);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Sevelamer hydrochloride (Renagel);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Sevelamer carbonate (Renvela);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Sucroferric oxyhydroxide (Velphoro);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Ferric citrate (Auryxia).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experience difficulties in managing our current activities and growth given our level of managerial, operational, financial and other resources.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any commercialization activities in which we may engage effectively;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our clinical trials effectively;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retain and motivate our remaining employees and potentially identify, recruit, and integrate additional employees.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maintain or expand our managerial, operational, financial and other resources to the extent required to manage our development and commercialization activities, our business will be materially adversely affected.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product liability lawsuits are brought against us, we may incur substantial liabilities and may be required to limit commercialization of IBSRELA, and/or XPHOZAH, if approved.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will face an even greater risk following the commercial launch of IBSRELA in April 2022.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decreased demand for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inability to commercialize or co-promote our IBSRELA, and/or XPHOZAH, if approved.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attract, retain and motivate our executives, senior management and key personnel, our business will suffer.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development programs, and/or of our efforts to commercialize tenapanor for the control of serum phosphorus in adult patients with CKD on dialysis or for another other related indication,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 exposed to a risk of loss or litigation and potential liability, which could materially adversely affect our business,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formed in the past, and may form in the future, collaboration partnerships, joint ventures and/or licensing arrangements, and we may not realize the benefits of such collaborations.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are pursuing an appeal through the FDR process, there can be no assurances that we will be successful in obtaining approval for tenapanor for the Hyperphosphatemia Indication. Even if we are successful in obtaining approval for the NDA, the delay in obtaining such approval may result in delay in the regulatory process for our partners, which could have a material adverse effect on our business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ongoing COVID-19 pandemic, or any other outbreak of epidemic diseases, or the perception of their effects, could have a material adverse effect on our business, financial condition, results of operations or cash flows.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and health conditions related to the COVID-19 pandemic in the United States and across most of the globe remain uncertain and continue to evolve.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could also materially and negatively impact our ability to successfully commercialize IBSRELA, and/or XPHOZAH, if approved,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FDA and comparable foreign regulatory agencies may continue to experience operational interruptions or delays, which may impact timelines for regulatory submission, trial initiation and regulatory approval.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or business disruptions.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engage in strategic transactions that could impact our liquidity, increase our expenses and present significant distractions to our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our continued efforts to seek approval for our NDA for tenapanor for the Hyperphosphatemia Indication and/or the development of RDX013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higher-than-expected acquisition and integration costs;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write-downs of assets or goodwill or impairment charges;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inability to retain key employees of any acquired businesses.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differing United States and foreign drug import and export rules;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different reimbursement systems, and different competitive drugs;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United States;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business interruptions resulting from geopolitical actions, including war and terrorism, or natural disasters.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involves the use of hazardous materials and we and third-parties with whom we contract must comply with environmental laws and regulations, which can be expensive and restrict how we do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adversely affected by earthquakes or other natural disasters and our business continuity and disaster recovery plans may not adequately protect us from a serious disaster.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Despite having received regulatory approval for IBSRELA, and even if we receive regulatory approval for XPHOZAH, we will be subject to ongoing regulatory obligations and continued regulatory review, which may result in significant additional expense. Additionally, IBSRELA, and XPHOZAH, if approved, could be subject to other restrictions and market withdrawal, and we may be subject to penalties if we fail to comply with regulatory requirements or experience unanticipated problems with our products.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warning or untitled letters, fines or holds on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suspension or revocation of existing regulatory approvals;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suspension of any of our ongoing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restrictions on our or our contract manufacturers’ operations; or</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product seizure or detention, or refusal to permit the import or export of products.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approved. If regulatory sanctions are applied or if regulatory approval is withdrawn, the value of our company and our operating results will be adversely affected.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cannot predict the likelihood, nature or extent of government regulation that may arise from future legislation or administrative or executive action, either in the United States or abroad.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contract manufacturers are subject to significant regulation with respect to manufacturing our IBSRELA and XPHOZAH. The manufacturing facilities on which we rely may not continue to meet regulatory requirements or may not be able to meet supply demands.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entities involved in the preparation of product for commercial sale, or product candidates for clinical trials, including our existing contract manufacturers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or are found to have failed to comply with FDA and other regulations related to the promotion of our products for unapproved uses, we could be subject to criminal penalties, substantial fines or other sanctions and damage awards.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relating to the promotion of products for unapproved uses are complex and subject to substantial interpretation by the FDA and other government agencies. With respect to the commercialization of IBSRELA and/or XPHOZAH, if approved,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In preparation for the commercial launch of IBSRELA,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IBSRELA and/or XPHOZAH, if approved, may cause or contribute to adverse medical events that we are required to report to regulatory agencies and if we fail to do so we could be subject to sanctions that would materially harm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participants in clinical studies of tenapanor have reported adverse effects after being treated with tenapanor, including diarrhea, abdominal distension, flatulence and dizziness.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principal investigators, CROs, collaboration partners, consultants and vendors may engage in misconduct or other improper activities, including noncompliance with regulatory standards and requirements.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obtain regulatory approvals in foreign jurisdictions would prevent us from marketing our products internationally.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the EMA or the competent authorities of the Member States of the EEA make an assessment of the risk-benefit balance of the product on the basis of scientific criteria concerning its quality, safety and efficacy.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collaboration partners may be subject to healthcare laws, regulation and enforcement; our failure or the failure of any such collaboration partners to comply with these laws could have a material adverse effect on our results of operations and financial conditions.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our commercial introduction of IBSRELA, and the regulatory approval by a foreign government and the commercial introduction of any either IBSRELA or XPHOZAH by our collaboration partner in such jurisdiction,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physician sunshine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state laws that require drug manufacturers to report information related to payments and other transfers of value to physicians and other healthcare providers or pricing information and marketing expenditures; and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European and other foreign law equivalents of each of the laws, including reporting requirements detailing interactions with and payments to healthcare providers.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Legislative or regulatory healthcare reforms in the United States may make it more difficult and costly for us to obtain regulatory clearance or approval of our product candidates and to produce, market and distribute our products after clearance or approval is obtained.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to manufacturing methods;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additional record keeping.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March 31, 2022 and a 1% reduction from April 1, 2022 through June 30,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By way of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Following the commercial launch of IBSRELA, 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pStyle w:val="TextBody"/>
        <w:spacing w:before="0" w:after="0"/>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commercial launch of IBSRELA, we intend to participate in the Medicaid Drug Rebate Program ("MDRP") and other federal and state government pricing programs in the United States,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 </w:t>
      </w:r>
    </w:p>
    <w:p>
      <w:pPr>
        <w:pStyle w:val="TextBody"/>
        <w:spacing w:before="0" w:after="0"/>
        <w:ind w:left="0" w:right="0" w:firstLine="560"/>
        <w:jc w:val="both"/>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requires that a manufacturer that participates in the MDRP also participate in the Public Health Service’s 340B drug pricing program (the “340B program”) in order for federal funds to be available for the manufacturer’s drugs under Medicaid. We intend to participate in the 340B program, which is administered by the Health Resources and Services Administration (“HRSA”), and requires us to charge statutorily defined covered entities no more than the 340B “ceiling price” for the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will be obligated to report 340B ceiling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 </w:t>
      </w:r>
    </w:p>
    <w:p>
      <w:pPr>
        <w:pStyle w:val="TextBody"/>
        <w:spacing w:before="0" w:after="0"/>
        <w:ind w:left="0" w:right="0" w:firstLine="560"/>
        <w:jc w:val="both"/>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be eligible to have drug products paid for with federal funds under Medicaid and purchased by certain federal agencies and grantees, we also must participate in the U.S. Department of Veterans Affairs (“VA”) Federal Supply Schedule (“FSS”) pricing program. Under the VA/FSS program, we will become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will also be required to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spacing w:before="0" w:after="0"/>
        <w:jc w:val="both"/>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We cannot assure you that our submissions will not be found to be incomplete or incorrect.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will depend on our ability to obtain, maintain and protect our intellectual property rights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rights. We may not be able to obtain, maintain and/or enforce our intellectual property or other proprietary rights necessary to our business or in a form that provides us with a competitive advantage.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in part on our portfolio of issued and pending patent applications in the United States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and technology. In addition, we may need the cooperation of any such co-owners of our patents in order to enforce such patents against third parties, and such cooperation may not be provided to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challenged patents will be found to ultimately be valid and enforceable;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become subject to third party claims alleging infringement, misappropriation or violation of such third parties’ patents or other intellectual property rights and/or third party claims seeking to invalidate our patents, which would be costly, time consuming and, if successfully asserted against us, delay or prevent the development, manufacture or commercialization of our products or product candidates.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litigate and would divert management’s attention from our core business. Any of these events could harm our business significantly.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infringement claims against us, third parties may also raise similar claims before administrative bodies in the United States or abroad. Such mechanisms include reexamination, post grant review, inter parties review, derivation or opposition proceedings before the United States Patent and Trademark Office (the “USPTO”) or other jurisdictional body relating to our intellectual property rights or the intellectual property rights of others.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intellectual property related to IBSRELA, XPHOZAH, RDX013 or any future product candidates is not adequate or if we are not able to successfully enforce our intellectual property right, the commercial value of IBSRELA, or our product candidates may be adversely affected and we may not be able to compete effectively in our market.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if we encounter delays in our clinical trials, the period of time during which we or our collaboration partners could market RDX013 or any future product candidates under patent protection would be reduced.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United States, defendant counterclaims alleging invalidity and/or unenforceability are commonplace. Grounds for a validity challenge could be an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obtain patent term extension in the United States under the Hatch-Waxman Act and in foreign countries under similar legislation, thereby potentially extending the term of marketing exclusivity for IBSRELA or our product candidates, our business may be materially harmed.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relevant jurisdiction. In such an event, competitors might be able to enter the market earlier than would otherwise have been the case.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enforce our intellectual property rights throughout the world.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we or our employees have misappropriated the intellectual property, including know-how or trade secrets, of a third party, or claiming ownership of what we regard as our own intellectual property.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and our stockholders may not be able to resell shares of our common stock at or above the price they paid.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 launch of IBSRELA in April 2022;</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of regulatory decisions regarding our NDA seeking marketing approval for tenapanor for the Hyperphosphatemia Indication;</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announcements regarding any potential receipt from Nasdaq of notice regarding a de-listing of our common stock;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results of regulatory inspections of our facilities or those of our contract manufacturing organizations, or specific label restrictions or patient populations for XPHOZAH’s use, if approved, or changes or delays in the regulatory review process;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regarding whether XPHOZAH, if approved, alone or with other oral only medications, will be included in the bundled prospective payment system for the treatment of ESRD patients, and the time and manner in which such transition is achieved;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regarding results from our RDX013 Phase 2 clinical trial;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of therapeutic innovations or new products by us or our competitors;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testing and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failure to meet any of our projected timelines or goals with regard to the commercial launch of IBSRELA, or the clinical development and commercialization of any of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achievement of expected product sales and profitability;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manufacture, supply or distribution shortages;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FDA or other U.S. or foreign regulatory actions affecting us or our industry or other healthcare reform measures in the United States;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of debt securities and sales or licensing of assets;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and market conditions and overall fluctuations in the United States equity markets;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loss of any of our key scientific or management personnel.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lawsuit and the attention of our management would be diverted from the operation of our business, which could seriously harm our financial position. Any adverse determination in litigation could also subject us to significant liabilities.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principal stockholders own a significant percentage of our stock and, together with our management, will be able to exert significant control over matters subject to stockholder approval.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number of shares outstanding as of December 31, 2021, our officers, directors and stockholders who hold at least 5% of our stock together beneficially own approximately 17.6%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shares of our common stock in the public market could cause our stock price to fall.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existing stockholders sell, or indicate an intention to sell, substantial amounts of our common stock in the public market, the trading price of our common stock could decline. As of December 31, 2021, we had approximately 130.2 million shares of common stock outstanding. Of those shares, approximately 18.7 million were held by current directors, executive officers and stockholders owning 5% or more of our outstanding common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3.5 million shares of common stock issuable upon vesting of outstanding restricted stock units and approximately 10.4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sell shares of our common stock in future financings, stockholders may experience immediate dilution and, as a result, our stock price may decline.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Section 404 of The Sarbanes-Oxley Act of 2002 (“Section 404”) and the related rules of the Securities and Exchange Commission (“SEC”) which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adversely affected by the global economic environment.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charter documents and under Delaware law could discourage a takeover that stockholders may consider favorable and may lead to entrenchment of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provisions would apply even if we were to receive an offer that some stockholders may consider beneficial.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may, in our discretion, indemnify employees and agents in those circumstances where indemnification is permitted by applicable law.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may not retroactively amend our amended and restated bylaw provisions to reduce our indemnification obligations to directors, officers, employees and agents.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currently intend to pay dividends on our common stock, and, consequently, our stockholders’ ability to achieve a return on their investment will depend on appreciation in the price of our common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United Kingdom’s withdrawal from the European Union may have a negative effect on global economic conditions, financial markets and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headquarters is currently located in Waltham, Massachusetts consisting of 12,864 square feet of leased office space under a lease agreement that expires in June 2026. In addition, we lease 72,500 square feet of office and laboratory space in Fremont, California under a lease agreement that expires in March 2025 and 4,768 square feet of office space in Milwaukee, Wisconsin under a lease agreement that expires in February 2026. Prior to October 2021, our headquarters were co-located in Fremont, California and Waltham, Massachusetts.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2021, a putative securities class action lawsuit was commenced in the U.S. District Court for the Northern District of California naming as defendants Ardelyx and two current officers. The complaint alleges that the defendants violated Sections 10(b) and 20(a) of the Securities Exchange Act of 1934, as amended, and Rule 10b-5 thereunder, by making false and misleading statements and omissions of material fact related to tenapanor. The plaintiff seeks to represent all persons who purchased or otherwise acquired Ardelyx securities between August 6, 2020, and July 19, 2021. The plaintiff seeks damages and interest, and an award of costs, including attorneys’ fees. We believe the plaintiff’s claims are without merit and we have not recorded any accrual for a contingent liability associated with these legal proceedings.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We believe that as of December 31, 2021, there is no litigation pending that would reasonably be expected to have a material adverse effect on our results of operations and financial condition, and no contingent liabilities were accrued as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19, 2014, our common stock commenced trading on The Nasdaq Global Market under the symbol “ARDX”. Prior to that date, there was no public trading market for our common stock. As of December 31, 2021, there were 30 holders of record of our common stock.</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currently intend to retain any future earnings to finance the growth and development of our business.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will be incorporated by reference to the information set forth in the sections titled “Executive Compensation” in our Proxy Statement.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6.</w:t>
      </w:r>
    </w:p>
    <w:p>
      <w:pPr>
        <w:pStyle w:val="TextBody"/>
        <w:spacing w:lineRule="auto" w:line="288" w:before="240" w:after="283"/>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40" w:after="283"/>
        <w:jc w:val="both"/>
        <w:rPr/>
      </w:pPr>
      <w:r>
        <w:rPr>
          <w:rFonts w:ascii="Times New Roman;sans-serif" w:hAnsi="Times New Roman;sans-serif"/>
          <w:b w:val="false"/>
          <w:i/>
          <w:color w:val="000000"/>
          <w:sz w:val="20"/>
        </w:rPr>
        <w:t>You should read the following discussion and analysis of our financial condition and results of operations in conjunction with our financial statements and related notes included elsewhere in this report. This discussion and other parts of this report contain forward-looking statements that involve risk and uncertainties, such as statements of our plans, objectives, expectations</w:t>
      </w:r>
      <w:r>
        <w:rPr>
          <w:color w:val="000000"/>
        </w:rPr>
        <w:t xml:space="preserve"> </w:t>
      </w:r>
      <w:r>
        <w:rPr>
          <w:rFonts w:ascii="Times New Roman;sans-serif" w:hAnsi="Times New Roman;sans-serif"/>
          <w:b w:val="false"/>
          <w:i/>
          <w:color w:val="000000"/>
          <w:sz w:val="20"/>
        </w:rPr>
        <w:t>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Times New Roman;sans-serif" w:hAnsi="Times New Roman;sans-serif"/>
          <w:b w:val="false"/>
          <w:color w:val="000000"/>
          <w:sz w:val="20"/>
        </w:rPr>
        <w:t xml:space="preserve">. ” </w:t>
      </w:r>
      <w:r>
        <w:rPr>
          <w:rFonts w:ascii="Times New Roman;sans-serif" w:hAnsi="Times New Roman;sans-serif"/>
          <w:b w:val="false"/>
          <w:i/>
          <w:color w:val="000000"/>
          <w:sz w:val="20"/>
        </w:rPr>
        <w:t>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biopharmaceutical company founded with a mission to discover, develop and commercialize innovative first-in-class medicines that meet significant unmet medical needs. This includes adult patients with irritable bowel syndrome with constipation (“IBS-C”), adult patients with chronic kidney disease (“CKD”) on dialysis suffering from elevated serum phosphorus, or hyperphosphatemia; and adult patients with CKD and/or heart failure with elevated serum potassium, or hyperkalemia.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commencing operations in October 2007, substantially all our efforts have been dedicated to our research and development (“R&amp;D”) activities, including developing tenapanor and developing our proprietary drug discovery and design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platform. We have not generated any revenues from product sales. As of December 31, 2021, we had an accumulated deficit of $712.9 million.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expect to continue to incur substantial operating losses for the foreseeable future as we prepare for commercialization of IBSRELA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(tenapanor) in April of this year, seek to gain approval for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(tenapanor) for the control of serum phosphorus in adult patients with CKD on dialysis; prepare for the potential commercialization of XPHOZAH, if approved; incur manufacturing and development cost for, tenapanor; and incur development costs for RDX013. To date, we have funded our operations from the sale and issuance of common stock and convertible preferred stock, funds from our collaboration partnerships, which includes license fees, milestones and product supply revenue, as well as funds from our loan agreements with our lenders.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we received a letter from Nasdaq indicating that we have failed to comply with the minimum bid price requirement of Nasdaq Listing Rule 5550(a)(2). Nasdaq Listing Rule 5550(a)(2) requires that companies listed on the Nasdaq Capital Market maintain a minimum closing bid price of at least $1.00 per share. Under Nasdaq Listing Rule 5810(c)(3)(A), we have a 180 calendar day grace period to regain compliance by meeting the continued listing standard. To regain compliance, the closing bid price of the Company’s common stock must meet or exceed $1.00 per share for a minimum of ten consecutive business days during this grace period. We are monitoring the bid price of our common stock and will consider options available to us to achieve compliance. There can be no assurances that we will be successful in restoring our compliance with the Nasdaq listing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PRODUCT PIPELINE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discovery platform and deep understanding of the primary mechanism of sodium transport in the intestine resulted in our discovery and development of IBSRELA, a first-in-class, FDA approved, sodium hydrogen exchanger 3 ("NHE3") inhibitor for the treatment of IBS-C in adults. IBSRELA acts locally in the gut and is minimally absorbed. By inhibiting NHE3, IBSRELA exerts a triple action mechanism. First, it blocks dietary sodium absorption, leading to increased intestinal transit time and softer stool to address constipation. Second, it decreases intestinal permeability to reduce abdominal pain, and, third, it decreases visceral hypersensitivity to reduce abdominal pain. The triple action mechanism of IBSRELA is differentiated from existing therapies and has been shown to provide significant improvement in abdominal pain, bloating, and constipation – with a quick onset of action and sustained efficacy. Treatment with IBSRELA has been demonstrated to result in improved quality of life versus placebo and patient treatment satisfaction.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launch IBSRELA in the U.S. in April 2022.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IBS-C is a gastrointestinal disorder characterized by both abdominal pain and altered bowel movements, estimated to affect 11 million people in the U.S. IBS-C is associated with significantly impaired quality of life, reduced productivity, and substantial economic burden. The introduction of new agents over the last decade has led to an established prescription ("RX") treated market with 9,000 writers accounting for 50% of the RXs. Despite the active use of GCC agonist therapies, 83% of Health Care Providers ("HCPs") report a significant unmet need for new therapies, and report that approximately 35% of the patients currently under their care do not adequately respond to the available treatments. When presented with the IBSRELA product profile, 75% of HCPs respond favorably, with the efficacy profile and novel method of action rated as the most compelling aspects of the product profile.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preparation for our commercial launch of IBSRELA, we have built a commercial organization highly experienced in launching novel therapies into specialty areas. The established nature of the market, limited number of players, concentration of prescribers, recognized unmet need, and favorable response to the novel mechanism IBSRELA product profile enable a targeted promotional effort centered on the 9,000 health care providers that account for 50% of IBS-C prescriptions. Central to the go to market strategy is a highly experienced specialty sales force, many with existing relationships across their GI target base, full company engagement, and innovative peer-to-peer and digital initiatives leveraging the rapidly evolving market dynamics in how HCPs receive information and interact with industry.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a concentrated promotional focus on patients currently being managed for IBS-C by high writing HCPs - in contrast to the DTC centered, market building approach taken by the existing GCC agonists - competition for IBSRELA will come largely from the four prescription products indicated for IBS-C: Linzess (linaclotide); Amitiza (lubiprostone); Trulance (plecanatide) and Zelnorm (tegaserod). Additionally, over the counter products are commonly used to treat the constipation component of IBS-C, both alone, and in combination with the IBS-C indicated RX therapies.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Therapuetics, Inc. (“Knight”) in Canada for IBSRELA for IBS-C. Knight is currently marketing IBSRELA in Canada.</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Development Candidate XPHOZAH: A New Approach for The Control of Serum Phosphorus in Adult Patients with CKD on Dialysis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XPHOZAH is a first-in-class medicine being developed for the control of serum phosphorus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It is not a phosphate binder.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we submitted a new drug application ("NDA") to the U.S. Food and Drug Administration (“FDA”) for tenapanor the control of serum phosphorus in adult patients with CKD on dialysis. The NDA was supported by three Phase 3 trials involving over 1,000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2021, we received a Complete Response Letter ("CRL") from the FDA regarding our NDA for tenapanor for the control of serum phosphorus in adult patients with CKD on dialysis. According to the CRL, while the FDA agrees “that the submitted data provide substantial evidence that tenapanor is effective in reducing serum phosphorus in adult patients with CKD on dialysis,” the FDA characterizes the magnitude of the treatment effect as “small and of unclear clinical significance.” Following an End-of-Review Type A meeting (“End of Review Meeting”) in October 2021, with the FDA’s Division of Cardiology and Nephrology (the “Division”), we submitted a Formal Dispute Resolution Request (“FDRR”) in December 2021. The FDRR was focused on demonstrating that the data submitted in the NDA supported the clinical significance of the treatment effect of tenapanor.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4, 2022, we received an Appeal Denied Letter (“ADL”) from the FDA’s Office of Cardiology, Hematology, Endocrinology and Nephrology (“OCHEN”). On February 18, 2022, we submitted an appeal of the ADL to the FDA’s Center for Drug Evaluation and Research, Office of New Drugs (“OND”). If accepted, we expect a decision on the appeal to the OND in April 2022. While the CRL noted that in order for the NDA to be approved, we need to conduct an additional adequate and well-controlled trial demonstrating a clinically relevant treatment effect on serum phosphorus or an effect on the clinical outcome thought to be caused by hyperphosphatemia in adult patients with CKD on dialysis, the ADL provided a potential additional path forward involving the resubmission of the NDA (without conducting an additional trial) with a number of new analyses of each of our Phase 3 clinical trials; an assessment of tenapanor’s benefits and risks; and a proposal of how to label tenapanor for prescribers. There can be no assurances that the Formal Dispute Resolution (“FDR”) process will result in approval of our NDA, or in a clear path to resubmission of our NDA that is achievable in terms of clinical endpoints, time and cost.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RDX013 Program: Small Molecule for Treating Hyperkalemia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advancing a small molecule potassium secretagogue program, RDX013, for the potential treatment of hyperkalemia.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While currently available therapies are all ion exchange agents, RDX013 is a first in class secretagogue with demonstrated proof of concept in a Phase 2 dose ranging study evaluating the safety and pharmacodynamics of RDX013 in adult patients with hyperkalemia. The next steps for RDX013 will be determined based on final analyses of the Phase 2 results, continued formulation development, and sufficient financial resources.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RDX020 Program: Small molecule for Treating Metabolic Acidosis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 Our research organization was eliminated as part of our October 2021 restructuring, and therefore, we currently expect to continue to advance this discovery program utilizing third-party resources managed by internal non-clinical expertise.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to date has been generated primarily through license, research and development collaborative agreements with various collaboration partners. We have not generated any revenue from commercial product sales. We currently expect to commence commercialization of IBSRELA in April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efforts to commercialize IBSRELA; whether we receive regulatory approval for tenapanor for the control of serum phosphorous in adult patients with CKD on dialysis (the “Hyperphosphatemia Indication”), and if such approval is received, the timing of such approval and the extent to which we are successful in our efforts to commercialize XPHOZAH for such indication;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a collaboration partner. If we are not able to obtain market acceptance for IBSRELA; if we are not successful in our efforts to obtain and sustain an adequate level of coverage and reimbursement for IBSRELA by third-party payors; if we fail to obtain regulatory approval for tenapanor for the Hyperphosphatemia indication and/or our current collaboration partners or any future collaboration partners fail to obtain regulatory approval for tenapanor in their respective territories, our ability to generate future revenue from our product sales or from our collaborative arrangements, and our results of operations and financial position, would be materially and adversely affected. Our past revenue performance is not necessarily indicative of results to be expected in future periods. See Note 2, Summary of Significant Accounting Policies, in the notes to our financial statements, included in Part II, Item 8, of this Annual Report on Form 10-K, for further details.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240" w:after="283"/>
        <w:jc w:val="both"/>
        <w:rPr/>
      </w:pPr>
      <w:r>
        <w:rPr>
          <w:rFonts w:ascii="Times New Roman;sans-serif" w:hAnsi="Times New Roman;sans-serif"/>
          <w:b w:val="false"/>
          <w:color w:val="000000"/>
          <w:sz w:val="20"/>
        </w:rPr>
        <w:t xml:space="preserve">Cost of revenue represents payments due to AstraZeneca AB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as a result of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recognized an aggregate of $11.6 million as cost of revenue under the AZ Termination Agreement since 2017. See details in </w:t>
      </w:r>
      <w:r>
        <w:rPr>
          <w:rFonts w:ascii="Times New Roman;sans-serif" w:hAnsi="Times New Roman;sans-serif"/>
          <w:b w:val="false"/>
          <w:i/>
          <w:color w:val="000000"/>
          <w:sz w:val="20"/>
        </w:rPr>
        <w:t>Note 5, Collaboration and Licensing Agreements</w:t>
      </w:r>
      <w:r>
        <w:rPr>
          <w:rFonts w:ascii="Times New Roman;sans-serif" w:hAnsi="Times New Roman;sans-serif"/>
          <w:b w:val="false"/>
          <w:color w:val="000000"/>
          <w:sz w:val="20"/>
        </w:rPr>
        <w:t>, under AstraZeneca, in the notes to our financial statements, included in Part II, Item 8, of this Annual Report on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October 2021 restructuring plan, we have eliminated our internal research organization and expect to continue our discovery efforts with respect to RDX020 through the use of third-parties managed internally by non-clinical expertise. We recognized all research and development expenses as they were incurred to support the discovery, research, development and manufacturing of our product candidates. Research and development expenses include, but are not limited to,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expenses associated with supplies and materials consumed in connection with our research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expenses associated with producing tenapanor for the control of serum phosphorus in adult patients with CKD on dialysis prior to FDA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costs associated with research, clinical development and regulatory activities;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employee-related expenses, which include salaries, bonuses, benefits, travel and stock-based compensation; and</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facilities and other allocated expenses, which include direct and allocated expenses for rent and maintenance of facilities, depreciation and amortization expense, information technology expense and other supplies.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benefits, including stock-based compensation, for certain of our executives, our board members, and our finance, legal, business development, market development, commercial and support staff. Other general and administrative expenses include facility related costs and professional fees for legal, accounting and audit, investor relations, other consulting services and allocated facility related costs not otherwise included in research and development expenses.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paid on our loan payable.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interest income earned on our cash and cash equivalents and held-to-maturity investments, the periodic revaluation of the exit fee related to our loan and currency exchange gains and losses.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includes current and deferred tax, including foreign withholding taxes paid on payments received from certain collaboration partners. Deferred income taxes reflect the tax effects of temporary differences between the carrying amounts of assets and liabilities for financial reporting purposes and the amounts used for income tax purposes. Our deferred tax assets continue to be fully offset by a valuation allowance, including deferred tax assets related to our net operating loss carryforwards, which may be subject to annual limitations as a result of ownership changes that may have occurred or could occur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spacing w:lineRule="auto" w:line="288" w:before="240" w:after="283"/>
        <w:jc w:val="both"/>
        <w:rPr/>
      </w:pPr>
      <w:r>
        <w:rPr>
          <w:rFonts w:ascii="Times New Roman;sans-serif" w:hAnsi="Times New Roman;sans-serif"/>
          <w:b w:val="false"/>
          <w:color w:val="000000"/>
          <w:sz w:val="20"/>
        </w:rPr>
        <w:t xml:space="preserve">A detailed discussion of our significant accounting policies can be found in </w:t>
      </w:r>
      <w:r>
        <w:rPr>
          <w:rFonts w:ascii="Times New Roman;sans-serif" w:hAnsi="Times New Roman;sans-serif"/>
          <w:b w:val="false"/>
          <w:i/>
          <w:color w:val="000000"/>
          <w:sz w:val="20"/>
        </w:rPr>
        <w:t>Note 2, Summary of Significant Accounting Policies</w:t>
      </w:r>
      <w:r>
        <w:rPr>
          <w:rFonts w:ascii="Times New Roman;sans-serif" w:hAnsi="Times New Roman;sans-serif"/>
          <w:b w:val="false"/>
          <w:color w:val="000000"/>
          <w:sz w:val="20"/>
        </w:rPr>
        <w:t>, in the notes to our financial statements, included in Part II, Item 8, of this Annual Report on Form 10-K.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certain accounting policies related to revenue recognition, accrued research and development expenses and stock-based compensation to be critical policies to understanding the judgments and estimates applied in our reported financial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appropriate amount of revenue to be recognized as we fulfill our obligations under each of our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Amounts received prior to satisfying the revenue recognition criteria are recorded as contract liabilities in our balance sheets. If the related performance obligation is expected to be satisfied within the next twelve months, this will be classified in current liabilities. Amounts recognized as revenue prior to receipt are recorded as contract assets in our balance sheets. If we expect to have an unconditional right to receive the consideration in the next twelve months, this will be classified in current assets. A net contract asset or liability is presented for each contract with a customer.</w:t>
      </w:r>
    </w:p>
    <w:p>
      <w:pPr>
        <w:pStyle w:val="TextBody"/>
        <w:spacing w:lineRule="auto" w:line="288" w:before="240" w:after="283"/>
        <w:jc w:val="both"/>
        <w:rPr/>
      </w:pPr>
      <w:r>
        <w:rPr>
          <w:rFonts w:ascii="Times New Roman;sans-serif" w:hAnsi="Times New Roman;sans-serif"/>
          <w:b w:val="false"/>
          <w:i/>
          <w:color w:val="000000"/>
          <w:sz w:val="20"/>
        </w:rPr>
        <w:t>Milestone Payments:</w:t>
      </w:r>
      <w:r>
        <w:rPr>
          <w:color w:val="000000"/>
        </w:rPr>
        <w:t xml:space="preserve"> </w:t>
      </w:r>
      <w:r>
        <w:rPr>
          <w:rFonts w:ascii="Times New Roman;sans-serif" w:hAnsi="Times New Roman;sans-serif"/>
          <w:b w:val="false"/>
          <w:color w:val="000000"/>
          <w:sz w:val="20"/>
        </w:rPr>
        <w:t>At the inception of each arrangement that includes research and development milestone payments, we evaluate whether the milestones are 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us or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pStyle w:val="TextBody"/>
        <w:spacing w:lineRule="auto" w:line="288" w:before="240" w:after="283"/>
        <w:jc w:val="both"/>
        <w:rPr/>
      </w:pPr>
      <w:r>
        <w:rPr>
          <w:rFonts w:ascii="Times New Roman;sans-serif" w:hAnsi="Times New Roman;sans-serif"/>
          <w:b w:val="false"/>
          <w:i/>
          <w:color w:val="000000"/>
          <w:sz w:val="20"/>
        </w:rPr>
        <w:t>Manufacturing supply services:</w:t>
      </w:r>
      <w:r>
        <w:rPr>
          <w:color w:val="000000"/>
        </w:rPr>
        <w:t xml:space="preserve"> </w:t>
      </w:r>
      <w:r>
        <w:rPr>
          <w:rFonts w:ascii="Times New Roman;sans-serif" w:hAnsi="Times New Roman;sans-serif"/>
          <w:b w:val="false"/>
          <w:color w:val="000000"/>
          <w:sz w:val="20"/>
        </w:rPr>
        <w:t>Arrangements that include a promise for the future supply of drug substance or drug product for either clinical 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revenues when the customer obtains control of the goods, which is upon delivery.</w:t>
      </w:r>
    </w:p>
    <w:p>
      <w:pPr>
        <w:pStyle w:val="TextBody"/>
        <w:spacing w:lineRule="auto" w:line="288" w:before="240" w:after="283"/>
        <w:jc w:val="both"/>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For arrangements that include sales-based royalties, including milestone payments based on the level of sales, and where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pStyle w:val="TextBody"/>
        <w:spacing w:lineRule="auto" w:line="288" w:before="240" w:after="283"/>
        <w:jc w:val="both"/>
        <w:rPr/>
      </w:pPr>
      <w:r>
        <w:rPr>
          <w:rFonts w:ascii="Times New Roman;sans-serif" w:hAnsi="Times New Roman;sans-serif"/>
          <w:b w:val="false"/>
          <w:i/>
          <w:color w:val="000000"/>
          <w:sz w:val="20"/>
        </w:rPr>
        <w:t>Licenses of intellectual property</w:t>
      </w:r>
      <w:r>
        <w:rPr>
          <w:rFonts w:ascii="Times New Roman;sans-serif" w:hAnsi="Times New Roman;sans-serif"/>
          <w:b w:val="false"/>
          <w:color w:val="000000"/>
          <w:sz w:val="20"/>
        </w:rPr>
        <w:t xml:space="preserve">: If a license granted to a customer to use our intellectual property is determined to be distinct from the other performance 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 to conclude upon the appropriate method of measuring progress for purposes of recognizing revenue related to consideration allocated to the performance obligation.</w:t>
      </w:r>
    </w:p>
    <w:p>
      <w:pPr>
        <w:pStyle w:val="TextBody"/>
        <w:spacing w:lineRule="auto" w:line="288" w:before="240" w:after="283"/>
        <w:jc w:val="both"/>
        <w:rPr/>
      </w:pPr>
      <w:r>
        <w:rPr>
          <w:rFonts w:ascii="Times New Roman;sans-serif" w:hAnsi="Times New Roman;sans-serif"/>
          <w:b w:val="false"/>
          <w:i/>
          <w:color w:val="000000"/>
          <w:sz w:val="20"/>
        </w:rPr>
        <w:t>Options</w:t>
      </w:r>
      <w:r>
        <w:rPr>
          <w:rFonts w:ascii="Times New Roman;sans-serif" w:hAnsi="Times New Roman;sans-serif"/>
          <w:b w:val="false"/>
          <w:color w:val="000000"/>
          <w:sz w:val="20"/>
        </w:rPr>
        <w:t>: Customer options, such as options granted to allow a licensee to choose to research, develop and commercialize licensed compounds are evaluated at contract inception in order to determine whether those options provide a material right (i. 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pStyle w:val="TextBody"/>
        <w:spacing w:lineRule="auto" w:line="288" w:before="240" w:after="283"/>
        <w:jc w:val="both"/>
        <w:rPr/>
      </w:pPr>
      <w:r>
        <w:rPr>
          <w:rFonts w:ascii="Times New Roman;sans-serif" w:hAnsi="Times New Roman;sans-serif"/>
          <w:b w:val="false"/>
          <w:i/>
          <w:color w:val="000000"/>
          <w:sz w:val="20"/>
        </w:rPr>
        <w:t>Contract modifications:</w:t>
      </w:r>
      <w:r>
        <w:rPr>
          <w:color w:val="000000"/>
        </w:rPr>
        <w:t xml:space="preserve"> </w:t>
      </w:r>
      <w:r>
        <w:rPr>
          <w:rFonts w:ascii="Times New Roman;sans-serif" w:hAnsi="Times New Roman;sans-serif"/>
          <w:b w:val="false"/>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our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Research and Development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CROs in connection with clinical studies;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investigative sites in connection with clinical studies;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vendors related to contract manufacturing, development and distribution of clinical supplies;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collaborator entities in connection with our collaboration agreements;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vendors in connection with preclinical development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each component of a service will be performed, and estimate, with vendor input if appropriate, the resulting level of completion of each component of the service, with such estimates often involving drivers that provide a surrogate measurement of completion such as number of enrolled subjects and/or number of sites activated in the calculation of clinical trial fee accruals.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stock options and Employee Stock Purchase Plan (“the ESPP”) shares using the Black-Scholes valuation model. The Black-Scholes model requires the input of highly subjective assumptions which determine the fair value of stock-based awards. These assumptions include:</w:t>
      </w:r>
    </w:p>
    <w:p>
      <w:pPr>
        <w:pStyle w:val="TextBody"/>
        <w:spacing w:lineRule="auto" w:line="288" w:before="240" w:after="283"/>
        <w:jc w:val="both"/>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We have limited historical information to develop reasonable expectations about future exercise patterns and post-vesting employment termination behavior for our stock-option grants. As such, the expected term is estimated using the simplified method whereby the expected term equals the arithmetic average of the vesting term and the original contractual term of the option. Beginning in 2021, we estimate the expected term of our options based upon historical exercises and post-vesting termination behavior, which has not resulted in a material difference as compared to using the simplified method.</w:t>
      </w:r>
    </w:p>
    <w:p>
      <w:pPr>
        <w:pStyle w:val="TextBody"/>
        <w:spacing w:lineRule="auto" w:line="288" w:before="240" w:after="283"/>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We use the historic volatility of our own stock over the retrospective period corresponding to the expected remaining term of the options, or the period since our shares were first quoted on The Nasdaq Global Market, if that is shorter, to compute our expected stock price volatility.</w:t>
      </w:r>
    </w:p>
    <w:p>
      <w:pPr>
        <w:pStyle w:val="TextBody"/>
        <w:spacing w:lineRule="auto" w:line="288" w:before="240" w:after="283"/>
        <w:jc w:val="both"/>
        <w:rPr/>
      </w:pP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The risk-free interest rate assumption is based on zero-coupon U.S. Treasury instruments on the date of grant with a maturity date consistent with the expected term of our stock option grants.</w:t>
      </w:r>
    </w:p>
    <w:p>
      <w:pPr>
        <w:pStyle w:val="TextBody"/>
        <w:spacing w:lineRule="auto" w:line="288" w:before="240" w:after="283"/>
        <w:jc w:val="both"/>
        <w:rPr/>
      </w:pPr>
      <w:r>
        <w:rPr>
          <w:rFonts w:ascii="Times New Roman;sans-serif" w:hAnsi="Times New Roman;sans-serif"/>
          <w:b w:val="false"/>
          <w:i/>
          <w:color w:val="000000"/>
          <w:sz w:val="20"/>
        </w:rPr>
        <w:t>Expected Dividend</w:t>
      </w:r>
      <w:r>
        <w:rPr>
          <w:color w:val="000000"/>
        </w:rPr>
        <w:t xml:space="preserve">— </w:t>
      </w:r>
      <w:r>
        <w:rPr>
          <w:rFonts w:ascii="Times New Roman;sans-serif" w:hAnsi="Times New Roman;sans-serif"/>
          <w:b w:val="false"/>
          <w:color w:val="000000"/>
          <w:sz w:val="20"/>
        </w:rPr>
        <w:t>To date, we have not declared or paid any cash dividends and do not have any plans to do so in the future. Therefore, we use an expected dividend yield of zero.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we review our valuation assumptions at each grant date and, as a result, we are likely to change our valuation assumptions used to value employee stock-based awards granted in future periods. Employee and director stock-based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are measured at the fair value of our common stock on the date of grant and expensed over the period of vesting using the straight-line attribution approach.</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RSUs ("PRSUs") are valued at grant-date fair market value. The vesting of the PRSUs is based on performance conditions. Performance conditions include: (i) a specific performance criteria and (ii) the employee’s continuous employment by the company for a stated period of time in order to earn the right to the related PRSUs to vest. The Company recognizes compensation cost with respect to the vesting of the PRSUs on a ratable basis over the requisite service period, upon the performance conditions being deemed probable of achievement.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restructuring charges related to reorganization plans that have been committed to by management and when liabilities have been incurred. In connection with these activities, we record restructuring charges at fair value for, (a) contractual employee termination benefits when obligations are associated to services already rendered, rights to such benefits have vested, and payment of benefits is probable and can be reasonably estimated, (b)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(c) contract termination costs when a contract is terminated before the end of its term.</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2021, 2020 and 2019</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 (dollars in thousands):</w:t>
      </w:r>
    </w:p>
    <w:tbl>
      <w:tblPr>
        <w:tblW w:w="10205" w:type="dxa"/>
        <w:jc w:val="left"/>
        <w:tblInd w:w="0" w:type="dxa"/>
        <w:tblCellMar>
          <w:top w:w="28" w:type="dxa"/>
          <w:left w:w="28" w:type="dxa"/>
          <w:bottom w:w="28" w:type="dxa"/>
          <w:right w:w="28" w:type="dxa"/>
        </w:tblCellMar>
      </w:tblPr>
      <w:tblGrid>
        <w:gridCol w:w="530"/>
        <w:gridCol w:w="467"/>
        <w:gridCol w:w="468"/>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38"/>
        <w:gridCol w:w="109"/>
        <w:gridCol w:w="109"/>
        <w:gridCol w:w="109"/>
        <w:gridCol w:w="109"/>
        <w:gridCol w:w="308"/>
        <w:gridCol w:w="308"/>
        <w:gridCol w:w="271"/>
        <w:gridCol w:w="109"/>
        <w:gridCol w:w="109"/>
        <w:gridCol w:w="109"/>
        <w:gridCol w:w="211"/>
        <w:gridCol w:w="616"/>
        <w:gridCol w:w="109"/>
        <w:gridCol w:w="109"/>
        <w:gridCol w:w="109"/>
        <w:gridCol w:w="109"/>
        <w:gridCol w:w="383"/>
        <w:gridCol w:w="383"/>
        <w:gridCol w:w="318"/>
      </w:tblGrid>
      <w:tr>
        <w:trPr/>
        <w:tc>
          <w:tcPr>
            <w:tcW w:w="53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1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2021 vs.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2020 vs. 2019</w:t>
            </w:r>
          </w:p>
        </w:tc>
      </w:tr>
      <w:tr>
        <w:trPr/>
        <w:tc>
          <w:tcPr>
            <w:tcW w:w="1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development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increase to total revenues is primarily attributable to a $5.0 million development milestone which we earned and recognized as licensing revenue during the current year upon the initiation by KKC of phase 3 clinical studies in Japan to evaluate tenapanor for hyperphosphatemia. The increase was partially offset by lower collaborative development revenue and product supply revenue from KKC during the current year. </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our revenue was primarily attributable to $4.9 million higher collaborative development revenue recognized in connection with the KKC Agreement, which was entered into in November 2019, a $0.7 million licensing revenue recognized upon Knight’s achievement of a development milestone pursuant to the Knight Agreement and a $1.4 million increase in manufacturing supply of tenapanor and other materials sold to KKC in accordance with the 2017 KKC Agreement, partially offset by $3.0 million revenue related to achievement of a milestone pursuant to the Fosun agreement during the year ended December 31, 2019.</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operating expenses (dollars in thousands):</w:t>
      </w:r>
    </w:p>
    <w:tbl>
      <w:tblPr>
        <w:tblW w:w="10205" w:type="dxa"/>
        <w:jc w:val="center"/>
        <w:tblInd w:w="0" w:type="dxa"/>
        <w:tblCellMar>
          <w:top w:w="28" w:type="dxa"/>
          <w:left w:w="28" w:type="dxa"/>
          <w:bottom w:w="28" w:type="dxa"/>
          <w:right w:w="28" w:type="dxa"/>
        </w:tblCellMar>
      </w:tblPr>
      <w:tblGrid>
        <w:gridCol w:w="612"/>
        <w:gridCol w:w="441"/>
        <w:gridCol w:w="25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08"/>
        <w:gridCol w:w="308"/>
        <w:gridCol w:w="271"/>
        <w:gridCol w:w="109"/>
        <w:gridCol w:w="109"/>
        <w:gridCol w:w="109"/>
        <w:gridCol w:w="211"/>
        <w:gridCol w:w="616"/>
        <w:gridCol w:w="109"/>
        <w:gridCol w:w="109"/>
        <w:gridCol w:w="109"/>
        <w:gridCol w:w="109"/>
        <w:gridCol w:w="263"/>
        <w:gridCol w:w="263"/>
        <w:gridCol w:w="319"/>
      </w:tblGrid>
      <w:tr>
        <w:trPr/>
        <w:tc>
          <w:tcPr>
            <w:tcW w:w="6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2021 vs.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2020 vs. 2019</w:t>
            </w:r>
          </w:p>
        </w:tc>
      </w:tr>
      <w:tr>
        <w:trPr/>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increase in cost of revenue was for payment due to AstraZeneca under the AZ Termination Agreement related to the development milestone we earned upon the initiation by KKC of phase 3 clinical studies in Japan to evaluate tenapanor for hyperphosphatemia. </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Cost of revenue was $0.1 million for the year ended December 31, 2020, a decrease of $0.5 million, or 75.8%, compared to $0.6 million for the year ended December 31, 2019. Cost of revenue in both periods is the portion of tenapanor-related upfront and milestone payment from our collaboration partners that we are required to make to AstraZeneca under the AstraZeneca Termination Agreement.</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 (dollars in thousands):</w:t>
      </w:r>
    </w:p>
    <w:tbl>
      <w:tblPr>
        <w:tblW w:w="10352" w:type="dxa"/>
        <w:jc w:val="center"/>
        <w:tblInd w:w="0" w:type="dxa"/>
        <w:tblCellMar>
          <w:top w:w="28" w:type="dxa"/>
          <w:left w:w="28" w:type="dxa"/>
          <w:bottom w:w="28" w:type="dxa"/>
          <w:right w:w="28" w:type="dxa"/>
        </w:tblCellMar>
      </w:tblPr>
      <w:tblGrid>
        <w:gridCol w:w="744"/>
        <w:gridCol w:w="543"/>
        <w:gridCol w:w="2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271"/>
        <w:gridCol w:w="109"/>
        <w:gridCol w:w="109"/>
        <w:gridCol w:w="109"/>
        <w:gridCol w:w="211"/>
        <w:gridCol w:w="631"/>
        <w:gridCol w:w="109"/>
        <w:gridCol w:w="109"/>
        <w:gridCol w:w="109"/>
        <w:gridCol w:w="109"/>
        <w:gridCol w:w="308"/>
        <w:gridCol w:w="308"/>
        <w:gridCol w:w="316"/>
      </w:tblGrid>
      <w:tr>
        <w:trPr/>
        <w:tc>
          <w:tcPr>
            <w:tcW w:w="74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2021 vs.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2020 vs. 2019</w:t>
            </w:r>
          </w:p>
        </w:tc>
      </w:tr>
      <w:tr>
        <w:trPr/>
        <w:tc>
          <w:tcPr>
            <w:tcW w:w="1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and depreciation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increase in our external R&amp;D expenses is the result of tenapanor manufacturing costs as well as clinical study costs from the advancement of our OPTIMIZE study which were partially offset by lower costs for the PHREEDOM clinical study. The increase in our employee-related expenses is related to compensation and benefits expenses for our research and development workforce. Employee-related expenses for twelve months ended December 31, 2021 include $2.7 million severance payments and other employee-related costs as discussed in </w:t>
      </w:r>
      <w:r>
        <w:rPr>
          <w:rFonts w:ascii="Times New Roman;sans-serif" w:hAnsi="Times New Roman;sans-serif"/>
          <w:b w:val="false"/>
          <w:i/>
          <w:color w:val="000000"/>
          <w:sz w:val="20"/>
        </w:rPr>
        <w:t xml:space="preserve">Note 11 - Restructuring </w:t>
      </w:r>
      <w:r>
        <w:rPr>
          <w:rFonts w:ascii="Times New Roman;sans-serif" w:hAnsi="Times New Roman;sans-serif"/>
          <w:b w:val="false"/>
          <w:color w:val="000000"/>
          <w:sz w:val="20"/>
        </w:rPr>
        <w:t>to the financial statements included elsewhere in this Annual Report.</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decrease in our external R&amp;D expenses for the year ended December 31, 2020 primarily includes a $9.7 million decrease in our tenapanor-related expenses, partially offset by $3.0 million of higher expenses attributable to KKC Research Agreement-related research and general R&amp;D expenses. Of the overall tenapanor-related decrease, approximately $11.0 million relates to lower clinical study costs due to the winding down of expenses associated with our Phase 3 clinical program for tenapanor for the control of hyperphosphatemia, offset by an out-of-period adjustment recorded during 2019 that reduced clinical trial expenses by $3.6 million related to our tenapanor clinical trials for the nine months ended September 30, 2019; and approximately $2.9 million related to lower manufacturing expenses due to reduced validation related expenses for tenapanor in 2020 as compared to 2019; offset by an increase of $3.1 million related to regulatory expenses that includes $2.9 million paid to the FDA for the filing of a NDA for tenapanor for the control of serum phosphorus in adult patients with CKD on dialysis in June 2020.</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increase in general and administrative expenses was primarily due to increased costs associated with building and staffing our commercial infrastructure and teams as we prepared for a potential U.S. launch of tenapanor. The increase consisted of headcount and related personnel costs and an increase in external spending for disease awareness initiatives, commercial infrastructure and strategy. General and administrative expenses for the twelve months ended December 31, 2021 include $3.5 million severance payments and other employee-related costs as discussed in </w:t>
      </w:r>
      <w:r>
        <w:rPr>
          <w:rFonts w:ascii="Times New Roman;sans-serif" w:hAnsi="Times New Roman;sans-serif"/>
          <w:b w:val="false"/>
          <w:i/>
          <w:color w:val="000000"/>
          <w:sz w:val="20"/>
        </w:rPr>
        <w:t xml:space="preserve">Note 11 - Restructuring </w:t>
      </w:r>
      <w:r>
        <w:rPr>
          <w:rFonts w:ascii="Times New Roman;sans-serif" w:hAnsi="Times New Roman;sans-serif"/>
          <w:b w:val="false"/>
          <w:color w:val="000000"/>
          <w:sz w:val="20"/>
        </w:rPr>
        <w:t>to the financial statements included elsewhere in this Annual Report.</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increase in general and administrative expenses for the year ended December 31, 2020 was primarily due to an increase in costs associated with building and staffing our commercial infrastructure and teams as we prepare for the anticipated U.S. launch of tenapanor for the control of serum phosphorus in adult patients with CKD on dialysis. The increase consisted of headcount and related personnel costs and an increase in external spending for disease awareness initiatives, commercial infrastructure and strategy.</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other income (expense), net (dollars in thousands):</w:t>
      </w:r>
    </w:p>
    <w:tbl>
      <w:tblPr>
        <w:tblW w:w="10205" w:type="dxa"/>
        <w:jc w:val="center"/>
        <w:tblInd w:w="0" w:type="dxa"/>
        <w:tblCellMar>
          <w:top w:w="28" w:type="dxa"/>
          <w:left w:w="28" w:type="dxa"/>
          <w:bottom w:w="28" w:type="dxa"/>
          <w:right w:w="28" w:type="dxa"/>
        </w:tblCellMar>
      </w:tblPr>
      <w:tblGrid>
        <w:gridCol w:w="652"/>
        <w:gridCol w:w="571"/>
        <w:gridCol w:w="576"/>
        <w:gridCol w:w="211"/>
        <w:gridCol w:w="680"/>
        <w:gridCol w:w="109"/>
        <w:gridCol w:w="109"/>
        <w:gridCol w:w="109"/>
        <w:gridCol w:w="109"/>
        <w:gridCol w:w="211"/>
        <w:gridCol w:w="680"/>
        <w:gridCol w:w="109"/>
        <w:gridCol w:w="109"/>
        <w:gridCol w:w="109"/>
        <w:gridCol w:w="109"/>
        <w:gridCol w:w="211"/>
        <w:gridCol w:w="680"/>
        <w:gridCol w:w="109"/>
        <w:gridCol w:w="109"/>
        <w:gridCol w:w="109"/>
        <w:gridCol w:w="109"/>
        <w:gridCol w:w="211"/>
        <w:gridCol w:w="530"/>
        <w:gridCol w:w="109"/>
        <w:gridCol w:w="109"/>
        <w:gridCol w:w="109"/>
        <w:gridCol w:w="109"/>
        <w:gridCol w:w="287"/>
        <w:gridCol w:w="287"/>
        <w:gridCol w:w="271"/>
        <w:gridCol w:w="109"/>
        <w:gridCol w:w="109"/>
        <w:gridCol w:w="109"/>
        <w:gridCol w:w="211"/>
        <w:gridCol w:w="530"/>
        <w:gridCol w:w="109"/>
        <w:gridCol w:w="109"/>
        <w:gridCol w:w="109"/>
        <w:gridCol w:w="109"/>
        <w:gridCol w:w="287"/>
        <w:gridCol w:w="287"/>
        <w:gridCol w:w="325"/>
      </w:tblGrid>
      <w:tr>
        <w:trPr/>
        <w:tc>
          <w:tcPr>
            <w:tcW w:w="652"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2021 vs.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2020 vs. 2019</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3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decrease in interest expense was primarily due to lower interest rates on our variable-rate term loan. The changes in other income, net were primarily due to lower income earned on our investments, which was largely offset by the revaluation of our derivative liability related to our term loan agreement following receipt of the FDA CRL on July 28, 2021.</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decrease in interest expense for the year ended December 31, 2020 was primarily due to lower interest rates on our variable-rate term loan. The decrease in other income, net for the year ended December 31, 2020 was primarily due to a decrease in investment income, a lower exit fee revaluation adjustment related to our loan agreement and a decrease in currency exchange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marketable securities (in thousands):</w:t>
      </w:r>
    </w:p>
    <w:tbl>
      <w:tblPr>
        <w:tblW w:w="7659" w:type="dxa"/>
        <w:jc w:val="center"/>
        <w:tblInd w:w="0" w:type="dxa"/>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44"/>
        <w:gridCol w:w="346"/>
        <w:gridCol w:w="316"/>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2021 vs. 2020</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and investments of approximately $116.7 million. We have incurred operating losses since inception and our accumulated deficit as of December 31, 2021 is $712.9 million. Our current level of cash and investments alone is not sufficient to meet our plans for the next twelve months following the filing of these financial statements on February 28, 2022. These factors raise substantial doubt regarding our ability to continue as a going concern for a period of one year from the issuance of these financial statements. We plan to address our operating cash flow requirements with our current cash and investments, cash generated from the product launch of IBSRELA, our potential receipt of anticipated milestone payments from our collaboration partners, our ability to access the capital markets, as well as through the implementation of cash preservation activities to reduce or defer discretionary spending.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its common stock that may be issued and sold, from time to time, under an Open Market Sales Agreement with Jefferies LLC, as sales agent, deemed to be “at the market offerings” (the "2020 Open Market Sales Agreement"). Pursuant to the 2020 Open Market Sales Agreement, Jefferies, as sales agent, received a commission of up to 3.0% of the gross sales price for shares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common stock sold under the 2020 Open Market Sales Agreement. We sold a cumulative total of 23.3 million shares and received gross proceeds of $100.0 million at a weighted average sales price of approximately $4.30 per share under the 2020 Open Market Sales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December 31, 2021 we have sold 15.7 million shares and received gross proceeds of $25.0 million at a weighted average sales price of approximately $1.60 per share under the 2021 Open Market Sales Agreement.</w:t>
      </w:r>
    </w:p>
    <w:p>
      <w:pPr>
        <w:pStyle w:val="TextBody"/>
        <w:spacing w:lineRule="auto" w:line="288" w:before="240" w:after="283"/>
        <w:jc w:val="both"/>
        <w:rPr/>
      </w:pPr>
      <w:r>
        <w:rPr>
          <w:rFonts w:ascii="Times New Roman;sans-serif" w:hAnsi="Times New Roman;sans-serif"/>
          <w:b w:val="false"/>
          <w:color w:val="000000"/>
          <w:sz w:val="20"/>
        </w:rPr>
        <w:t xml:space="preserve">On May 16, 2018, we entered into a loan and security agreement (the "2018 Loan Agreement") with Solar Capital Ltd. and Western Alliance Bank (“the Lenders”). The 2018 Loan Agreement provides for a $50.0 million term loan facility with a maturity date of November 1, 2022 (”the 2018 Term Loan”). The full amount of the 2018 Term Loan was funded on May 16, 2018. We received net proceeds from the loan of approximately $49.3 million, after deducting the closing fee, legal expenses and issuance costs. On October 9, 2020, we and the Lenders entered into an amendment to the 2018 Loan Agreement (“the 2020 Amendment”), as defined and discussed in </w:t>
      </w:r>
      <w:r>
        <w:rPr>
          <w:rFonts w:ascii="Times New Roman;sans-serif" w:hAnsi="Times New Roman;sans-serif"/>
          <w:b w:val="false"/>
          <w:i/>
          <w:color w:val="000000"/>
          <w:sz w:val="20"/>
        </w:rPr>
        <w:t>Note 6, Borrowing</w:t>
      </w:r>
      <w:r>
        <w:rPr>
          <w:rFonts w:ascii="Times New Roman;sans-serif" w:hAnsi="Times New Roman;sans-serif"/>
          <w:b w:val="false"/>
          <w:color w:val="000000"/>
          <w:sz w:val="20"/>
        </w:rPr>
        <w:t xml:space="preserve">, to extend the date through which we were permitted to make interest-only payments on the 2018 Term Loan by twelve months to December 1, 2021. In May and July 2021, we and the Lenders entered into additional amendments to the 2018 Loan Agreement (“the 2021 Amendments”) which together extended the period of time that we were permitted to make interest-only payments on the loan to December 1, 2021; provided that if we had not received FDA approval for our NDA for tenapanor for the control of serum phosphorus in adult patients with CDK on dialysis on or before October 25, 2021, the interest-only period would expire and principal repayments would be required to begin on November 1, 2021. If principal repayments were required to begin prior to December 1, 2021 under the 2021 Amendments, then the first such repayment was required to include all payments that would have been due if monthly principal repayment had begun on June 1, 2021. During November 2021, in compliance with the terms of our 2018 Loan Agreement, we paid the first principal repayment on the loan in the amount of $16.7 million. See </w:t>
      </w:r>
      <w:r>
        <w:rPr>
          <w:rFonts w:ascii="Times New Roman;sans-serif" w:hAnsi="Times New Roman;sans-serif"/>
          <w:b w:val="false"/>
          <w:i/>
          <w:color w:val="000000"/>
          <w:sz w:val="20"/>
        </w:rPr>
        <w:t>Note 6, Borrowings</w:t>
      </w:r>
      <w:r>
        <w:rPr>
          <w:rFonts w:ascii="Times New Roman;sans-serif" w:hAnsi="Times New Roman;sans-serif"/>
          <w:b w:val="false"/>
          <w:color w:val="000000"/>
          <w:sz w:val="20"/>
        </w:rPr>
        <w:t>, in the notes to our financial statements, included in Part II, Item 8, for details on our 2018 Loan Agreement.</w:t>
      </w:r>
    </w:p>
    <w:p>
      <w:pPr>
        <w:pStyle w:val="TextBody"/>
        <w:spacing w:lineRule="auto" w:line="288" w:before="240" w:after="283"/>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18 - Subsequent Events</w:t>
      </w:r>
      <w:r>
        <w:rPr>
          <w:rFonts w:ascii="Times New Roman;sans-serif" w:hAnsi="Times New Roman;sans-serif"/>
          <w:b w:val="false"/>
          <w:color w:val="000000"/>
          <w:sz w:val="20"/>
        </w:rPr>
        <w:t xml:space="preserve">, 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term loan facility, with $27.5 million (the “Term A Loan”) funded on the Closing Date and an additional $22.5 million that we may borrow on or prior to July 25, 2023; provided that (i) we have received approval by the FDA for our NDA for tenapanor for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Term Loan”). The Term A Loan funds are being used to repay the 2018 Term Loan with the Lenders as discussed in </w:t>
      </w:r>
      <w:r>
        <w:rPr>
          <w:rFonts w:ascii="Times New Roman;sans-serif" w:hAnsi="Times New Roman;sans-serif"/>
          <w:b w:val="false"/>
          <w:i/>
          <w:color w:val="000000"/>
          <w:sz w:val="20"/>
        </w:rPr>
        <w:t>Note 6 - Borrowings</w:t>
      </w:r>
      <w:r>
        <w:rPr>
          <w:color w:val="000000"/>
        </w:rPr>
        <w:t xml:space="preserve"> </w:t>
      </w:r>
      <w:r>
        <w:rPr>
          <w:rFonts w:ascii="Times New Roman;sans-serif" w:hAnsi="Times New Roman;sans-serif"/>
          <w:b w:val="false"/>
          <w:color w:val="000000"/>
          <w:sz w:val="20"/>
        </w:rPr>
        <w:t xml:space="preserve">and to fund our ongoing operations. We had $25.0 million principal from the 2018 Term Loan outstanding as of the Closing Date.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cash have been from the sale and issuance of common stock (in both public offerings and private placements) and private placements of convertible preferred stock, funds from our collaboration partnerships and funds from our 2018 Loan Agreement. Our primary uses of cash have been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are difficult to forecast and will depend on many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whether we are successful in our efforts under the FDR process to secure approval for our NDA for tenapanor for the Hyperphosphatemia Indication, or to reach resolution with the FDA regarding a path to address the deficiencies in the NDA noted in the CRL, and the time and cost associated with such path;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sales price and the availability of adequate third-party reimbursement for IBSRELA and XPHOZAH, if approved;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manufacturing costs of IBSRELA and XPHOZAH;</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selling and marketing costs associated with IBSRELA and XPHOZAH, if approved;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receipt, and amount of sales of, or royalties on, tenapanor, if any;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cash requirements of any future acquisitions or discovery of product candidates;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clinical trials we are required to or decide to pursue for tenapanor or RDX013;</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in February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10457" w:type="dxa"/>
        <w:jc w:val="center"/>
        <w:tblInd w:w="0" w:type="dxa"/>
        <w:tblCellMar>
          <w:top w:w="28" w:type="dxa"/>
          <w:left w:w="28" w:type="dxa"/>
          <w:bottom w:w="28" w:type="dxa"/>
          <w:right w:w="28" w:type="dxa"/>
        </w:tblCellMar>
      </w:tblPr>
      <w:tblGrid>
        <w:gridCol w:w="491"/>
        <w:gridCol w:w="287"/>
        <w:gridCol w:w="288"/>
        <w:gridCol w:w="211"/>
        <w:gridCol w:w="841"/>
        <w:gridCol w:w="109"/>
        <w:gridCol w:w="109"/>
        <w:gridCol w:w="109"/>
        <w:gridCol w:w="109"/>
        <w:gridCol w:w="211"/>
        <w:gridCol w:w="736"/>
        <w:gridCol w:w="109"/>
        <w:gridCol w:w="109"/>
        <w:gridCol w:w="109"/>
        <w:gridCol w:w="109"/>
        <w:gridCol w:w="211"/>
        <w:gridCol w:w="826"/>
        <w:gridCol w:w="109"/>
        <w:gridCol w:w="109"/>
        <w:gridCol w:w="109"/>
        <w:gridCol w:w="109"/>
        <w:gridCol w:w="211"/>
        <w:gridCol w:w="736"/>
        <w:gridCol w:w="109"/>
        <w:gridCol w:w="109"/>
        <w:gridCol w:w="109"/>
        <w:gridCol w:w="109"/>
        <w:gridCol w:w="314"/>
        <w:gridCol w:w="317"/>
        <w:gridCol w:w="271"/>
        <w:gridCol w:w="109"/>
        <w:gridCol w:w="109"/>
        <w:gridCol w:w="109"/>
        <w:gridCol w:w="211"/>
        <w:gridCol w:w="841"/>
        <w:gridCol w:w="109"/>
        <w:gridCol w:w="109"/>
        <w:gridCol w:w="109"/>
        <w:gridCol w:w="109"/>
        <w:gridCol w:w="315"/>
        <w:gridCol w:w="316"/>
        <w:gridCol w:w="316"/>
      </w:tblGrid>
      <w:tr>
        <w:trPr/>
        <w:tc>
          <w:tcPr>
            <w:tcW w:w="49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2021 vs.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2020 vs. 2019</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(192,466)</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Net cash used in operating activities during the year ended December 31, 2021 increased by $71.1 million as a result of our increased net loss for the period. The increased net loss was primarily driven by costs associated with building and staffing our commercial infrastructure and teams as we prepared for the anticipated U.S. launch of tenapanor for the control of serum phosphorus in adult patients with CKD on dialysis. In addition to the increased net loss, cash flows related to our operating assets and liabilities increased in the amount of $8.7 million.</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Net cash used in operating activities during the year ended December 31, 2020 increased $5.0 million as compared to the prior year. The most significant factors that contributed to the increase was primarily a $6.2 million decrease to changes in operating assets and liabilities, primarily driven by cash received in 2019 and reported as deferred revenue for the KKC Research Agreement that was recognized as revenue in 2020, offset by a $0.6 million increase in non-cash charges and $0.6 million decrease to the net loss.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Net cash provided by investing activities increased by $82.4 million as our investment maturities increased to exceed the cost to purchase investments.</w:t>
      </w:r>
    </w:p>
    <w:p>
      <w:pPr>
        <w:pStyle w:val="TextBody"/>
        <w:spacing w:lineRule="auto" w:line="288" w:before="240" w:after="283"/>
        <w:jc w:val="both"/>
        <w:rPr/>
      </w:pPr>
      <w:r>
        <w:rPr>
          <w:rFonts w:ascii="Times New Roman;sans-serif" w:hAnsi="Times New Roman;sans-serif"/>
          <w:b w:val="false"/>
          <w:i/>
          <w:color w:val="000000"/>
          <w:sz w:val="20"/>
        </w:rPr>
        <w:t xml:space="preserve">Fiscal </w:t>
      </w:r>
      <w:r>
        <w:rPr>
          <w:rFonts w:ascii="Times New Roman;sans-serif" w:hAnsi="Times New Roman;sans-serif"/>
          <w:b w:val="false"/>
          <w:color w:val="000000"/>
          <w:sz w:val="20"/>
        </w:rPr>
        <w:t>2020</w:t>
      </w:r>
      <w:r>
        <w:rPr>
          <w:color w:val="000000"/>
        </w:rPr>
        <w:t xml:space="preserve"> </w:t>
      </w:r>
      <w:r>
        <w:rPr>
          <w:rFonts w:ascii="Times New Roman;sans-serif" w:hAnsi="Times New Roman;sans-serif"/>
          <w:b w:val="false"/>
          <w:i/>
          <w:color w:val="000000"/>
          <w:sz w:val="20"/>
        </w:rPr>
        <w:t xml:space="preserve">compared to </w:t>
      </w:r>
      <w:r>
        <w:rPr>
          <w:rFonts w:ascii="Times New Roman;sans-serif" w:hAnsi="Times New Roman;sans-serif"/>
          <w:b w:val="false"/>
          <w:color w:val="000000"/>
          <w:sz w:val="20"/>
        </w:rPr>
        <w:t>2019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Net cash provided by investing activities decreased by $54.8 million during the year ended December 31, 2020, as compared to the year ended December 31, 2019. This decrease was attributable to a $48.2 million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in purchases of available-for-sale investments and a decrease in proceeds from maturities and redemptions of short-term investments of $6.6 million.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240" w:after="283"/>
        <w:jc w:val="both"/>
        <w:rPr/>
      </w:pPr>
      <w:r>
        <w:rPr>
          <w:rFonts w:ascii="Times New Roman;sans-serif" w:hAnsi="Times New Roman;sans-serif"/>
          <w:b w:val="false"/>
          <w:i/>
          <w:color w:val="000000"/>
          <w:sz w:val="20"/>
          <w:highlight w:val="white"/>
        </w:rPr>
        <w:t xml:space="preserve">Fiscal </w:t>
      </w:r>
      <w:r>
        <w:rPr>
          <w:rFonts w:ascii="Times New Roman;sans-serif" w:hAnsi="Times New Roman;sans-serif"/>
          <w:b w:val="false"/>
          <w:color w:val="000000"/>
          <w:sz w:val="20"/>
          <w:highlight w:val="white"/>
        </w:rPr>
        <w:t>2021</w:t>
      </w:r>
      <w:r>
        <w:rPr>
          <w:color w:val="000000"/>
          <w:highlight w:val="white"/>
        </w:rPr>
        <w:t xml:space="preserve"> </w:t>
      </w:r>
      <w:r>
        <w:rPr>
          <w:rFonts w:ascii="Times New Roman;sans-serif" w:hAnsi="Times New Roman;sans-serif"/>
          <w:b w:val="false"/>
          <w:i/>
          <w:color w:val="000000"/>
          <w:sz w:val="20"/>
          <w:highlight w:val="white"/>
        </w:rPr>
        <w:t xml:space="preserve">compared to </w:t>
      </w:r>
      <w:r>
        <w:rPr>
          <w:rFonts w:ascii="Times New Roman;sans-serif" w:hAnsi="Times New Roman;sans-serif"/>
          <w:b w:val="false"/>
          <w:color w:val="000000"/>
          <w:sz w:val="20"/>
          <w:highlight w:val="white"/>
        </w:rPr>
        <w:t>2020</w:t>
      </w:r>
      <w:r>
        <w:rPr>
          <w:rFonts w:ascii="Times New Roman;sans-serif" w:hAnsi="Times New Roman;sans-serif"/>
          <w:b w:val="false"/>
          <w:i/>
          <w:color w:val="000000"/>
          <w:sz w:val="20"/>
          <w:highlight w:val="white"/>
        </w:rPr>
        <w:t xml:space="preserve">: </w:t>
      </w:r>
      <w:r>
        <w:rPr>
          <w:rFonts w:ascii="Times New Roman;sans-serif" w:hAnsi="Times New Roman;sans-serif"/>
          <w:b w:val="false"/>
          <w:color w:val="000000"/>
          <w:sz w:val="20"/>
          <w:highlight w:val="white"/>
        </w:rPr>
        <w:t>Net cash provided by financing activities increased by $60.2 million due to net proceeds from issuance of our common stock pursuant to our at-the-market offerings, which were partially offset by principal repayments for our loan payable.</w:t>
      </w:r>
    </w:p>
    <w:p>
      <w:pPr>
        <w:pStyle w:val="TextBody"/>
        <w:spacing w:lineRule="auto" w:line="288" w:before="240" w:after="283"/>
        <w:jc w:val="both"/>
        <w:rPr/>
      </w:pPr>
      <w:r>
        <w:rPr>
          <w:rFonts w:ascii="Times New Roman;sans-serif" w:hAnsi="Times New Roman;sans-serif"/>
          <w:b w:val="false"/>
          <w:i/>
          <w:color w:val="000000"/>
          <w:sz w:val="20"/>
          <w:highlight w:val="white"/>
        </w:rPr>
        <w:t xml:space="preserve">Fiscal </w:t>
      </w:r>
      <w:r>
        <w:rPr>
          <w:rFonts w:ascii="Times New Roman;sans-serif" w:hAnsi="Times New Roman;sans-serif"/>
          <w:b w:val="false"/>
          <w:color w:val="000000"/>
          <w:sz w:val="20"/>
          <w:highlight w:val="white"/>
        </w:rPr>
        <w:t>2020</w:t>
      </w:r>
      <w:r>
        <w:rPr>
          <w:color w:val="000000"/>
          <w:highlight w:val="white"/>
        </w:rPr>
        <w:t xml:space="preserve"> </w:t>
      </w:r>
      <w:r>
        <w:rPr>
          <w:rFonts w:ascii="Times New Roman;sans-serif" w:hAnsi="Times New Roman;sans-serif"/>
          <w:b w:val="false"/>
          <w:i/>
          <w:color w:val="000000"/>
          <w:sz w:val="20"/>
          <w:highlight w:val="white"/>
        </w:rPr>
        <w:t xml:space="preserve">compared to </w:t>
      </w:r>
      <w:r>
        <w:rPr>
          <w:rFonts w:ascii="Times New Roman;sans-serif" w:hAnsi="Times New Roman;sans-serif"/>
          <w:b w:val="false"/>
          <w:color w:val="000000"/>
          <w:sz w:val="20"/>
          <w:highlight w:val="white"/>
        </w:rPr>
        <w:t>2019</w:t>
      </w:r>
      <w:r>
        <w:rPr>
          <w:rFonts w:ascii="Times New Roman;sans-serif" w:hAnsi="Times New Roman;sans-serif"/>
          <w:b w:val="false"/>
          <w:i/>
          <w:color w:val="000000"/>
          <w:sz w:val="20"/>
          <w:highlight w:val="white"/>
        </w:rPr>
        <w:t xml:space="preserve">: </w:t>
      </w:r>
      <w:r>
        <w:rPr>
          <w:rFonts w:ascii="Times New Roman;sans-serif" w:hAnsi="Times New Roman;sans-serif"/>
          <w:b w:val="false"/>
          <w:color w:val="000000"/>
          <w:sz w:val="20"/>
          <w:highlight w:val="white"/>
        </w:rPr>
        <w:t>Net cash provided by financing activities decrea</w:t>
      </w:r>
      <w:r>
        <w:rPr>
          <w:rFonts w:ascii="Times New Roman;sans-serif" w:hAnsi="Times New Roman;sans-serif"/>
          <w:b w:val="false"/>
          <w:color w:val="000000"/>
          <w:sz w:val="20"/>
        </w:rPr>
        <w:t>sed by $132.7 million during the year ended December 31, 2020, as compared to the year ended December 31, 2019. This decrease was predominantly attributable to $134.9 million in net proceeds received in connection with underwritten public offering initiatives that was received in 2019 but did not recur in 2020. This decrease was partially offset by $2.4 million net additional proceeds received in 2020 as compared to 2019 from sales of our common stock pursuant to our at-the-market sales agreement with Jefferies LLC, employee stock plan purchases and option exercises, and the 2019 sale of common stock in the Private Placement with KKC.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SMALLER REPORTING COMPANY AND NON-ACCELERATED FILER STATUS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2018, the SEC adopted amendments that raise the thresholds in the smaller reporting company ("SRC") definition, whereby we were determined to qualify as an SRC. We elected to reflect that determination and avail ourselves with most of the SRC scaled disclosure accommodations in our filings subsequent to the adoption. On March 12, 2020, the SEC amended its rules to allow SRCs that have less than $100.0 million in annual revenue and a public float of less than $700.0 million to qualify as a non-accelerated filer. As a non-accelerated filer, we were not required to obtain an opinion of our independent auditors with respect to our internal controls over financial reporting for the periods through December 31,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our public float exceeded $700.0 million and therefore, as of December 31, 2021, we no longer qualify as an SRC and are considered a large accelerated filer. The disclosures contained within this Annual Report on Form 10-K have been expanded accordingly.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cash equivalents and marketable securities of $116.7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2018 Loan Agreement and our investment in money market accounts which bear a variable interest rate. Borrowings under the 2018 Loan Agreement bear interest at a rate equal to one-month London Interbank Offered Rate, or LIBOR, plus 7.45% per annum. A hypothetical increase in one-month LIBOR of 100 basis points above the current one-month LIBOR rates would have increased our interest expense by approximately $0.5 million for the year ended December 31, 2021. As of December 31, 2021 we had an aggregate principal amount of $32.3 million outstanding pursuant to our 2018 Loan Agreement.</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no open forward foreign currency exchange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596" w:type="dxa"/>
        <w:jc w:val="left"/>
        <w:tblInd w:w="0" w:type="dxa"/>
        <w:tblCellMar>
          <w:top w:w="28" w:type="dxa"/>
          <w:left w:w="28" w:type="dxa"/>
          <w:bottom w:w="28" w:type="dxa"/>
          <w:right w:w="28" w:type="dxa"/>
        </w:tblCellMar>
      </w:tblPr>
      <w:tblGrid>
        <w:gridCol w:w="2253"/>
        <w:gridCol w:w="1980"/>
        <w:gridCol w:w="1991"/>
        <w:gridCol w:w="109"/>
        <w:gridCol w:w="109"/>
        <w:gridCol w:w="154"/>
      </w:tblGrid>
      <w:tr>
        <w:trPr/>
        <w:tc>
          <w:tcPr>
            <w:tcW w:w="2253"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79">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00000"/>
                <w:sz w:val="20"/>
              </w:rPr>
              <w:t>42</w:t>
            </w:r>
            <w:hyperlink w:anchor="i6bc42016084a495692f8bf00dd062b72_79">
              <w:r>
                <w:rPr>
                  <w:rStyle w:val="InternetLink"/>
                  <w:rFonts w:ascii="Times New Roman;sans-serif" w:hAnsi="Times New Roman;sans-serif"/>
                  <w:b w:val="false"/>
                  <w:color w:val="0000FF"/>
                  <w:sz w:val="20"/>
                  <w:u w:val="single"/>
                </w:rPr>
                <w: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79">
              <w:r>
                <w:rPr>
                  <w:rStyle w:val="InternetLink"/>
                  <w:rFonts w:ascii="Times New Roman;sans-serif" w:hAnsi="Times New Roman;sans-serif"/>
                  <w:b w:val="false"/>
                  <w:strike w:val="false"/>
                  <w:dstrike w:val="false"/>
                  <w:color w:val="000000"/>
                  <w:sz w:val="20"/>
                  <w:u w:val="none"/>
                  <w:effect w:val="none"/>
                </w:rPr>
                <w:t>70</w:t>
              </w:r>
            </w:hyperlink>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82">
              <w:r>
                <w:rPr>
                  <w:rStyle w:val="InternetLink"/>
                  <w:rFonts w:ascii="Times New Roman;sans-serif" w:hAnsi="Times New Roman;sans-serif"/>
                  <w:b w:val="false"/>
                  <w:color w:val="0000FF"/>
                  <w:sz w:val="20"/>
                  <w:u w:val="single"/>
                </w:rPr>
                <w:t>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82">
              <w:r>
                <w:rPr>
                  <w:rStyle w:val="InternetLink"/>
                  <w:rFonts w:ascii="Times New Roman;sans-serif" w:hAnsi="Times New Roman;sans-serif"/>
                  <w:b w:val="false"/>
                  <w:strike w:val="false"/>
                  <w:dstrike w:val="false"/>
                  <w:color w:val="000000"/>
                  <w:sz w:val="20"/>
                  <w:u w:val="none"/>
                  <w:effect w:val="none"/>
                </w:rPr>
                <w:t>72</w:t>
              </w:r>
            </w:hyperlink>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88">
              <w:r>
                <w:rPr>
                  <w:rStyle w:val="InternetLink"/>
                  <w:rFonts w:ascii="Times New Roman;sans-serif" w:hAnsi="Times New Roman;sans-serif"/>
                  <w:b w:val="false"/>
                  <w:color w:val="0000FF"/>
                  <w:sz w:val="20"/>
                  <w:u w:val="single"/>
                </w:rPr>
                <w:t>Statements of Operations and Comprehensive Loss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88">
              <w:r>
                <w:rPr>
                  <w:rStyle w:val="InternetLink"/>
                  <w:rFonts w:ascii="Times New Roman;sans-serif" w:hAnsi="Times New Roman;sans-serif"/>
                  <w:b w:val="false"/>
                  <w:strike w:val="false"/>
                  <w:dstrike w:val="false"/>
                  <w:color w:val="000000"/>
                  <w:sz w:val="20"/>
                  <w:u w:val="none"/>
                  <w:effect w:val="none"/>
                </w:rPr>
                <w:t>73</w:t>
              </w:r>
            </w:hyperlink>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91">
              <w:r>
                <w:rPr>
                  <w:rStyle w:val="InternetLink"/>
                  <w:rFonts w:ascii="Times New Roman;sans-serif" w:hAnsi="Times New Roman;sans-serif"/>
                  <w:b w:val="false"/>
                  <w:color w:val="0000FF"/>
                  <w:sz w:val="20"/>
                  <w:u w:val="single"/>
                </w:rPr>
                <w:t>Statements of Stockholders’ Equity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91">
              <w:r>
                <w:rPr>
                  <w:rStyle w:val="InternetLink"/>
                  <w:rFonts w:ascii="Times New Roman;sans-serif" w:hAnsi="Times New Roman;sans-serif"/>
                  <w:b w:val="false"/>
                  <w:strike w:val="false"/>
                  <w:dstrike w:val="false"/>
                  <w:color w:val="000000"/>
                  <w:sz w:val="20"/>
                  <w:u w:val="none"/>
                  <w:effect w:val="none"/>
                </w:rPr>
                <w:t>74</w:t>
              </w:r>
            </w:hyperlink>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94">
              <w:r>
                <w:rPr>
                  <w:rStyle w:val="InternetLink"/>
                  <w:rFonts w:ascii="Times New Roman;sans-serif" w:hAnsi="Times New Roman;sans-serif"/>
                  <w:b w:val="false"/>
                  <w:color w:val="0000FF"/>
                  <w:sz w:val="20"/>
                  <w:u w:val="single"/>
                </w:rPr>
                <w:t>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94">
              <w:r>
                <w:rPr>
                  <w:rStyle w:val="InternetLink"/>
                  <w:rFonts w:ascii="Times New Roman;sans-serif" w:hAnsi="Times New Roman;sans-serif"/>
                  <w:b w:val="false"/>
                  <w:strike w:val="false"/>
                  <w:dstrike w:val="false"/>
                  <w:color w:val="000000"/>
                  <w:sz w:val="20"/>
                  <w:u w:val="none"/>
                  <w:effect w:val="none"/>
                </w:rPr>
                <w:t>75</w:t>
              </w:r>
            </w:hyperlink>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6bc42016084a495692f8bf00dd062b72_97">
              <w:r>
                <w:rPr>
                  <w:rStyle w:val="InternetLink"/>
                  <w:rFonts w:ascii="Times New Roman;sans-serif" w:hAnsi="Times New Roman;sans-serif"/>
                  <w:b w:val="false"/>
                  <w:color w:val="0000FF"/>
                  <w:sz w:val="20"/>
                  <w:u w:val="single"/>
                </w:rPr>
                <w:t>Notes to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6bc42016084a495692f8bf00dd062b72_97">
              <w:r>
                <w:rPr>
                  <w:rStyle w:val="InternetLink"/>
                  <w:rFonts w:ascii="Times New Roman;sans-serif" w:hAnsi="Times New Roman;sans-serif"/>
                  <w:b w:val="false"/>
                  <w:strike w:val="false"/>
                  <w:dstrike w:val="false"/>
                  <w:color w:val="000000"/>
                  <w:sz w:val="20"/>
                  <w:u w:val="none"/>
                  <w:effect w:val="none"/>
                </w:rPr>
                <w:t>76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Ardelyx, Inc.</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balance sheets of Ardelyx, Inc. (the “Company”) as of December 31, 2021 and 2020, the related statements of operations and comprehensive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U.S. generally accepted accounting principles.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Company’s Ability to Continue as a Going Concern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2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459"/>
        <w:gridCol w:w="404"/>
        <w:gridCol w:w="406"/>
        <w:gridCol w:w="2792"/>
        <w:gridCol w:w="2542"/>
        <w:gridCol w:w="3602"/>
      </w:tblGrid>
      <w:tr>
        <w:trPr/>
        <w:tc>
          <w:tcPr>
            <w:tcW w:w="45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3602" w:type="dxa"/>
            <w:tcBorders/>
            <w:shd w:fill="auto" w:val="clear"/>
            <w:vAlign w:val="center"/>
          </w:tcPr>
          <w:p>
            <w:pPr>
              <w:pStyle w:val="TableContents"/>
              <w:spacing w:before="0" w:after="283"/>
              <w:rPr>
                <w:sz w:val="4"/>
                <w:szCs w:val="4"/>
              </w:rPr>
            </w:pPr>
            <w:r>
              <w:rPr>
                <w:sz w:val="4"/>
                <w:szCs w:val="4"/>
              </w:rPr>
            </w:r>
          </w:p>
        </w:tc>
      </w:tr>
      <w:tr>
        <w:trPr/>
        <w:tc>
          <w:tcPr>
            <w:tcW w:w="12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9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Restructuring activities</w:t>
            </w:r>
          </w:p>
        </w:tc>
      </w:tr>
      <w:tr>
        <w:trPr/>
        <w:tc>
          <w:tcPr>
            <w:tcW w:w="12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incurred $6.2 million of restructuring charges in connection with two restructuring plans that were implemented in August 2021 and October 2021, following the receipt of a Complete Response Letter from the FDA and the conclusion of an End of Review Type A meeting with the FDA, respectively. Of these charges, $2.7 million was recorded in research and development expenses, and $3.5 million was recorded in general and administrative expenses. Further, in November 2021, in connection with its announced plans to launch IBSRELA in 2022, the Company retained certain employees whose positions were originally eliminated as part of the October 2021 restructuring plan. As described in Note 11 to the financial statements, the restructuring activities consisted primarily of workforce reduction through the elimination of the Company’s research organization and its commercial sales and marketing organizations. These actions resulted in restructuring charges that included one-time employee termination benefits and severance payments, as well as other employee-related costs. The Company’s liability for accrued restructuring charges was $0.5 million as of December 31, 2021.</w:t>
            </w:r>
          </w:p>
          <w:p>
            <w:pPr>
              <w:pStyle w:val="TableContents"/>
              <w:spacing w:before="0" w:after="0"/>
              <w:jc w:val="left"/>
              <w:rPr/>
            </w:pPr>
            <w:r>
              <w:rPr/>
            </w:r>
          </w:p>
          <w:p>
            <w:pPr>
              <w:pStyle w:val="TableContents"/>
              <w:spacing w:before="0" w:after="0"/>
              <w:jc w:val="both"/>
              <w:rPr/>
            </w:pPr>
            <w:r>
              <w:rPr/>
            </w:r>
          </w:p>
        </w:tc>
      </w:tr>
      <w:tr>
        <w:trPr/>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Company’s restructuring charges was especially challenging due to the multiple restructuring plans implemented during the year, various one-time termination benefit arrangements approved for different ranks and groups of the impacted employees and various retention plans approved for the remaining employees, as well as the impact of the Company’s later decision to retain certain employees whose positions were originally eliminated as part of the October 2021 restructuring plan. This required the Company to maintain complete record-keeping of the multiple restructuring plans implemented, assess and evaluate the differences between the various severance agreements and retention plans executed, as well as to apply applicable technical accounting guidance in determining the timing of recognition, classification, and disclosure of restructuring charges in the financial statements. In addition, the Company needed to analyze and ensure completeness of any contract termination costs to be recorded as a result of the restructuring activities and changing needs of its business.</w:t>
            </w:r>
          </w:p>
          <w:p>
            <w:pPr>
              <w:pStyle w:val="TableContents"/>
              <w:spacing w:before="0" w:after="0"/>
              <w:rPr/>
            </w:pPr>
            <w:r>
              <w:rPr/>
            </w:r>
          </w:p>
        </w:tc>
      </w:tr>
      <w:tr>
        <w:trPr/>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To test the restructuring charges and year-end liability for accrued restructuring charges, our audit procedures included, among others, gaining an understanding of the approved restructuring plans and evaluating the accounting treatment, timing of recognition, and classification of restructuring charges incurred. In addition, we tested the accuracy and completeness of underlying data used in management’s analysis and computation of restructuring charges and year-end liability for accrued restructuring charges by agreeing related details to supporting documentation. We reviewed management’s analysis of contract termination costs to determine whether any amount needed to be recorded or accrued as restructuring charges during the year.</w:t>
            </w:r>
            <w:r>
              <w:rPr>
                <w:color w:val="000000"/>
              </w:rPr>
              <w:t xml:space="preserve"> </w:t>
            </w:r>
            <w:r>
              <w:rPr>
                <w:rFonts w:ascii="Times New Roman;sans-serif" w:hAnsi="Times New Roman;sans-serif"/>
                <w:b w:val="false"/>
                <w:color w:val="000000"/>
                <w:sz w:val="20"/>
              </w:rPr>
              <w:t>We also met with internal finance and legal personnel to understand the nature and the comprehensive scope of the approved restructuring plans, as well as inspected and evaluated the accounting treatment of the terms and conditions for a sample of severance agreements and retention plans executed. Additionally, we tested subsequent cash payments made related to the restructuring activities. Further, we tested the classification and disclosure of the restructuring expenses in the financial statements.</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Redwood City, California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CellMar>
          <w:top w:w="28" w:type="dxa"/>
          <w:left w:w="28" w:type="dxa"/>
          <w:bottom w:w="28" w:type="dxa"/>
          <w:right w:w="28" w:type="dxa"/>
        </w:tblCellMar>
      </w:tblPr>
      <w:tblGrid>
        <w:gridCol w:w="2868"/>
        <w:gridCol w:w="2358"/>
        <w:gridCol w:w="2314"/>
        <w:gridCol w:w="211"/>
        <w:gridCol w:w="826"/>
        <w:gridCol w:w="109"/>
        <w:gridCol w:w="109"/>
        <w:gridCol w:w="109"/>
        <w:gridCol w:w="109"/>
        <w:gridCol w:w="211"/>
        <w:gridCol w:w="826"/>
        <w:gridCol w:w="155"/>
      </w:tblGrid>
      <w:tr>
        <w:trPr/>
        <w:tc>
          <w:tcPr>
            <w:tcW w:w="2868" w:type="dxa"/>
            <w:tcBorders/>
            <w:shd w:fill="auto" w:val="clear"/>
            <w:vAlign w:val="center"/>
          </w:tcPr>
          <w:p>
            <w:pPr>
              <w:pStyle w:val="TableContents"/>
              <w:spacing w:before="0" w:after="283"/>
              <w:rPr>
                <w:sz w:val="4"/>
                <w:szCs w:val="4"/>
              </w:rPr>
            </w:pPr>
            <w:r>
              <w:rPr>
                <w:sz w:val="4"/>
                <w:szCs w:val="4"/>
              </w:rPr>
            </w:r>
          </w:p>
        </w:tc>
        <w:tc>
          <w:tcPr>
            <w:tcW w:w="2358"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net of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 as of December 31, 2021 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130,182,535 and 93,599,975 shares issued and outstanding as of December 31, 2021 and December 31, 2020,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9549" w:type="dxa"/>
        <w:jc w:val="left"/>
        <w:tblInd w:w="0" w:type="dxa"/>
        <w:tblCellMar>
          <w:top w:w="28" w:type="dxa"/>
          <w:left w:w="28" w:type="dxa"/>
          <w:bottom w:w="28" w:type="dxa"/>
          <w:right w:w="28" w:type="dxa"/>
        </w:tblCellMar>
      </w:tblPr>
      <w:tblGrid>
        <w:gridCol w:w="1872"/>
        <w:gridCol w:w="1641"/>
        <w:gridCol w:w="1662"/>
        <w:gridCol w:w="237"/>
        <w:gridCol w:w="949"/>
        <w:gridCol w:w="109"/>
        <w:gridCol w:w="109"/>
        <w:gridCol w:w="109"/>
        <w:gridCol w:w="109"/>
        <w:gridCol w:w="240"/>
        <w:gridCol w:w="841"/>
        <w:gridCol w:w="109"/>
        <w:gridCol w:w="109"/>
        <w:gridCol w:w="109"/>
        <w:gridCol w:w="109"/>
        <w:gridCol w:w="240"/>
        <w:gridCol w:w="841"/>
        <w:gridCol w:w="154"/>
      </w:tblGrid>
      <w:tr>
        <w:trPr/>
        <w:tc>
          <w:tcPr>
            <w:tcW w:w="1872"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development revenue</w:t>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(94,637)</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(94,940)</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104,205,645 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89,582,138 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64,478,066 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(158,167)</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(94,337)</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(94,882)</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left"/>
        <w:tblInd w:w="0" w:type="dxa"/>
        <w:tblCellMar>
          <w:top w:w="28" w:type="dxa"/>
          <w:left w:w="28" w:type="dxa"/>
          <w:bottom w:w="28" w:type="dxa"/>
          <w:right w:w="28" w:type="dxa"/>
        </w:tblCellMar>
      </w:tblPr>
      <w:tblGrid>
        <w:gridCol w:w="1037"/>
        <w:gridCol w:w="571"/>
        <w:gridCol w:w="573"/>
        <w:gridCol w:w="524"/>
        <w:gridCol w:w="527"/>
        <w:gridCol w:w="196"/>
        <w:gridCol w:w="109"/>
        <w:gridCol w:w="109"/>
        <w:gridCol w:w="109"/>
        <w:gridCol w:w="212"/>
        <w:gridCol w:w="359"/>
        <w:gridCol w:w="120"/>
        <w:gridCol w:w="109"/>
        <w:gridCol w:w="109"/>
        <w:gridCol w:w="109"/>
        <w:gridCol w:w="196"/>
        <w:gridCol w:w="736"/>
        <w:gridCol w:w="109"/>
        <w:gridCol w:w="109"/>
        <w:gridCol w:w="109"/>
        <w:gridCol w:w="109"/>
        <w:gridCol w:w="196"/>
        <w:gridCol w:w="762"/>
        <w:gridCol w:w="109"/>
        <w:gridCol w:w="109"/>
        <w:gridCol w:w="109"/>
        <w:gridCol w:w="109"/>
        <w:gridCol w:w="366"/>
        <w:gridCol w:w="646"/>
        <w:gridCol w:w="204"/>
        <w:gridCol w:w="109"/>
        <w:gridCol w:w="109"/>
        <w:gridCol w:w="109"/>
        <w:gridCol w:w="203"/>
        <w:gridCol w:w="763"/>
        <w:gridCol w:w="161"/>
      </w:tblGrid>
      <w:tr>
        <w:trPr/>
        <w:tc>
          <w:tcPr>
            <w:tcW w:w="103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2018</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62,516,627 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160,744 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services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113,136 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underwritten public offering, net of issuance costs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134,927 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private placement, net of issuance costs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2,873,563 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2019</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88,817,741 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169,931 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services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445,942 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866,528 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At-the-market offering</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3,257,430 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(94,313)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93,599,975 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386,664 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services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331,310 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167,158 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equity awards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At-the-market offering</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35,671,439 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101,146 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(158,165)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130,182,535 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82,617 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289"/>
        <w:gridCol w:w="2010"/>
        <w:gridCol w:w="2024"/>
        <w:gridCol w:w="196"/>
        <w:gridCol w:w="810"/>
        <w:gridCol w:w="109"/>
        <w:gridCol w:w="109"/>
        <w:gridCol w:w="109"/>
        <w:gridCol w:w="109"/>
        <w:gridCol w:w="196"/>
        <w:gridCol w:w="720"/>
        <w:gridCol w:w="109"/>
        <w:gridCol w:w="109"/>
        <w:gridCol w:w="109"/>
        <w:gridCol w:w="109"/>
        <w:gridCol w:w="196"/>
        <w:gridCol w:w="736"/>
        <w:gridCol w:w="156"/>
      </w:tblGrid>
      <w:tr>
        <w:trPr/>
        <w:tc>
          <w:tcPr>
            <w:tcW w:w="2289"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(94,313)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compensation for services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premium on investment securities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derivative liabilities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associated with debt discount accretion</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revenue</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liabilities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investments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(72,735)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(102,671)</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(31,442)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23,373 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underwritten public offering, net of issuance costs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134,927 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upon private placement, net of issuance costs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in At-the-market offering, net of issuance costs</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equity incentive and stock purchase plans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for loan payable</w:t>
            </w:r>
          </w:p>
        </w:tc>
        <w:tc>
          <w:tcPr>
            <w:tcW w:w="10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loan payable, net of issuance costs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taxes related to net share settlement of equity awards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increase in cash and cash equivalents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beginning of period</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cash flow information:</w:t>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non-cash activities:</w:t>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lease obligations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services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1.ORGANIZATION AND BASIS OF PRESENTATION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Ardelyx, Inc. (the “Company,” “we,” “us” or “our”) is a biopharmaceutical company founded with a mission to discover, develop and commercialize innovative first-in-class medicines that meet significant unmet medical needs. This includes adult patients with irritable bowel syndrome with constipation (“IBS-C”), adult patients with chronic kidney disease (“CKD”) on dialysis suffering from elevated serum phosphorus, or hyperphosphatemia; and adult CKD patients and/or heart failure patients with elevated serum potassium, or hyperkalemia.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which is the development and planned commercialization of biopharmaceutical products.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accordance with accounting principles generally accepted in the United States of America (“U.S. GAAP”).</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Prior Period Errors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review of our financial statements as of and for the six months ended June 30, 2019, we corrected errors related to the accounting for clinical trial accruals that had resulted in an overstatement of research and development expenses during the year ended December 31, 2018. Specifically, management concluded that our research and development expenses recorded during the year ended December 31, 2018 had been overstated by $3.6 million and that our accrued expenses and other current liabilities as of December 31, 2018 had been overstated by the same amount. We analyzed the potential impact of these errors in accordance with the U.S. Securities and Exchange Commission’s (“SEC”) Staff Accounting Bulletin No. 108, Considering the Effects of Prior Year Misstatements when Quantifying Misstatements in Current Year Financial Statements, and concluded that while the errors were significant to our financial statements as of and for the six months ended June 30, 2019, a correction of the errors would not have been material to the full year results for 2019 and 2018 nor affect the trend of financial results. Accordingly, we reduced accrued and other liabilities by $3.6 million and recorded a cumulative adjustment of $3.6 million in the statement of operations and comprehensive loss to reduce research and development expenses in 2019.</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judgments that affect the amounts reported in the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and investments of approximately $116.7 million. We have incurred operating losses since inception and our accumulated deficit as of December 31, 2021 is $712.9 million. Our current level of cash and investments alone is not sufficient to meet our plans for the next twelve months following the issuance of these financial statements. These factors raise substantial doubt regarding our ability to continue as a going concern for a period of one year from the issuance of these financial statements. We plan to address our operating cash flow requirements with our current cash and investments, cash generated from the product launch of IBSRELA, our potential receipt of anticipated milestones from our collaboration partners, our ability to access the capital markets, as well as through the implementation of cash preservation activities to reduce or defer discretionary spending.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date of 90 days or less on the date of purchase to be cash equivalents.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included in earnings and are reported as an allowance for credit losses on our Balance Sheets. The cost of available-for-sale securities sold is based on the specific-identification method.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its balance sheet. Cash, cash equivalents and short-term investments are invested through banks and other financial institutions in the U.S.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foreign currency exposures with the use of foreign currency purchases. We primarily conduct business in U.S. dollars; however, a portion of our expense and capital activities are transacted in foreign currencies which are subject to exchange rate fluctuations that can affect cash or earnings. We have been in a loss position and therefore our primary objective is to conserve and manage cash. There are generally two methods by which we may manage the cash flow risk of foreign exchange fluctuations when a contract is signed (i) we can purchase the foreign funds, in full or in part, upon the execution of the contract, or (ii) we can obtain the right to purchase such funds, in full or in part, at the execution of the contract, i.e., obtain a forward contract from an appropriate bank, that can be exercised to obtain the currency of interest at a particular point in time. The derivative instruments that we may use to hedge the exposure shall generally not be designated as cash flow hedges, and as a result, changes in their fair value would be recorded in other income (expense), net, in our statements of operations and comprehensive loss. The fair values of forward foreign currency exchange contracts would be estimated using current exchange rates and interest rates and the current creditworthiness of the counterparties is taken into consideration.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respective assets, with ranges generally from three to five years. Leasehold improvements are amortized over the lesser of the estimated useful lives or the related remaining lease term.</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 For the years ending December 31, 2021, 2020 and 2019 we have recognized no impairment losses.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jc w:val="both"/>
        <w:rPr/>
      </w:pPr>
      <w:r>
        <w:rPr>
          <w:rFonts w:ascii="Times New Roman;sans-serif" w:hAnsi="Times New Roman;sans-serif"/>
          <w:b w:val="false"/>
          <w:color w:val="000000"/>
          <w:sz w:val="20"/>
        </w:rPr>
        <w:t xml:space="preserve">On January 1, 2018 we adopted the Financial Accounting Standards Board’s (“FASB”) Accounting Standards Update (“ASU”) No. 2014-9, </w:t>
      </w:r>
      <w:r>
        <w:rPr>
          <w:rFonts w:ascii="Times New Roman;sans-serif" w:hAnsi="Times New Roman;sans-serif"/>
          <w:b w:val="false"/>
          <w:i/>
          <w:color w:val="000000"/>
          <w:sz w:val="20"/>
        </w:rPr>
        <w:t>Revenue from Contracts with Customers (Topic 606) and related amendments</w:t>
      </w:r>
      <w:r>
        <w:rPr>
          <w:color w:val="000000"/>
        </w:rPr>
        <w:t xml:space="preserve"> </w:t>
      </w:r>
      <w:r>
        <w:rPr>
          <w:rFonts w:ascii="Times New Roman;sans-serif" w:hAnsi="Times New Roman;sans-serif"/>
          <w:b w:val="false"/>
          <w:color w:val="000000"/>
          <w:sz w:val="20"/>
        </w:rPr>
        <w:t>(“ASC 606”), on a modified retrospective basis, which resulted in an adjustment to the opening accumulated deficit balance on the adoption date. As a result of the adoption of the new standard, on January 1, 2018, we recorded the following: (i) unbilled revenue under current assets of $5.0 million representing a future receivable related to the first milestone under our license agreement with Kyowa Kirin Co., Ltd. (formerly known as Kyowa Hakko Kirin Co., Ltd ("KHK") (“KKC”), which was subsequently achieved by KKC and collected in February 2019, thereby reducing the unbilled revenue balance to zero, (ii) uncharged license fees under current liabilities of $1.0 million representing the corresponding future payable related to AstraZeneca AB ("AstraZeneca") in accordance with our termination agreement with AstraZeneca, which, upon KKC achieving the milestone, was reclassified to accounts payable and subsequently paid to AstraZeneca during the second quarter of 2019, and (iii) a related decrease in accumulated deficit of approximately $4.0 million as the new standard permitted revenue from milestones that possess certain criteria to be recognized earlier and also contained different recognition criteria related to milestones than under the previous accounting standard.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appropriate amount of revenue to be recognized as we fulfill our obligations under each of its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received prior to satisfying the revenue recognition criteria are recorded as contract liabilities in our Balance Sheets. If the related performance obligation is expected to be satisfied within the next twelve months it will be classified in current liabilities. Amounts recognized as revenue prior to receipt are recorded as contract assets in our Balance Sheets. If we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 to have an unconditional right to receive the consideration in the next twelve months, it will be classified in current assets. A net contract asset or liability is presented for each contract with a customer.</w:t>
      </w:r>
    </w:p>
    <w:p>
      <w:pPr>
        <w:pStyle w:val="TextBody"/>
        <w:spacing w:lineRule="auto" w:line="288" w:before="240" w:after="283"/>
        <w:jc w:val="both"/>
        <w:rPr/>
      </w:pPr>
      <w:r>
        <w:rPr>
          <w:rFonts w:ascii="Times New Roman;sans-serif" w:hAnsi="Times New Roman;sans-serif"/>
          <w:b w:val="false"/>
          <w:i/>
          <w:color w:val="000000"/>
          <w:sz w:val="20"/>
        </w:rPr>
        <w:t>Milestone Payments:</w:t>
      </w:r>
      <w:r>
        <w:rPr>
          <w:color w:val="000000"/>
        </w:rPr>
        <w:t xml:space="preserve"> </w:t>
      </w:r>
      <w:r>
        <w:rPr>
          <w:rFonts w:ascii="Times New Roman;sans-serif" w:hAnsi="Times New Roman;sans-serif"/>
          <w:b w:val="false"/>
          <w:color w:val="000000"/>
          <w:sz w:val="20"/>
        </w:rPr>
        <w:t>At the inception of each arrangement that includes development milestone payments, we evaluate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our control or the control of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adjusts its estimate of the overall transaction price. Any such adjustments are recorded on a cumulative catch-up basis, which would affect earnings in the period of adjustment.</w:t>
      </w:r>
    </w:p>
    <w:p>
      <w:pPr>
        <w:pStyle w:val="TextBody"/>
        <w:spacing w:lineRule="auto" w:line="288" w:before="240" w:after="283"/>
        <w:jc w:val="both"/>
        <w:rPr/>
      </w:pPr>
      <w:r>
        <w:rPr>
          <w:rFonts w:ascii="Times New Roman;sans-serif" w:hAnsi="Times New Roman;sans-serif"/>
          <w:b w:val="false"/>
          <w:i/>
          <w:color w:val="000000"/>
          <w:sz w:val="20"/>
        </w:rPr>
        <w:t>Manufacturing supply services:</w:t>
      </w:r>
      <w:r>
        <w:rPr>
          <w:color w:val="000000"/>
        </w:rPr>
        <w:t xml:space="preserve"> </w:t>
      </w:r>
      <w:r>
        <w:rPr>
          <w:rFonts w:ascii="Times New Roman;sans-serif" w:hAnsi="Times New Roman;sans-serif"/>
          <w:b w:val="false"/>
          <w:color w:val="000000"/>
          <w:sz w:val="20"/>
        </w:rPr>
        <w:t>Arrangements that include a promise for future supply of drug substance or drug product for either clinical 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 when the customer obtains control of the goods, which is upon delivery.</w:t>
      </w:r>
    </w:p>
    <w:p>
      <w:pPr>
        <w:pStyle w:val="TextBody"/>
        <w:spacing w:lineRule="auto" w:line="288" w:before="240" w:after="283"/>
        <w:jc w:val="both"/>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For arrangements that include sales-based royalties, including milestone payments based on the level of sales, and where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its licensing arrangements.</w:t>
      </w:r>
    </w:p>
    <w:p>
      <w:pPr>
        <w:pStyle w:val="TextBody"/>
        <w:spacing w:lineRule="auto" w:line="288" w:before="240" w:after="283"/>
        <w:jc w:val="both"/>
        <w:rPr/>
      </w:pPr>
      <w:r>
        <w:rPr>
          <w:rFonts w:ascii="Times New Roman;sans-serif" w:hAnsi="Times New Roman;sans-serif"/>
          <w:b w:val="false"/>
          <w:i/>
          <w:color w:val="000000"/>
          <w:sz w:val="20"/>
        </w:rPr>
        <w:t>Licenses of intellectual property:</w:t>
      </w:r>
      <w:r>
        <w:rPr>
          <w:color w:val="000000"/>
        </w:rPr>
        <w:t xml:space="preserve"> </w:t>
      </w:r>
      <w:r>
        <w:rPr>
          <w:rFonts w:ascii="Times New Roman;sans-serif" w:hAnsi="Times New Roman;sans-serif"/>
          <w:b w:val="false"/>
          <w:color w:val="000000"/>
          <w:sz w:val="20"/>
        </w:rPr>
        <w:t>If a license granted to a customer to use our intellectual property is determined to be distinct from the other performance 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pStyle w:val="TextBody"/>
        <w:spacing w:lineRule="auto" w:line="288" w:before="240" w:after="283"/>
        <w:jc w:val="both"/>
        <w:rPr/>
      </w:pPr>
      <w:r>
        <w:rPr>
          <w:rFonts w:ascii="Times New Roman;sans-serif" w:hAnsi="Times New Roman;sans-serif"/>
          <w:b w:val="false"/>
          <w:i/>
          <w:color w:val="000000"/>
          <w:sz w:val="20"/>
        </w:rPr>
        <w:t>Options:</w:t>
      </w:r>
      <w:r>
        <w:rPr>
          <w:color w:val="000000"/>
        </w:rPr>
        <w:t xml:space="preserve"> </w:t>
      </w:r>
      <w:r>
        <w:rPr>
          <w:rFonts w:ascii="Times New Roman;sans-serif" w:hAnsi="Times New Roman;sans-serif"/>
          <w:b w:val="false"/>
          <w:color w:val="000000"/>
          <w:sz w:val="20"/>
        </w:rPr>
        <w:t>Customer options, such as options granted to allow a licensee to choose to research, develop and commercialize licensed compounds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pStyle w:val="TextBody"/>
        <w:spacing w:lineRule="auto" w:line="288" w:before="240" w:after="283"/>
        <w:jc w:val="both"/>
        <w:rPr/>
      </w:pPr>
      <w:r>
        <w:rPr>
          <w:rFonts w:ascii="Times New Roman;sans-serif" w:hAnsi="Times New Roman;sans-serif"/>
          <w:b w:val="false"/>
          <w:i/>
          <w:color w:val="000000"/>
          <w:sz w:val="20"/>
        </w:rPr>
        <w:t>Contract modifications:</w:t>
      </w:r>
      <w:r>
        <w:rPr>
          <w:color w:val="000000"/>
        </w:rPr>
        <w:t xml:space="preserve"> </w:t>
      </w:r>
      <w:r>
        <w:rPr>
          <w:rFonts w:ascii="Times New Roman;sans-serif" w:hAnsi="Times New Roman;sans-serif"/>
          <w:b w:val="false"/>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its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accounts receivable or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charged to expense as incurred and consisted of costs incurred to further our research and development activities and include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our behalf.</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Accrued Research and Development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our accrued expenses at the end of each reporting period.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costs. The majority of our service providers submit invoices in arrears for services performed or when contractual milestones are met. We make estimates of our accrued expenses as of each balance sheet date in the financial statements based on facts and circumstances known to us at that time. We periodically confirm the accuracy of our estimates with our service providers and make adjustments if necessary. Examples of estimated accrued research and development expenses include fees paid to:</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contract research organizations ("CROs") in connection with clinical studies;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investigative sites in connection with clinical studies;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vendors related to product manufacturing, development and distribution of clinical supplies;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vendors in connection with preclinical development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expenses related to clinical studies and manufacturing development activities based on our estimates of the services received and efforts expended pursuant to contracts with multiple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services will be performed, enrollment of subjects, number of sites activated and the level of effort to be expended in each period. If the actual timing of the performance of services or the level of effort varies from our estimate, we will adjust the accrued or prepaid expense balance accordingly.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regulatory approval of product candidates to be uncertain, and product manufactured prior to regulatory approval may not be sold unless regulatory approval is obtained. We expense manufacturing costs for product candidates incurred prior to regulatory approval as research and development expenses as manufacturing processes are performed. If and when regulatory approval of a product is obtained and we have plans to commercially launch the approved product, we begin capitalizing manufacturing costs related to the approved product into inventory. Although we received approval of IBSRELA (tenapanor) for the treatment of IBS-C in adults from the Food and Drug Administration (“FDA”) in September 2019, we did not plan to launch IBSRELA commercially at that time and, therefore, continued to expense manufacturing costs of tenapanor, which is also under development for another indication that has not received FDA approval. On November 30, 2021, we made the decision and announced our plans to commercially launch IBSRELA and as a result, in December 2021 we began to capitalize the costs of manufacturing processes associated with IBSRELA as those processes are completed. No manufacturing processes related to IBSRELA were completed in December, resulting in no inventory balance at December 31, 2021.</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for all stock-based payment awards made to employees, nonemployees and directors based on estimated fair values. For employee and nonemployee stock options, we determine the grant date fair value of the awards using the Black-Scholes option-pricing model and generally recognizes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our common stock on the date of grant and recognized as compensation expense on a straight-line basis over the requisite service period. Stock-based compensation expense is based on the value of the portion of stock-based payment awards that is ultimately expected to vest. As such, our stock-based compensation is reduced for the estimated forfeitures at the date of grant and revised, if necessary, in subsequent periods if actual forfeitures differ from those estimates.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Derivatives and Hedging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derivative instruments as either assets or liabilities on the balance sheet and measure them at fair value. Derivatives are adjusted to fair value through other income (expense), net in the statements of operations and comprehensive loss.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the inception of the arrangement. Operating leases are included in right-of-use assets, current portion of operating lease liability, and operating lease liability, net of current portion in our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 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 We have elected not to separate lease and non-lease components, such as common area maintenance charges, and instead it accounts for these as a single lease component.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restructuring charges related to reorganization plans that have been committed to by management when liabilities have been incurred. In connection with these activities, we record restructuring charges at fair value for, (a) contractual employee termination benefits when obligations are associated to services already rendered, rights to such benefits have vested, and payment of benefits is probable and can be reasonably estimated, (b)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(c) contract termination costs when a contract is terminated before the end of its term.</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the net loss by the weighted-average number of common shares outstanding during the period, without consideration of potential common shares. Diluted net loss per common share in the periods presented is the same as basic net loss per common share, since the effects of potentially dilutive securities are antidilutive due to the net loss for all periods presented.</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 - Recently Adopted</w:t>
      </w:r>
    </w:p>
    <w:p>
      <w:pPr>
        <w:pStyle w:val="TextBody"/>
        <w:spacing w:lineRule="auto" w:line="288" w:before="240" w:after="283"/>
        <w:jc w:val="both"/>
        <w:rPr/>
      </w:pPr>
      <w:r>
        <w:rPr>
          <w:rFonts w:ascii="Times New Roman;sans-serif" w:hAnsi="Times New Roman;sans-serif"/>
          <w:b w:val="false"/>
          <w:color w:val="000000"/>
          <w:sz w:val="20"/>
        </w:rPr>
        <w:t>In December 2019, as part of its initiative to reduce complexity in the accounting standards, the Financial Accounting Standards Board (“FASB”) issued Accounting Standards Update (“ASU”) 2019-12, </w:t>
      </w:r>
      <w:r>
        <w:rPr>
          <w:rFonts w:ascii="Times New Roman;sans-serif" w:hAnsi="Times New Roman;sans-serif"/>
          <w:b w:val="false"/>
          <w:i/>
          <w:color w:val="000000"/>
          <w:sz w:val="20"/>
        </w:rPr>
        <w:t>Income Taxes (Topic 740): Simplifying the Accounting for Income Taxes</w:t>
      </w:r>
      <w:r>
        <w:rPr>
          <w:color w:val="000000"/>
        </w:rPr>
        <w:t> </w:t>
      </w:r>
      <w:r>
        <w:rPr>
          <w:rFonts w:ascii="Times New Roman;sans-serif" w:hAnsi="Times New Roman;sans-serif"/>
          <w:b w:val="false"/>
          <w:color w:val="000000"/>
          <w:sz w:val="20"/>
        </w:rPr>
        <w:t>(“ASU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We early adopted ASU 2019-12 on April 1, 2020 and this adoption had no material impact on our financial position or results of operations.</w:t>
      </w:r>
    </w:p>
    <w:p>
      <w:pPr>
        <w:pStyle w:val="TextBody"/>
        <w:spacing w:lineRule="auto" w:line="288" w:before="240" w:after="283"/>
        <w:jc w:val="both"/>
        <w:rPr/>
      </w:pPr>
      <w:r>
        <w:rPr>
          <w:rFonts w:ascii="Times New Roman;sans-serif" w:hAnsi="Times New Roman;sans-serif"/>
          <w:b w:val="false"/>
          <w:color w:val="000000"/>
          <w:sz w:val="20"/>
        </w:rPr>
        <w:t xml:space="preserve">We adopted Accounting Standards Update 2016-13, </w:t>
      </w:r>
      <w:r>
        <w:rPr>
          <w:rFonts w:ascii="Times New Roman;sans-serif" w:hAnsi="Times New Roman;sans-serif"/>
          <w:b w:val="false"/>
          <w:i/>
          <w:color w:val="000000"/>
          <w:sz w:val="20"/>
        </w:rPr>
        <w:t xml:space="preserve">Financial Instruments - Credit Losses: Measurement of Credit Losses on Financial Instruments </w:t>
      </w:r>
      <w:r>
        <w:rPr>
          <w:rFonts w:ascii="Times New Roman;sans-serif" w:hAnsi="Times New Roman;sans-serif"/>
          <w:b w:val="false"/>
          <w:color w:val="000000"/>
          <w:sz w:val="20"/>
        </w:rPr>
        <w:t>("ASU 2016-13"), as of December 1, 2021 under the modified retrospective approach.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various accounting standards and interpretations issued recently, none of which are expected to a have a material impact on our financial position,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3.     CASH AND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cash and investments as of December 31, 2021 and 2020 are summarized below (in thousands). Estimated fair value is based on quoted market prices for these investments.</w:t>
      </w:r>
    </w:p>
    <w:tbl>
      <w:tblPr>
        <w:tblW w:w="8363" w:type="dxa"/>
        <w:jc w:val="left"/>
        <w:tblInd w:w="0" w:type="dxa"/>
        <w:tblCellMar>
          <w:top w:w="28" w:type="dxa"/>
          <w:left w:w="28" w:type="dxa"/>
          <w:bottom w:w="28" w:type="dxa"/>
          <w:right w:w="28" w:type="dxa"/>
        </w:tblCellMar>
      </w:tblPr>
      <w:tblGrid>
        <w:gridCol w:w="1201"/>
        <w:gridCol w:w="1053"/>
        <w:gridCol w:w="1061"/>
        <w:gridCol w:w="262"/>
        <w:gridCol w:w="1027"/>
        <w:gridCol w:w="135"/>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201"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71,175 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tbl>
      <w:tblPr>
        <w:tblW w:w="8603" w:type="dxa"/>
        <w:jc w:val="left"/>
        <w:tblInd w:w="0" w:type="dxa"/>
        <w:tblCellMar>
          <w:top w:w="28" w:type="dxa"/>
          <w:left w:w="28" w:type="dxa"/>
          <w:bottom w:w="28" w:type="dxa"/>
          <w:right w:w="28" w:type="dxa"/>
        </w:tblCellMar>
      </w:tblPr>
      <w:tblGrid>
        <w:gridCol w:w="1277"/>
        <w:gridCol w:w="1120"/>
        <w:gridCol w:w="1128"/>
        <w:gridCol w:w="262"/>
        <w:gridCol w:w="1027"/>
        <w:gridCol w:w="135"/>
        <w:gridCol w:w="109"/>
        <w:gridCol w:w="109"/>
        <w:gridCol w:w="109"/>
        <w:gridCol w:w="211"/>
        <w:gridCol w:w="406"/>
        <w:gridCol w:w="109"/>
        <w:gridCol w:w="109"/>
        <w:gridCol w:w="109"/>
        <w:gridCol w:w="109"/>
        <w:gridCol w:w="211"/>
        <w:gridCol w:w="436"/>
        <w:gridCol w:w="109"/>
        <w:gridCol w:w="109"/>
        <w:gridCol w:w="109"/>
        <w:gridCol w:w="109"/>
        <w:gridCol w:w="211"/>
        <w:gridCol w:w="826"/>
        <w:gridCol w:w="154"/>
      </w:tblGrid>
      <w:tr>
        <w:trPr/>
        <w:tc>
          <w:tcPr>
            <w:tcW w:w="127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88,151 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and other debt securities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ours balance sheets. We use the specific identification method to determine the amount of realized gains or losses on sales of marketable securities. Realized gains or losses have been insignificant and are included in other income (expense), net, in the statement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short-term available-for-sale securities held as of December 31, 2021 and 2020, had contractual maturities of less than one year. The long-term securities held as of December 31, 2020 had contractual maturities greater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we write it down through the statement of operations to its fair value and establishes that value as a new cost basis for the investment. We did not identify any of its available-for-sale securities as other-than-temporarily impaired in any of the periods presented. As of December 31, 2021 and 2020, no investment was in a continuous unrealized loss position for more than one year and we believe that it is more likely than not that the investments will be held until maturity or a forecasted recovery of fair value.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amortized cost and estimated fair value of available-for-sale debt securities by contractual maturity were as follows (in thousands):</w:t>
      </w:r>
    </w:p>
    <w:tbl>
      <w:tblPr>
        <w:tblW w:w="4788" w:type="dxa"/>
        <w:jc w:val="left"/>
        <w:tblInd w:w="0" w:type="dxa"/>
        <w:tblCellMar>
          <w:top w:w="28" w:type="dxa"/>
          <w:left w:w="28" w:type="dxa"/>
          <w:bottom w:w="28" w:type="dxa"/>
          <w:right w:w="28" w:type="dxa"/>
        </w:tblCellMar>
      </w:tblPr>
      <w:tblGrid>
        <w:gridCol w:w="703"/>
        <w:gridCol w:w="619"/>
        <w:gridCol w:w="628"/>
        <w:gridCol w:w="289"/>
        <w:gridCol w:w="987"/>
        <w:gridCol w:w="149"/>
        <w:gridCol w:w="109"/>
        <w:gridCol w:w="109"/>
        <w:gridCol w:w="109"/>
        <w:gridCol w:w="211"/>
        <w:gridCol w:w="721"/>
        <w:gridCol w:w="154"/>
      </w:tblGrid>
      <w:tr>
        <w:trPr/>
        <w:tc>
          <w:tcPr>
            <w:tcW w:w="703"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the inputs to valuation techniques is briefly summarized as follows: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based on unobservable inputs in which there is little or no market data, which require the Company to develop its own assumptions.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and liabilities measured on a recurring basis by level within the fair value hierarchy (in thousands):</w:t>
      </w:r>
    </w:p>
    <w:tbl>
      <w:tblPr>
        <w:tblW w:w="7809" w:type="dxa"/>
        <w:jc w:val="left"/>
        <w:tblInd w:w="0" w:type="dxa"/>
        <w:tblCellMar>
          <w:top w:w="28" w:type="dxa"/>
          <w:left w:w="28" w:type="dxa"/>
          <w:bottom w:w="28" w:type="dxa"/>
          <w:right w:w="28" w:type="dxa"/>
        </w:tblCellMar>
      </w:tblPr>
      <w:tblGrid>
        <w:gridCol w:w="938"/>
        <w:gridCol w:w="823"/>
        <w:gridCol w:w="834"/>
        <w:gridCol w:w="243"/>
        <w:gridCol w:w="952"/>
        <w:gridCol w:w="125"/>
        <w:gridCol w:w="109"/>
        <w:gridCol w:w="109"/>
        <w:gridCol w:w="109"/>
        <w:gridCol w:w="211"/>
        <w:gridCol w:w="721"/>
        <w:gridCol w:w="109"/>
        <w:gridCol w:w="109"/>
        <w:gridCol w:w="109"/>
        <w:gridCol w:w="109"/>
        <w:gridCol w:w="211"/>
        <w:gridCol w:w="721"/>
        <w:gridCol w:w="109"/>
        <w:gridCol w:w="109"/>
        <w:gridCol w:w="109"/>
        <w:gridCol w:w="109"/>
        <w:gridCol w:w="211"/>
        <w:gridCol w:w="466"/>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71,175 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14" w:type="dxa"/>
        <w:jc w:val="left"/>
        <w:tblInd w:w="0" w:type="dxa"/>
        <w:tblCellMar>
          <w:top w:w="28" w:type="dxa"/>
          <w:left w:w="28" w:type="dxa"/>
          <w:bottom w:w="28" w:type="dxa"/>
          <w:right w:w="28" w:type="dxa"/>
        </w:tblCellMar>
      </w:tblPr>
      <w:tblGrid>
        <w:gridCol w:w="1769"/>
        <w:gridCol w:w="871"/>
        <w:gridCol w:w="884"/>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76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20"/>
        </w:rPr>
        <w:t xml:space="preserve">Where quoted prices are available in an active market, securities are classified as Level 1. We classify money market funds, U.S. treasury securities and U.S. treasury notes as Level 1. When quoted market prices are not available for the specific security, we estimate fair value by using benchmark yields, reported trades, broker/dealer quotes and issuer spreads. We classify corporate bonds, commercial paper, asset-backed securities and foreign currency derivative contracts as Level 2. In certain cases, where there is limited activity or less transparency around inputs to valuation, securities or derivative liabilities such as the 2018 Exit Fee, as defined and discussed in </w:t>
      </w:r>
      <w:r>
        <w:rPr>
          <w:rFonts w:ascii="Times New Roman;sans-serif" w:hAnsi="Times New Roman;sans-serif"/>
          <w:b w:val="false"/>
          <w:i/>
          <w:color w:val="000000"/>
          <w:sz w:val="20"/>
        </w:rPr>
        <w:t>Note 7 - Derivative Liability</w:t>
      </w:r>
      <w:r>
        <w:rPr>
          <w:rFonts w:ascii="Times New Roman;sans-serif" w:hAnsi="Times New Roman;sans-serif"/>
          <w:b w:val="false"/>
          <w:color w:val="000000"/>
          <w:sz w:val="20"/>
        </w:rPr>
        <w:t>, are classified as Level 3.</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reflected in the balance sheets for cash equivalents, short-term investments, accounts receivable, prepaid expenses and other current assets, accounts payable and accrued expenses approximate their fair values at both December 31, 2021 and December 31, 2020, due to their short-term nature.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December 31, 2021 and 2020.</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of our term loan facility approximates the rate at which we could obtain alternative financing. Therefore, the carrying amount of the term loan facility approximated its fair value at December 31,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     COLLABORATION AND LICENSING AGREEMENTS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Kyowa Kirin Co., Ltd. (2019 KKC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we entered into a research collaboration and option agreement with KKC (the "2019 KKC Agreement”), to undergo research to identify two preclinical study-ready compounds for designation as development compounds, with one compound inhibiting the first undisclosed target (“Program 1”) and a second inhibiting the second undisclosed target (“Program 2”). Pursuant to the 2019 KKC Agreement, upon completion of the research and designation by the research steering committee of one or more development candidates (“DCs”), KKC has the right to execute one or more separate collaborative agreements relating to the development and commercialization of one or both DCs in certain specified territories.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2019 KKC Agreement, KKC agreed to pay us a non-refundable, non-creditable upfront fee of $10.0 million, which was payable as follows: the first installment of $5.0 million within 30 days of the Effective Date, and the second installment of $5.0 million on the first anniversary of the effective date, unless the 2019 KKC Agreement was earlier terminated by KKC due to material breach by us. The term of the 2019 KKC Agreement commenced on November 11, 2019 (“the Effective Date”) and ends on the earliest of: (a) two years following the Effective Date, or (b) the nomination of a program DC for both programs, (c) or the nomination of one program DC and the decision by the parties to cease research for the other program, (d) or the decision by the parties to cease research for both programs. We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various promises in the 2019 KKC Agreement, including the grant of an initial research license, the Program 1 research, the Program 2 research, the right to obtain certain development and commercialization rights with Program 1 in certain territories and the right to obtain development and commercialization rights with Program 2 in certain territories, and participation in a joint steering committee (“the JSC”) and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We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outset of the 2019 KKC Agreement, we determined that the initial transaction price was $10.0 million and that revenue associated with the combined performance obligations should be recognized as services are provided using the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Management will re-evaluate the estimates related to the transaction price at the end of each reporting period and as uncertain events are resolved or other changes in circumstances occur and adjust the timing of revenue recognition as necessary.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and 2020, we recognized $4.2 million and $5.4 million, respectively, as revenue under the 2019 KKC Agreement in the statement of operations and comprehensive loss. The aggregate amount of the transaction price allocated to our partially unsatisfied performance obligations as of December 31, 2021 and 2020 was zero and $4.2 million, which was presented in the Balance Sheet as deferred revenue for each respective period. As of December 31,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 we have no material future obligations under the 2019 KKC Agreement. There were no significant changes in estimates associated with the 2019 KKC Agreement during the twelve months ended December 31, 2021.</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2017 KKC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sodium hydrogen exchanger 3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License Agreement, KKC is responsible for all of the development and commercialization costs for tenapanor in treatment of cardiorenal diseases and conditions, excluding cancer in Japan. Under the 2017 KKC Agreement, we are responsible for supplying the tenapanor drug product for KKC’s use in development and during commercialization until KKC has assumed such responsibility. Additionally,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these arrangements in accordance with ASC 606 and concluded that the contract counterparty, KKC, is a customer. Under the terms of the 2017 KKC Agreement, we received $30.0 million in up-front license fees which was recognized as revenue when the agreement was executed. Based on our assessment, we identified that the license and the manufacturing supply services were our material performance obligations at the inception of the agreement, and as such each of the performance obligations are distinct. Additionally, on January 1, 2018, we recorded unbilled revenue under current assets of $5.0 million and an increase in uncharged license fees under current liabilities of $1.0 million related to the first milestone under the 2017 KKC Agreement that KKC achieved in February 2019, reflecting revenues and cost of revenue, respectively, that would have been recognized in the fourth quarter 2017 if we had adopted ASC 606 prior to January 1, 2018. On KKC’s achievement of the milestone in February 2019, the balance related to unbilled revenue was adjusted to zero. Correspondingly, the $1.0 million balance related to uncharged license fees that we owed to AstraZeneca was reclassified to accounts payable during the first quarter of 2019, and subsequently paid to AstraZeneca during the second quarter of 2019.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up-front license fee received of $30.0 million, we may be entitled to receive up to $55.0 million in total development milestones, of which $10.0 million has been received to date, ¥8.5 billion Japanese yen for commercialization milestones, or approximately $73.9 million at the currency exchange rate on December 31, 2021, as well as reimbursement of cost,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$0.9 million and $1.4 million, respectively, of product supply revenue was recorded for manufacturing supply of tenapanor and other materials to KKC for product development and clinical trials in Japan, in accordance with our agreement with KKC, including $0.5 million accounts receivable as of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$5.0 million and zero, respectively, of licensing revenue was recorded. The 2021 licensing revenue was recorded upon the initiation of phase 3 clinical studies by KKC in Japan to evaluate tenapanor for hyperphosphatemia.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2021, we received a $3.2 million prepayment from KKC for the manufacturing of tenapanor drug substance. In addition, we have unbilled prepayments of $1.5 million from KKC for the manufacturing of tenapanor drug product reflected within prepaid and other current assets. Both amounts are reflected within our deferred revenue, non-current on our balance sheet as of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Shanghai Fosun Pharmaceutical Industrial Development Co. Ltd. , or Fosun Pharma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2017, we entered into an exclusive license agreement with Fosun Pharma (the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our assessment, we identified that the license and the manufacturing supply services were its material performance obligations at the inception of the agreement, and as such each of the performance obligations are distinct.</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December 31, 2021 and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no revenue was recorded related to the Fosun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Knight Therapeutics, Inc.</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an exclusive license agreement with Knight Therapeutics, Inc., (the "Knight Agreement") for the development, commercialization and distribution of tenapanor in Canada for hyperphosphatemia and IBS-C. We assessed these arrangements in accordance with ASC 606 and concluded that the contract counterparty, Knight, is a customer. Based on our assessment, it identified that the license and the manufacturing supply services were its material performance obligations at the inception of the agreement, and as such each of the performance obligations are distinct.</w:t>
      </w:r>
    </w:p>
    <w:p>
      <w:pPr>
        <w:pStyle w:val="TextBody"/>
        <w:spacing w:lineRule="auto" w:line="288" w:before="240" w:after="283"/>
        <w:jc w:val="both"/>
        <w:rPr/>
      </w:pPr>
      <w:r>
        <w:rPr>
          <w:rFonts w:ascii="Times New Roman;sans-serif" w:hAnsi="Times New Roman;sans-serif"/>
          <w:b w:val="false"/>
          <w:color w:val="000000"/>
          <w:sz w:val="20"/>
        </w:rPr>
        <w:t>Under the terms of the agreement, we received a</w:t>
      </w:r>
      <w:r>
        <w:rPr>
          <w:color w:val="000000"/>
        </w:rPr>
        <w:t xml:space="preserve"> </w:t>
      </w:r>
      <w:r>
        <w:rPr>
          <w:rFonts w:ascii="Times New Roman;sans-serif" w:hAnsi="Times New Roman;sans-serif"/>
          <w:b w:val="false"/>
          <w:color w:val="000000"/>
          <w:sz w:val="20"/>
        </w:rPr>
        <w:t>$2.3 million nonrefundable, one-time upfront payment in March 2018 and are eligible to receive additional development and commercialization milestone payments worth up to CAD22.2 million, or $17.4 million at the currency exchange rate on December 31, 2021,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December 31, 2021 and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$13 thousand and $0.7 million of licensing revenue was recorded, respectively, related to the Knight Agreement. For the years ended December 31, 2021 and 2020, zero and $0.1 million product supply revenue was recorded, respectively, related to the Knight Agreement. Pursuant to the AstraZeneca Termination Agreement, $1.0 million and $0.1 million of cost of revenue was recorded during 2021 and 2020,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Xuanzhu (HK) Biopharmaceutical Limited, or XuanZhu</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we entered into a license agreement with XuanZhu (“the XuanZhu Agreement") for a license to certain specific patent and patent applications. We assessed these arrangements in accordance with ASC 606 and concluded that the contract counterparty, XuanZhu, is a customer. Under the terms of the XuanZhu Agreement, we recognized $1.5 million in license fees when the agreement was executed, of which, $0.8 million was received upfront in November 2019 and achievement for the second $0.8 million payment was determined to be not materially at risk and probable of achievement and it was included in the transaction price as the amount was not probable of revenue reversal. Based on our assessment, we determined that we had one combined performance obligation, which is the license and the specific patent grant.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license fee of $1.5 million, we may be entitled to receive milestone payments. The variable consideration related to the remaining milestone payments has not been included in the transaction price as these were fully constrained at December 31, 2021 and 2020.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no license revenue was recorded related to the XuanZhu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AstraZeneca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2015, we entered into a termination agreement with AstraZeneca (the "AstraZeneca Termination Agreement") pursuant to which we remain liable to pay AstraZeneca license fees for (i) future royalties at a royalty rate of 10% of net sales of tenapanor or other NHE3 products by us or our licensees, and (ii) 20% of non-royalty revenue received from a licensee of tenapanor or certain other NHE3 inhibitors, up to a maximum of $75.0 million in aggregate for (i) and (ii).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in aggregate, we have recognized $11.6 million of the $75.0 million, recorded as cost of revenue, as follows (in thousands):</w:t>
      </w:r>
    </w:p>
    <w:tbl>
      <w:tblPr>
        <w:tblW w:w="6552" w:type="dxa"/>
        <w:jc w:val="left"/>
        <w:tblInd w:w="0" w:type="dxa"/>
        <w:tblCellMar>
          <w:top w:w="28" w:type="dxa"/>
          <w:left w:w="28" w:type="dxa"/>
          <w:bottom w:w="28" w:type="dxa"/>
          <w:right w:w="28" w:type="dxa"/>
        </w:tblCellMar>
      </w:tblPr>
      <w:tblGrid>
        <w:gridCol w:w="1472"/>
        <w:gridCol w:w="1199"/>
        <w:gridCol w:w="1213"/>
        <w:gridCol w:w="219"/>
        <w:gridCol w:w="748"/>
        <w:gridCol w:w="114"/>
        <w:gridCol w:w="109"/>
        <w:gridCol w:w="109"/>
        <w:gridCol w:w="109"/>
        <w:gridCol w:w="245"/>
        <w:gridCol w:w="837"/>
        <w:gridCol w:w="178"/>
      </w:tblGrid>
      <w:tr>
        <w:trPr/>
        <w:tc>
          <w:tcPr>
            <w:tcW w:w="147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of Revenue</w:t>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Paid</w:t>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2017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2018</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2019</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2020</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2021</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payment per termination agreement</w:t>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potential commitment</w:t>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Includes $1.0 million adjustment recorded pursuant to the adoption of ASC 606, as discussed in Note 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our current and non-current deferred revenue balances during the reporting period. The current deferred revenue balance is attributable entirely to the 2019 KKC Agreement and the non-current deferred revenue balance is attributable entirely to the 2017 KKC Agreement (in thousands):</w:t>
      </w:r>
    </w:p>
    <w:tbl>
      <w:tblPr>
        <w:tblW w:w="9128" w:type="dxa"/>
        <w:jc w:val="left"/>
        <w:tblInd w:w="0" w:type="dxa"/>
        <w:tblCellMar>
          <w:top w:w="28" w:type="dxa"/>
          <w:left w:w="28" w:type="dxa"/>
          <w:bottom w:w="28" w:type="dxa"/>
          <w:right w:w="28" w:type="dxa"/>
        </w:tblCellMar>
      </w:tblPr>
      <w:tblGrid>
        <w:gridCol w:w="2489"/>
        <w:gridCol w:w="2190"/>
        <w:gridCol w:w="2205"/>
        <w:gridCol w:w="211"/>
        <w:gridCol w:w="616"/>
        <w:gridCol w:w="109"/>
        <w:gridCol w:w="109"/>
        <w:gridCol w:w="109"/>
        <w:gridCol w:w="109"/>
        <w:gridCol w:w="211"/>
        <w:gridCol w:w="616"/>
        <w:gridCol w:w="154"/>
      </w:tblGrid>
      <w:tr>
        <w:trPr/>
        <w:tc>
          <w:tcPr>
            <w:tcW w:w="2489"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revenue - current</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8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due to revenue recognized in the period for which cash has been received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388" w:type="dxa"/>
        <w:jc w:val="left"/>
        <w:tblInd w:w="0" w:type="dxa"/>
        <w:tblCellMar>
          <w:top w:w="28" w:type="dxa"/>
          <w:left w:w="28" w:type="dxa"/>
          <w:bottom w:w="28" w:type="dxa"/>
          <w:right w:w="28" w:type="dxa"/>
        </w:tblCellMar>
      </w:tblPr>
      <w:tblGrid>
        <w:gridCol w:w="1940"/>
        <w:gridCol w:w="1705"/>
        <w:gridCol w:w="1709"/>
        <w:gridCol w:w="211"/>
        <w:gridCol w:w="616"/>
        <w:gridCol w:w="109"/>
        <w:gridCol w:w="109"/>
        <w:gridCol w:w="109"/>
        <w:gridCol w:w="109"/>
        <w:gridCol w:w="211"/>
        <w:gridCol w:w="406"/>
        <w:gridCol w:w="154"/>
      </w:tblGrid>
      <w:tr>
        <w:trPr/>
        <w:tc>
          <w:tcPr>
            <w:tcW w:w="1940"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revenue - non-current</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cash received during the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unbilled prepayments recorded during the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pPr>
      <w:r>
        <w:rPr>
          <w:rFonts w:ascii="Times New Roman;sans-serif" w:hAnsi="Times New Roman;sans-serif"/>
          <w:b/>
          <w:color w:val="000000"/>
          <w:sz w:val="20"/>
        </w:rPr>
        <w:t>6.</w:t>
      </w:r>
      <w:r>
        <w:rPr>
          <w:color w:val="000000"/>
        </w:rPr>
        <w:t xml:space="preserve">     </w:t>
      </w:r>
      <w:r>
        <w:rPr>
          <w:rFonts w:ascii="Times New Roman;sans-serif" w:hAnsi="Times New Roman;sans-serif"/>
          <w:b/>
          <w:color w:val="000000"/>
          <w:sz w:val="20"/>
        </w:rPr>
        <w:t>BORROWINGS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Solar Capital and Western Alliance Bank Loan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2018, we entered into a loan and security agreement (the "2018 Loan Agreement"), with Solar Capital Ltd. and Western Alliance Bank (the "Lenders”). The 2018 Loan Agreement provides for a $50.0 million term loan facility with a maturity date of November 1, 2022 (the "2018 Term Loan”). The full amount of the 2018 Term Loan was funded on May 16, 2018. We received net proceeds from the loan of approximately $49.3 million, after deducting the closing fee, legal expenses and issuance costs. On October 9, 2020, we and the Lenders entered into an amendment to the 2018 Loan Agreement (“the 2020 Amendment”) to extend the date through which we were permitted to make interest-only payments on the 2018 Term Loan by twelve months to December 1, 2021 subject to the repayment terms noted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2018 Term Loan bear interest at a floating per annum rate equal to 7.45% plus the one-month London Inter-bank Offered Rate ("LIBOR"). We were permitted to make interest-only payments on the 2018 Term Loan through June 1, 2020, or until we achieved our primary endpoint in the Phase 3 study of tenapanor for the treatment of hyperphosphatemia in end-stage renal disease patients on dialysis prior to June 1, 2020, in which case we would have been permitted to make interest-only payments on the 2018 Term Loan through December 1, 2020. On December 3, 2019, we reported positive topline results for PHREEDOM, a long-term Phase 3 study evaluating the efficacy and safety of tenapanor as monotherapy for the treatment of hyperphosphatemia in adult patients with CKD on dialysis. The Lenders were in agreement that these positive data from the Phase 3 PHREEDOM study achieve the “Phase 3 Endpoint” required by the 2018 Term Loan to extend the interest only period by six months to December 1, 2020. Subsequent to the 2020 Amendment, the interest only period was extended an additional twelve months to December 1, 2021. Accordingly, beginning on December 1, 2021 through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we would have been required to make monthly payments of interest plus repayment of the 2018 Term Loan in consecutive equal monthly installments of principal. If however, either the FDA did not approve our NDA for tenapanor for control of serum phosphorus in adult patients with CKD on dialysis on or before May 31, 2021 or the FDA issued a Complete Response Letter ("CRL") for tenapanor for the control of serum phosphorus in adult CKD on dialysis, then we would begin principal payments on the earlier of June 1, 2021 or the first day of the month immediately following the date that the FDA issued a CRL to us.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and July 2021, we and the Lenders entered into additional amendments to the 2018 Loan Agreement (“the 2021 Amendments”) which together extended the period of time that we were permitted to make interest-only payments on the 2018 Term Loan to December 1, 2021; provided that if we had not received FDA approval for our NDA for tenapanor for the control of serum phosphorus in adult patients with CDK on dialysis on or before October 25, 2021, the interest-only period would expire and principal repayments would be required to begin on November 1, 2021. If principal repayments were required to begin prior to December 1, 2021 under the 2021 Amendments, then the first such repayment was required include all payments that would have been due if monthly principal repayment had begun on June 1, 2021. Accordingly, during November 2021, in compliance with the terms of our 2018 Loan Agreement, we paid the first principal repayment on the 2018 Term Loan in the amount of $16.7 million and have paid all other subsequently due principal payments through December 31, 2021.</w:t>
      </w:r>
    </w:p>
    <w:p>
      <w:pPr>
        <w:pStyle w:val="TextBody"/>
        <w:spacing w:lineRule="auto" w:line="288" w:before="240" w:after="283"/>
        <w:jc w:val="both"/>
        <w:rPr/>
      </w:pPr>
      <w:r>
        <w:rPr>
          <w:rFonts w:ascii="Times New Roman;sans-serif" w:hAnsi="Times New Roman;sans-serif"/>
          <w:b w:val="false"/>
          <w:color w:val="000000"/>
          <w:sz w:val="20"/>
        </w:rPr>
        <w:t xml:space="preserve">We paid a closing fee of $0.5 million, upon the closing of the 2018 Term Loan and $0.1 million upon closing of the 2020 Amendment. Under the 2018 Term Loan, we were obligated to pay a final fee equal to 3.95% of the 2018 Term Loan upon the earliest to occur of the maturity date, the acceleration of the 2018 Term Loan, the prepayment or repayment of the 2018 Term Loan or the termination of the 2018 Loan Agreement. Under the 2020 Amendment, the final fee was increased to 4.95% of the 2018 Term Loan. We may voluntarily prepay the outstanding 2018 Term Loan, subject to a prepayment premium of (i) 3% of the principal amount of the 2018 Term Loan if prepaid prior to or on the first anniversary of the Closing Date, (ii) 2% of the principal amount of the 2018 Term Loan if prepaid after the first anniversary of the Closing Date through and including the second anniversary of the Closing Date, or (iii) 1% of the principal amount of the 2018 Term Loan if prepaid after the second anniversary of the Closing Date and prior to the maturity date. The 2018 Term Loan is secured by substantially all of our assets, except for our intellectual property and certain other customary exclusions. Additionally, in connection with the 2018 Term Loan, we entered into the 2018 Exit Fee Agreement, as discussed in </w:t>
      </w:r>
      <w:r>
        <w:rPr>
          <w:rFonts w:ascii="Times New Roman;sans-serif" w:hAnsi="Times New Roman;sans-serif"/>
          <w:b w:val="false"/>
          <w:i/>
          <w:color w:val="000000"/>
          <w:sz w:val="20"/>
        </w:rPr>
        <w:t>Note 7 - Derivative Liability</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2018 Loan Agreement contains customary representations and warranties and customary affirmative and negative covenants, including restrictions on payment of dividends for our common stock. As of December 31, 2021, we were in compliance with all of the covenants set forth in the 2018 Loan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2018 Loan Agreement contains customary events of default that entitle the Lender to cause our indebtedness under the 2018 Loan Agreement to become immediately due and payable, and to exercise remedies against us and the collateral securing the 2018 Term Loan, including its cash. Upon the occurrence and for the duration of an event of default, an additional default interest rate equal to 4.0% per annum will apply to all obligations owed under the 2018 Loan Agreement. As of December 31, 2021, to our knowledge, there were no facts or circumstances in existence that would give rise to an event of default.</w:t>
      </w:r>
    </w:p>
    <w:p>
      <w:pPr>
        <w:pStyle w:val="TextBody"/>
        <w:spacing w:lineRule="auto" w:line="288" w:before="240" w:after="283"/>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18 - Subsequent Events</w:t>
      </w:r>
      <w:r>
        <w:rPr>
          <w:rFonts w:ascii="Times New Roman;sans-serif" w:hAnsi="Times New Roman;sans-serif"/>
          <w:b w:val="false"/>
          <w:color w:val="000000"/>
          <w:sz w:val="20"/>
        </w:rPr>
        <w:t xml:space="preserve">, 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term loan facility, with $27.5 million (the “Term A Loan”) funded on the Closing Date and an additional $22.5 million that we may borrow on or prior to July 25, 2023; provided that (i) we have received approval by the FDA for our NDA for tenapanor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Term Loan”). The Term A Loan funds are being used to repay the Term Loan with the Lenders as discussed in </w:t>
      </w:r>
      <w:r>
        <w:rPr>
          <w:rFonts w:ascii="Times New Roman;sans-serif" w:hAnsi="Times New Roman;sans-serif"/>
          <w:b w:val="false"/>
          <w:i/>
          <w:color w:val="000000"/>
          <w:sz w:val="20"/>
        </w:rPr>
        <w:t>Note 6 - Borrowings</w:t>
      </w:r>
      <w:r>
        <w:rPr>
          <w:color w:val="000000"/>
        </w:rPr>
        <w:t xml:space="preserve"> </w:t>
      </w:r>
      <w:r>
        <w:rPr>
          <w:rFonts w:ascii="Times New Roman;sans-serif" w:hAnsi="Times New Roman;sans-serif"/>
          <w:b w:val="false"/>
          <w:color w:val="000000"/>
          <w:sz w:val="20"/>
        </w:rPr>
        <w:t xml:space="preserve">and to fund our ongoing operations. We had $25.0 million principal from the 2018 Term Loan outstanding as of the Closing Date. We have continued to classify the 2018 Term Loan balance as a current liability as of December 31, 2021 due to the determination of the existence of substantial doubt about our ability to continue operating as a going concern discussed in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 xml:space="preserve">and our assessment that the material adverse change clause under the 2022 Loan Agreement is not within the Company's control. The lender has not invoked the material adverse change clause as of the date of issuance of these financial statements.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rPr>
        <w:t xml:space="preserve">As of December 31, 2021, prior to restructuring our debt as discussed in </w:t>
      </w:r>
      <w:r>
        <w:rPr>
          <w:rFonts w:ascii="Times New Roman;sans-serif" w:hAnsi="Times New Roman;sans-serif"/>
          <w:b w:val="false"/>
          <w:i/>
          <w:color w:val="000000"/>
          <w:sz w:val="20"/>
        </w:rPr>
        <w:t>Note 18 - Subsequent Events</w:t>
      </w:r>
      <w:r>
        <w:rPr>
          <w:rFonts w:ascii="Times New Roman;sans-serif" w:hAnsi="Times New Roman;sans-serif"/>
          <w:b w:val="false"/>
          <w:color w:val="000000"/>
          <w:sz w:val="20"/>
        </w:rPr>
        <w:t>, our future payment obligations towards the 2018 Term Loan principal and final fee, excluding interest payments and the 2018 Exit Fee were as follows (in thousands):</w:t>
      </w:r>
    </w:p>
    <w:tbl>
      <w:tblPr>
        <w:tblW w:w="5405" w:type="dxa"/>
        <w:jc w:val="left"/>
        <w:tblInd w:w="0" w:type="dxa"/>
        <w:tblCellMar>
          <w:top w:w="28" w:type="dxa"/>
          <w:left w:w="28" w:type="dxa"/>
          <w:bottom w:w="28" w:type="dxa"/>
          <w:right w:w="28" w:type="dxa"/>
        </w:tblCellMar>
      </w:tblPr>
      <w:tblGrid>
        <w:gridCol w:w="1561"/>
        <w:gridCol w:w="1373"/>
        <w:gridCol w:w="1385"/>
        <w:gridCol w:w="211"/>
        <w:gridCol w:w="721"/>
        <w:gridCol w:w="154"/>
      </w:tblGrid>
      <w:tr>
        <w:trPr/>
        <w:tc>
          <w:tcPr>
            <w:tcW w:w="1561"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repayment obligations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Unaccreted value of final fee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Loan payable,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restructuring the 2018 Term Loan, we will have no debt repayment obligations in 2022 or 2023. We will be required to repay $6.9 million, $9.2 million, $9.2 million, and $2.3 million in Term A Loan principal repayments per year during 2024, 2025, 2026 and 2027, respectively, as well as a final fee in the amount of $1.4 million in 2027.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    DERIVATIVE LIABILITY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Exit Fee</w:t>
      </w:r>
    </w:p>
    <w:p>
      <w:pPr>
        <w:pStyle w:val="TextBody"/>
        <w:spacing w:lineRule="auto" w:line="288" w:before="240" w:after="283"/>
        <w:jc w:val="both"/>
        <w:rPr/>
      </w:pPr>
      <w:r>
        <w:rPr>
          <w:rFonts w:ascii="Times New Roman;sans-serif" w:hAnsi="Times New Roman;sans-serif"/>
          <w:b w:val="false"/>
          <w:color w:val="000000"/>
          <w:sz w:val="20"/>
        </w:rPr>
        <w:t xml:space="preserve">In May 2018, in connection with entering into the 2018 Loan Agreement, as defined and discussed in </w:t>
      </w:r>
      <w:r>
        <w:rPr>
          <w:rFonts w:ascii="Times New Roman;sans-serif" w:hAnsi="Times New Roman;sans-serif"/>
          <w:b w:val="false"/>
          <w:i/>
          <w:color w:val="000000"/>
          <w:sz w:val="20"/>
        </w:rPr>
        <w:t>Note 6 - Borrowing</w:t>
      </w:r>
      <w:r>
        <w:rPr>
          <w:rFonts w:ascii="Times New Roman;sans-serif" w:hAnsi="Times New Roman;sans-serif"/>
          <w:b w:val="false"/>
          <w:color w:val="000000"/>
          <w:sz w:val="20"/>
        </w:rPr>
        <w:t>, we entered into an agreement pursuant to which we agreed to pay $1.5 million in cash (the "2018 Exit Fee") upon any change of control transaction in respect of the Company or if we obtain both (i) FDA approval of tenapanor for the treatment of hyperphosphatemia in adult patients with CKD on dialysis and (ii) FDA approval of tenapanor for the treatment of patients with IBS-C, which was obtained on September 12, 2019 when the FDA approved IBSRELA, a 50 mg, twice daily oral pill for the treatment of IBS-C in adults (the “2018 Exit Fee Agreement”). Notwithstanding the prepayment or termination of the 2018 Term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 and other current liabilities on the accompanying balance sheets.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instrument include: i) our estimates of both the probability and timing of a potential $1.5 million payment to Solar Capital Ltd. and Western Alliance Bank as a result of the FDA approvals, and ii) a discount rate which was derived from our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recurring measurements included in Level 3 of the fair value hierarchy are presented as other income (expense), net in our Statements of Operations and were as follows for the years ended December 31, 2021, 2020 and 2019 (in thousands):</w:t>
      </w:r>
    </w:p>
    <w:tbl>
      <w:tblPr>
        <w:tblW w:w="8021" w:type="dxa"/>
        <w:jc w:val="left"/>
        <w:tblInd w:w="0" w:type="dxa"/>
        <w:tblCellMar>
          <w:top w:w="28" w:type="dxa"/>
          <w:left w:w="28" w:type="dxa"/>
          <w:bottom w:w="28" w:type="dxa"/>
          <w:right w:w="28" w:type="dxa"/>
        </w:tblCellMar>
      </w:tblPr>
      <w:tblGrid>
        <w:gridCol w:w="1686"/>
        <w:gridCol w:w="1484"/>
        <w:gridCol w:w="1494"/>
        <w:gridCol w:w="211"/>
        <w:gridCol w:w="616"/>
        <w:gridCol w:w="109"/>
        <w:gridCol w:w="109"/>
        <w:gridCol w:w="109"/>
        <w:gridCol w:w="109"/>
        <w:gridCol w:w="211"/>
        <w:gridCol w:w="616"/>
        <w:gridCol w:w="109"/>
        <w:gridCol w:w="109"/>
        <w:gridCol w:w="109"/>
        <w:gridCol w:w="109"/>
        <w:gridCol w:w="211"/>
        <w:gridCol w:w="466"/>
        <w:gridCol w:w="154"/>
      </w:tblGrid>
      <w:tr>
        <w:trPr/>
        <w:tc>
          <w:tcPr>
            <w:tcW w:w="1686"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liability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derivative liability</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liability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18 - Subsequent Events</w:t>
      </w:r>
      <w:r>
        <w:rPr>
          <w:rFonts w:ascii="Times New Roman;sans-serif" w:hAnsi="Times New Roman;sans-serif"/>
          <w:b w:val="false"/>
          <w:color w:val="000000"/>
          <w:sz w:val="20"/>
        </w:rPr>
        <w:t xml:space="preserve">, on February 23, 2022, we entered into an additional exit fee agreement with Solar whereby we agreed to pay an exit fee in the amount 2% of the 2022 Term Loan funded upon the first to occur of a specified exit event or revenue achievement event.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recorded right-of-use operating lease assets under three lease agreements. We have evaluated our facility leases and determined that, effective upon the adoption of Topic 842, the leases evaluated are all operating leases. We have performed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of our other contracts with suppliers and collaborators in accordance with Topic 842 and have determined that, except for the facility leases described below, none of our contracts contain a lease.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recorded a right-of-use operating lease asset located in Fremont, California under a lease agreement entered into in September 2008 that was amended in December 2012 to extend the lease agreement to September 2016. In September 2014, we signed the second amendment to our facility lease agreement to add space and to extend the lease term through September 2019. In May 2016, we signed a third amendment to our facility lease agreement in Fremont, California to add space and to extend the lease term through September 2021 (the “Third Amendment”). During May 2021, we entered into an additional amendment to the lease for our Fremont, California facility that extended the term of the lease to March 2025. The office space consists of 72,500 square feet, which includes 10,716 square feet added in September 2019. We do not have an option to renew the lease at our current Fremont location beyond March 2025.</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recorded a right-of-use operating lease asset located in Waltham, Massachusetts under a lease agreement entered into in October 2018. The office space consisted of 3,520 square feet with the lease terminating in September 2021. We did not renew the lease at our original Waltham, Massachusetts facility. During April 2021 and May 2021, we recorded right-of-use operating lease assets for a new facility in Waltham, Massachusetts under a lease agreement entered into during December 2020 with lease commencement dates during April and May 2021. The office space consists of 12,864 square feet with the lease terminating in June 2026. We have an option to extend the lease term for one additional five year period. This option to extend the lease term has not been included in the calculation since currently the exercise of the option is uncertain and therefore deemed not probable. We recorded a $1.6 million right-of-use asset and lease liability for the Waltham lease upon commencement of the lease.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recorded a right-of-use operating lease asset located in Milwaukee, Wisconsin under a lease agreement entered into in October 2020 with a lease commencement date in November 2020. The office space consists of 4,768 square feet with the lease terminating in February 2026. We have an option to extend the lease term by one additional five-year period. This option to extend the lease term has not been included in the calculation since currently the exercise of the option is uncertain and therefore deemed not probable. We recorded a $0.4 million right-of use asset and lease liability for the Milwaukee lease upon commencement of the lease.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leases are operating leases and each contain customary rent escalation clauses. Certain of the leases have both lease and non-lease components. We have as elected to account for each separate lease component and the non-lease components associated with that lease component as a single lease component for all classes of underlying assets.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the leases presented in the balance sheets (dollars in thousands):</w:t>
      </w:r>
    </w:p>
    <w:tbl>
      <w:tblPr>
        <w:tblW w:w="6572" w:type="dxa"/>
        <w:jc w:val="left"/>
        <w:tblInd w:w="0" w:type="dxa"/>
        <w:tblCellMar>
          <w:top w:w="28" w:type="dxa"/>
          <w:left w:w="28" w:type="dxa"/>
          <w:bottom w:w="28" w:type="dxa"/>
          <w:right w:w="28" w:type="dxa"/>
        </w:tblCellMar>
      </w:tblPr>
      <w:tblGrid>
        <w:gridCol w:w="1412"/>
        <w:gridCol w:w="1236"/>
        <w:gridCol w:w="1251"/>
        <w:gridCol w:w="211"/>
        <w:gridCol w:w="721"/>
        <w:gridCol w:w="271"/>
        <w:gridCol w:w="109"/>
        <w:gridCol w:w="109"/>
        <w:gridCol w:w="109"/>
        <w:gridCol w:w="211"/>
        <w:gridCol w:w="616"/>
        <w:gridCol w:w="316"/>
      </w:tblGrid>
      <w:tr>
        <w:trPr/>
        <w:tc>
          <w:tcPr>
            <w:tcW w:w="1412"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 31,</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Facilities</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life (years)</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statements of operations, were as follows (in thousands):</w:t>
      </w:r>
    </w:p>
    <w:tbl>
      <w:tblPr>
        <w:tblW w:w="5982" w:type="dxa"/>
        <w:jc w:val="left"/>
        <w:tblInd w:w="0" w:type="dxa"/>
        <w:tblCellMar>
          <w:top w:w="28" w:type="dxa"/>
          <w:left w:w="28" w:type="dxa"/>
          <w:bottom w:w="28" w:type="dxa"/>
          <w:right w:w="28" w:type="dxa"/>
        </w:tblCellMar>
      </w:tblPr>
      <w:tblGrid>
        <w:gridCol w:w="896"/>
        <w:gridCol w:w="787"/>
        <w:gridCol w:w="792"/>
        <w:gridCol w:w="211"/>
        <w:gridCol w:w="616"/>
        <w:gridCol w:w="109"/>
        <w:gridCol w:w="109"/>
        <w:gridCol w:w="109"/>
        <w:gridCol w:w="109"/>
        <w:gridCol w:w="211"/>
        <w:gridCol w:w="616"/>
        <w:gridCol w:w="109"/>
        <w:gridCol w:w="109"/>
        <w:gridCol w:w="109"/>
        <w:gridCol w:w="109"/>
        <w:gridCol w:w="211"/>
        <w:gridCol w:w="616"/>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December 31, 2021 (in thousands):</w:t>
      </w:r>
    </w:p>
    <w:tbl>
      <w:tblPr>
        <w:tblW w:w="5343" w:type="dxa"/>
        <w:jc w:val="left"/>
        <w:tblInd w:w="0" w:type="dxa"/>
        <w:tblCellMar>
          <w:top w:w="28" w:type="dxa"/>
          <w:left w:w="28" w:type="dxa"/>
          <w:bottom w:w="28" w:type="dxa"/>
          <w:right w:w="28" w:type="dxa"/>
        </w:tblCellMar>
      </w:tblPr>
      <w:tblGrid>
        <w:gridCol w:w="1462"/>
        <w:gridCol w:w="1284"/>
        <w:gridCol w:w="1289"/>
        <w:gridCol w:w="109"/>
        <w:gridCol w:w="109"/>
        <w:gridCol w:w="109"/>
        <w:gridCol w:w="211"/>
        <w:gridCol w:w="616"/>
        <w:gridCol w:w="154"/>
      </w:tblGrid>
      <w:tr>
        <w:trPr/>
        <w:tc>
          <w:tcPr>
            <w:tcW w:w="1462"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pPr>
      <w:r>
        <w:rPr>
          <w:rFonts w:ascii="Times New Roman;sans-serif" w:hAnsi="Times New Roman;sans-serif"/>
          <w:b/>
          <w:color w:val="000000"/>
          <w:sz w:val="20"/>
        </w:rPr>
        <w:t>9.</w:t>
      </w:r>
      <w:r>
        <w:rPr>
          <w:color w:val="000000"/>
        </w:rPr>
        <w:t xml:space="preserve">     </w:t>
      </w:r>
      <w:r>
        <w:rPr>
          <w:rFonts w:ascii="Times New Roman;sans-serif" w:hAnsi="Times New Roman;sans-serif"/>
          <w:b/>
          <w:color w:val="000000"/>
          <w:sz w:val="20"/>
        </w:rPr>
        <w:t>STOCKHOLDERS’ EQUITY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its common stock that may be issued and sold, from time to time, under an Open Market Sales Agreement with Jefferies LLC, as sales agent, deemed to be “at-the-market offerings” (the "2020 Open Market Sales Agreement"). Pursuant to the 2020 Open Market Sales Agreement, Jefferies, as sales agent, received a commission of up to 3.0% of the gross sales price for shares of common stock sold under the 2020 Open Market Sales Agreement. We sold 8.2 million shares of our common stock between the dates of November 13, 2020 through February 19, 2021, 4.0 million shares between the dates of May 11, 2021 through June 18, 2021, 3.3 million shares between the dates of August 24, 2021 through September 10, 2021 and 7.7 million between the dates of October 21, 2021 through December 31, 2021 for a cumulative total of 23.3 million shares and gross proceeds of $100.0 million at a weighted average sales price of approximately $4.30 per share which resulted in full utilization of the $100.0 million authorized amount under the 2020 Open Market Sales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December 31, 2021 we have sold 15.7 million shares and received gross proceeds of $25.0 million at a weighted average sales price of approximately $1.60 per share under the 2021 Open Market Sales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9, 2019, we completed an underwritten public offering of 20.0 million shares of common stock at a price of $6.25 per share before underwriting discounts and commissions (the "2019 Offering"). In connection with the 2019 Offering, we entered into an underwriting agreement, or the 2019 Underwriting Agreement, with Citigroup Global Markets Inc., Cowen and Company LLC, SVB Leerink LLC and Piper Jaffray &amp; Co., or collectively the 2019 Underwriters, pursuant to which we granted to the 2019 Underwriters a 30-day option to purchase up to an additional 3.0 million shares of our common stock, or the 2019 Overallotment. We completed the sale of 23.0 million shares, inclusive of the 2019 Overallotment, to the 2019 Underwriters and that sale resulted in the receipt by us of aggregate gross proceeds of approximately $143.8 million, less underwriting discounts, commissions and offering expenses totaling approximately $8.9 million, which resulted in net proceeds of approximately $134.9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2019, we and KKC entered into a stock purchase agreement, pursuant to which we sold an aggregate of approximately 2.9 million shares of its common stock at $6.96 per share for net proceeds of approximately $20.0 million, or the Private Placement. The Private Placement closed on November 25,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    EQUITY INCENTIVE PLANS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2008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granted options under its 2008 Stock Incentive Plan (the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 over a period of four years from the date of grant. In connection with the Board of Directors and stockholders’ approval of the 2014 Plan, all remaining shares available for future award under the 2008 Plan were transferred to 2014 Plan, and the 2008 Plan was terminated.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2014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2014 Equity Incentive Award Plan (the “2014 Plan”) became effective on June 18, 2014. Under the 2014 Plan, 1.4 million shares of common stock were initially reserved for issuance pursuant to a variety of stock-based compensation awards, including stock options, stock appreciation rights ("SARs"), restricted stock awards, service-based restricted stock unit (“RSU”) awards, performance-based restricted stock unit (“PRSU”) awards, deferred stock awards, deferred stock unit awards, dividend equivalent awards, stock payment awards and performance awards. In addition, 35 thousand shares that had been available for future awards under the 2008 Plan as of June 18, 2014, were added to the initial reserve available under the 2014 Plan, bringing the total reserve upon the effective date of the 2014 Plan to 1.5 million shares. The number of shares initially reserved for 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1.2 million shares, and (ii) if approved by the Administrator of the 2014 Plan, an annual increase on the first day of each fiscal year ending in 2024 equal to the lesser of (A) four percent (4.0%) of the shares of stock outstanding (on an as converted basis) on the last day of the immediately preceding fiscal year and (B) such smaller number of shares of stock as determined by our board of directors; provided, however, that no more than 10.7 million shares of stock may be issued upon the exercise of incentive stock options.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2016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2016, our board of directors approved the 2016 Employment Commencement Incentive Plan (the “Inducement Plan”) under which 1.0 million shares were reserved. In January 2021 and 2022, 0.5 million and 2.0 million shares, respectively, were added to the Inducement Plan. As of December 31, 2021, 0.4 million shares of our common stock were subject to inducement grants that were issued pursuant to the Inducement Plan.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under the 2008 Plan and the 2014 Plan, including grants issued to nonemployees, in the year ended December 31, 2021:</w:t>
      </w:r>
    </w:p>
    <w:tbl>
      <w:tblPr>
        <w:tblW w:w="10205" w:type="dxa"/>
        <w:jc w:val="left"/>
        <w:tblInd w:w="0" w:type="dxa"/>
        <w:tblCellMar>
          <w:top w:w="28" w:type="dxa"/>
          <w:left w:w="28" w:type="dxa"/>
          <w:bottom w:w="28" w:type="dxa"/>
          <w:right w:w="28" w:type="dxa"/>
        </w:tblCellMar>
      </w:tblPr>
      <w:tblGrid>
        <w:gridCol w:w="903"/>
        <w:gridCol w:w="724"/>
        <w:gridCol w:w="729"/>
        <w:gridCol w:w="574"/>
        <w:gridCol w:w="481"/>
        <w:gridCol w:w="458"/>
        <w:gridCol w:w="109"/>
        <w:gridCol w:w="109"/>
        <w:gridCol w:w="109"/>
        <w:gridCol w:w="539"/>
        <w:gridCol w:w="542"/>
        <w:gridCol w:w="386"/>
        <w:gridCol w:w="149"/>
        <w:gridCol w:w="149"/>
        <w:gridCol w:w="149"/>
        <w:gridCol w:w="307"/>
        <w:gridCol w:w="744"/>
        <w:gridCol w:w="165"/>
        <w:gridCol w:w="109"/>
        <w:gridCol w:w="109"/>
        <w:gridCol w:w="109"/>
        <w:gridCol w:w="390"/>
        <w:gridCol w:w="390"/>
        <w:gridCol w:w="391"/>
        <w:gridCol w:w="109"/>
        <w:gridCol w:w="109"/>
        <w:gridCol w:w="109"/>
        <w:gridCol w:w="287"/>
        <w:gridCol w:w="553"/>
        <w:gridCol w:w="214"/>
      </w:tblGrid>
      <w:tr>
        <w:trPr/>
        <w:tc>
          <w:tcPr>
            <w:tcW w:w="90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356"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Available for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w:t>
              <w:br/>
              <w:t>Average</w:t>
              <w:br/>
              <w:t>Remaining</w:t>
              <w:br/>
              <w:t>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Intrinsic Value</w:t>
            </w:r>
          </w:p>
        </w:tc>
      </w:tr>
      <w:tr>
        <w:trPr/>
        <w:tc>
          <w:tcPr>
            <w:tcW w:w="2356" w:type="dxa"/>
            <w:gridSpan w:val="3"/>
            <w:vMerge w:val="continue"/>
            <w:tcBorders/>
            <w:shd w:fill="auto" w:val="clear"/>
            <w:tcMar>
              <w:top w:w="0" w:type="dxa"/>
              <w:left w:w="0" w:type="dxa"/>
              <w:bottom w:w="0" w:type="dxa"/>
              <w:right w:w="0" w:type="dxa"/>
            </w:tcMar>
            <w:vAlign w:val="center"/>
          </w:tcPr>
          <w:p>
            <w:pPr>
              <w:pStyle w:val="Normal"/>
              <w:rPr/>
            </w:pPr>
            <w:r>
              <w:rPr/>
            </w:r>
          </w:p>
        </w:tc>
        <w:tc>
          <w:tcPr>
            <w:tcW w:w="151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Weighted-Average</w:t>
              <w:br/>
              <w:t>Exercise Price </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1,757,058 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9,790,049 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authorized</w:t>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4,201,766 </w:t>
            </w:r>
          </w:p>
        </w:tc>
        <w:tc>
          <w:tcPr>
            <w:tcW w:w="4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(3,409,719)</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3,409,719 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(331,310)</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2,451,306 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(2,451,306)</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0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w:t>
            </w:r>
          </w:p>
        </w:tc>
        <w:tc>
          <w:tcPr>
            <w:tcW w:w="4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4,974,422 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10,417,152 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2021</w:t>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10,417,152 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2021</w:t>
            </w:r>
          </w:p>
        </w:tc>
        <w:tc>
          <w:tcPr>
            <w:tcW w:w="1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6,772,289 </w:t>
            </w:r>
          </w:p>
        </w:tc>
        <w:tc>
          <w:tcPr>
            <w:tcW w:w="3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represents the difference between the total pre-tax value (i.e., the difference between our stock price and the exercise price) of stock options outstanding as of December 31, 2021, based on our common stock closing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price of $1.10 per share, which would have been received by the option holders had all their in-the-money options been exercised as of that date.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options exercised during the years ended December 31, 2021, 2020 and 2019, was $1.7 million, $2.7 million, and $0.4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estimated fair value of options granted during the years ended December 31, 2021, 2020 and 2019 was $3.92, $4.82 and $1.79 per share, respectively. The estimated grant date fair value of employee stock options was calculated using the Black-Scholes option-pricing model, based on the following weighted-average assumptions:</w:t>
      </w:r>
    </w:p>
    <w:tbl>
      <w:tblPr>
        <w:tblW w:w="4920" w:type="dxa"/>
        <w:jc w:val="left"/>
        <w:tblInd w:w="0" w:type="dxa"/>
        <w:tblCellMar>
          <w:top w:w="28" w:type="dxa"/>
          <w:left w:w="28" w:type="dxa"/>
          <w:bottom w:w="28" w:type="dxa"/>
          <w:right w:w="28" w:type="dxa"/>
        </w:tblCellMar>
      </w:tblPr>
      <w:tblGrid>
        <w:gridCol w:w="679"/>
        <w:gridCol w:w="597"/>
        <w:gridCol w:w="599"/>
        <w:gridCol w:w="254"/>
        <w:gridCol w:w="257"/>
        <w:gridCol w:w="271"/>
        <w:gridCol w:w="109"/>
        <w:gridCol w:w="109"/>
        <w:gridCol w:w="109"/>
        <w:gridCol w:w="254"/>
        <w:gridCol w:w="257"/>
        <w:gridCol w:w="271"/>
        <w:gridCol w:w="109"/>
        <w:gridCol w:w="109"/>
        <w:gridCol w:w="109"/>
        <w:gridCol w:w="254"/>
        <w:gridCol w:w="257"/>
        <w:gridCol w:w="316"/>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pP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We have limited historical information to develop reasonable expectations about future exercise patterns and post-vesting employment termination behavior for its stock-option grants. As such, the expected term has been estimated using the simplified method whereby the expected term equals the arithmetic average of the vesting term and the original contractual term of the option. Beginning in 2021, we estimate the expected term of our options based upon historical exercises and post-vesting termination behavior, which has not resulted in a material difference as compared to using the simplified method.</w:t>
      </w:r>
    </w:p>
    <w:p>
      <w:pPr>
        <w:pStyle w:val="TextBody"/>
        <w:spacing w:lineRule="auto" w:line="288" w:before="240" w:after="283"/>
        <w:jc w:val="both"/>
        <w:rPr/>
      </w:pPr>
      <w:r>
        <w:rPr>
          <w:rFonts w:ascii="Times New Roman;sans-serif" w:hAnsi="Times New Roman;sans-serif"/>
          <w:b w:val="false"/>
          <w:i/>
          <w:color w:val="000000"/>
          <w:sz w:val="20"/>
        </w:rPr>
        <w:t>Expected Volatility</w:t>
      </w:r>
      <w:r>
        <w:rPr>
          <w:color w:val="000000"/>
        </w:rPr>
        <w:t>—</w:t>
      </w:r>
      <w:r>
        <w:rPr>
          <w:rFonts w:ascii="Times New Roman;sans-serif" w:hAnsi="Times New Roman;sans-serif"/>
          <w:b w:val="false"/>
          <w:color w:val="000000"/>
          <w:sz w:val="20"/>
        </w:rPr>
        <w:t>Since January 1, 2017, we use the historic volatility of our own stock over the retrospective period corresponding to the expected remaining term of the options, or the period since our shares were first quoted on The Nasdaq Global Market, if that is shorter, to compute our expected stock price volatility.</w:t>
      </w:r>
    </w:p>
    <w:p>
      <w:pPr>
        <w:pStyle w:val="TextBody"/>
        <w:spacing w:lineRule="auto" w:line="288" w:before="240" w:after="283"/>
        <w:jc w:val="both"/>
        <w:rPr/>
      </w:pP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The risk-free interest rate assumption is based on the zero-coupon U.S. treasury instruments on the date of grant with a maturity date consistent with the expected term of our stock option grants.</w:t>
      </w:r>
    </w:p>
    <w:p>
      <w:pPr>
        <w:pStyle w:val="TextBody"/>
        <w:spacing w:lineRule="auto" w:line="288" w:before="240" w:after="283"/>
        <w:jc w:val="both"/>
        <w:rPr/>
      </w:pPr>
      <w:r>
        <w:rPr>
          <w:rFonts w:ascii="Times New Roman;sans-serif" w:hAnsi="Times New Roman;sans-serif"/>
          <w:b w:val="false"/>
          <w:i/>
          <w:color w:val="000000"/>
          <w:sz w:val="20"/>
        </w:rPr>
        <w:t>Dividend Yield</w:t>
      </w:r>
      <w:r>
        <w:rPr>
          <w:color w:val="000000"/>
        </w:rPr>
        <w:t>—</w:t>
      </w:r>
      <w:r>
        <w:rPr>
          <w:rFonts w:ascii="Times New Roman;sans-serif" w:hAnsi="Times New Roman;sans-serif"/>
          <w:b w:val="false"/>
          <w:color w:val="000000"/>
          <w:sz w:val="20"/>
        </w:rPr>
        <w:t>To date, we have not declared or paid any cash dividends and does not have any plans to do so in the future. Therefore, we use an expected dividend yield of zero.</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 under the 2014 Plan in the year ended December 31, 2021, and includes restricted stock units with time or service-based vesting and those restricted stock units with performance-based vesting:</w:t>
      </w:r>
    </w:p>
    <w:tbl>
      <w:tblPr>
        <w:tblW w:w="8140" w:type="dxa"/>
        <w:jc w:val="left"/>
        <w:tblInd w:w="0" w:type="dxa"/>
        <w:tblCellMar>
          <w:top w:w="28" w:type="dxa"/>
          <w:left w:w="28" w:type="dxa"/>
          <w:bottom w:w="28" w:type="dxa"/>
          <w:right w:w="28" w:type="dxa"/>
        </w:tblCellMar>
      </w:tblPr>
      <w:tblGrid>
        <w:gridCol w:w="1664"/>
        <w:gridCol w:w="1458"/>
        <w:gridCol w:w="1467"/>
        <w:gridCol w:w="488"/>
        <w:gridCol w:w="488"/>
        <w:gridCol w:w="296"/>
        <w:gridCol w:w="109"/>
        <w:gridCol w:w="109"/>
        <w:gridCol w:w="109"/>
        <w:gridCol w:w="373"/>
        <w:gridCol w:w="904"/>
        <w:gridCol w:w="194"/>
        <w:gridCol w:w="109"/>
        <w:gridCol w:w="109"/>
        <w:gridCol w:w="109"/>
        <w:gridCol w:w="154"/>
      </w:tblGrid>
      <w:tr>
        <w:trPr/>
        <w:tc>
          <w:tcPr>
            <w:tcW w:w="1664"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4,144,051 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(193,147)</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(580,848)</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2021</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3,528,682 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we granted 0.9 million PRSUs to our employees that vested upon the achievement of certain performance conditions, subject to the employees’ continued service relationship with us through the achievement date. During 2020, we granted an additional 30 thousand PRSUs subject to the same performance conditions. All 0.9 million of these PRSUs vested in September 2020. None of these PRSUs vested during the years ended December 31, 2019 or 2018. We recognized zero and $1.2 million of related expense during the years ended December 31, 2021 and 2020,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estimated fair value of RSUs vested during the years ended December 31, 2021, 2020 and 2019 was $0.8 million, zero and $0.2 million, respectively.</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we issued approximately 26 thousand, 42 thousand and 113 thousand shares, respectively, of common stock to members of the board of directors who elected to receive stock in lieu of their cash fees under our Non-Employee Director Compensation Program. The shares issued during the years ended December 31, 2021, 2020 and 2019 were valued at $0.2 million, $0.3 million and $0.3 million for each year, respectively, based on the fair value of the common stock on the date of grant.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adopted the 2014 Employee Stock Purchase Plan (“ESPP”) and initially reserved approximately 0.2 million shares of common stock as of its effective date of June 18, 2014. If approved by the Administrator of the ESPP, on the first day of each calendar year, ending in 2024, the number of shares in the reserve will increase by an amount equal to the lesser of (i) one percent (1.0%) of the shares of common stock outstanding on the last day of the immediately preceding fiscal year and (ii) such number of shares of common stock as determined by the board of directors; provided, however, no more than $2.2 million shares of our common stock may be issued under the ESPP.</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ESPP activity during the year ended December 31, 2021:</w:t>
      </w:r>
    </w:p>
    <w:tbl>
      <w:tblPr>
        <w:tblW w:w="9468" w:type="dxa"/>
        <w:jc w:val="left"/>
        <w:tblInd w:w="0" w:type="dxa"/>
        <w:tblCellMar>
          <w:top w:w="28" w:type="dxa"/>
          <w:left w:w="28" w:type="dxa"/>
          <w:bottom w:w="28" w:type="dxa"/>
          <w:right w:w="28" w:type="dxa"/>
        </w:tblCellMar>
      </w:tblPr>
      <w:tblGrid>
        <w:gridCol w:w="939"/>
        <w:gridCol w:w="825"/>
        <w:gridCol w:w="830"/>
        <w:gridCol w:w="450"/>
        <w:gridCol w:w="450"/>
        <w:gridCol w:w="441"/>
        <w:gridCol w:w="109"/>
        <w:gridCol w:w="109"/>
        <w:gridCol w:w="109"/>
        <w:gridCol w:w="488"/>
        <w:gridCol w:w="488"/>
        <w:gridCol w:w="471"/>
        <w:gridCol w:w="109"/>
        <w:gridCol w:w="109"/>
        <w:gridCol w:w="109"/>
        <w:gridCol w:w="468"/>
        <w:gridCol w:w="1134"/>
        <w:gridCol w:w="242"/>
        <w:gridCol w:w="109"/>
        <w:gridCol w:w="109"/>
        <w:gridCol w:w="109"/>
        <w:gridCol w:w="320"/>
        <w:gridCol w:w="707"/>
        <w:gridCol w:w="23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Available</w:t>
              <w:br/>
              <w:t>for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Purchase Price</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349,647 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661,611 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(386,664)</w:t>
            </w:r>
          </w:p>
        </w:tc>
        <w:tc>
          <w:tcPr>
            <w:tcW w:w="4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386,664 </w:t>
            </w:r>
          </w:p>
        </w:tc>
        <w:tc>
          <w:tcPr>
            <w:tcW w:w="4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898,982 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1,048,275 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weighted-average assumptions for the Black-Scholes option-pricing model used in determining the fair value of ESPP purchase rights granted to our employees:</w:t>
      </w:r>
    </w:p>
    <w:p>
      <w:pPr>
        <w:pStyle w:val="TextBody"/>
        <w:spacing w:before="240" w:after="283"/>
        <w:jc w:val="both"/>
        <w:rPr/>
      </w:pPr>
      <w:r>
        <w:rPr/>
      </w:r>
    </w:p>
    <w:tbl>
      <w:tblPr>
        <w:tblW w:w="4920" w:type="dxa"/>
        <w:jc w:val="left"/>
        <w:tblInd w:w="0" w:type="dxa"/>
        <w:tblCellMar>
          <w:top w:w="28" w:type="dxa"/>
          <w:left w:w="28" w:type="dxa"/>
          <w:bottom w:w="28" w:type="dxa"/>
          <w:right w:w="28" w:type="dxa"/>
        </w:tblCellMar>
      </w:tblPr>
      <w:tblGrid>
        <w:gridCol w:w="679"/>
        <w:gridCol w:w="597"/>
        <w:gridCol w:w="599"/>
        <w:gridCol w:w="255"/>
        <w:gridCol w:w="256"/>
        <w:gridCol w:w="271"/>
        <w:gridCol w:w="109"/>
        <w:gridCol w:w="109"/>
        <w:gridCol w:w="109"/>
        <w:gridCol w:w="254"/>
        <w:gridCol w:w="257"/>
        <w:gridCol w:w="271"/>
        <w:gridCol w:w="109"/>
        <w:gridCol w:w="109"/>
        <w:gridCol w:w="109"/>
        <w:gridCol w:w="254"/>
        <w:gridCol w:w="257"/>
        <w:gridCol w:w="316"/>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recognized was as follows (in thousands):</w:t>
      </w:r>
    </w:p>
    <w:tbl>
      <w:tblPr>
        <w:tblW w:w="6026" w:type="dxa"/>
        <w:jc w:val="left"/>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total unrecognized stock-based compensation expense, net of estimated forfeitures, of the following (dollars in thousands):</w:t>
      </w:r>
    </w:p>
    <w:tbl>
      <w:tblPr>
        <w:tblW w:w="8126" w:type="dxa"/>
        <w:jc w:val="left"/>
        <w:tblInd w:w="0" w:type="dxa"/>
        <w:tblCellMar>
          <w:top w:w="28" w:type="dxa"/>
          <w:left w:w="28" w:type="dxa"/>
          <w:bottom w:w="28" w:type="dxa"/>
          <w:right w:w="28" w:type="dxa"/>
        </w:tblCellMar>
      </w:tblPr>
      <w:tblGrid>
        <w:gridCol w:w="618"/>
        <w:gridCol w:w="543"/>
        <w:gridCol w:w="548"/>
        <w:gridCol w:w="568"/>
        <w:gridCol w:w="1942"/>
        <w:gridCol w:w="295"/>
        <w:gridCol w:w="109"/>
        <w:gridCol w:w="109"/>
        <w:gridCol w:w="109"/>
        <w:gridCol w:w="960"/>
        <w:gridCol w:w="960"/>
        <w:gridCol w:w="1365"/>
      </w:tblGrid>
      <w:tr>
        <w:trPr/>
        <w:tc>
          <w:tcPr>
            <w:tcW w:w="61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Remaining Vesting Period (Years)</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56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     RESTRUCTURING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2021, our Board of Directors approved, and on August 2, 2021, we began implementing a restructuring plan to better align our workforce and anticipated commercial and development spend with our capital resources and the needs of our business following the receipt of the CRL. Under the restructuring plan, we reduced our workforce by 83 employees (approximately 33%). Impacted employees received cash payments equal to their base pay for a notice period of sixty (60) days and Company funded COBRA premiums through such notice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conclusion of an End of Review Type A meeting with the FDA, on October 8, 2021, our Board of Directors approved and, on October 12, 2021, we began to implement an additional restructuring plan to further reduce operating costs and better align our workforce with the needs of our business. Under the additional restructuring plan, we planned to reduce our workforce by approximately 100 of our remaining employees (approximately 60%). The impacted employees received notice that their positions would be eliminated during December 2021.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2021, we announced plans to launch IBSRELA, our approved treatment for IBS-C in adults. In connection with the planned launch of IBSRELA, which we currently expect to commence in April 2022, we retained 28 of the employees whose positions were originally eliminated as part of the additional restructuring plan, thereby reducing the number of employees terminated as part of the restructuring plan to 72. The additional restructuring plan, which resulted in the elimination of our research organization and significantly altered our commercial sales and marketing organizations, was substantially completed in December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Impacted employees were eligible to receive severance benefits and additional Company funded COBRA premiums, contingent upon an impacted employee’s execution (and non-revocation) of a separation agreement, which included a general release of claims against us. In connection with restructuring, we have incurred restructuring charges of $6.2 million, which were recorded during the twelve months ended December 31, 2021, related to one-time termination notice and severance payments and other employee-related costs. We did not incur any significant contract termination costs pursuant to restructuring. Of the charges, $2.7 million was recorded in research and development expenses, and $3.5 million was recorded in general and administrative expense in the accompanying statements of operations and comprehensive loss. Most of the cash payments related to the reduction in workforce were disbursed during the twelve months ended December 31, 2021. We have reported the remaining estimated restructuring liability of $0.5 million as accrued compensation and benefits in our Balance Sheet as of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October 8, 2021, our Board approved, and management has implemented a retention program consisting of cash payments and grants of RSUs to our employees, including our executives, not impacted by the reduction in force.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12.     PROPERTY AND EQUIPMENT,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tbl>
      <w:tblPr>
        <w:tblW w:w="5138" w:type="dxa"/>
        <w:jc w:val="left"/>
        <w:tblInd w:w="0" w:type="dxa"/>
        <w:tblCellMar>
          <w:top w:w="28" w:type="dxa"/>
          <w:left w:w="28" w:type="dxa"/>
          <w:bottom w:w="28" w:type="dxa"/>
          <w:right w:w="28" w:type="dxa"/>
        </w:tblCellMar>
      </w:tblPr>
      <w:tblGrid>
        <w:gridCol w:w="1049"/>
        <w:gridCol w:w="921"/>
        <w:gridCol w:w="924"/>
        <w:gridCol w:w="211"/>
        <w:gridCol w:w="616"/>
        <w:gridCol w:w="109"/>
        <w:gridCol w:w="109"/>
        <w:gridCol w:w="109"/>
        <w:gridCol w:w="109"/>
        <w:gridCol w:w="211"/>
        <w:gridCol w:w="616"/>
        <w:gridCol w:w="154"/>
      </w:tblGrid>
      <w:tr>
        <w:trPr/>
        <w:tc>
          <w:tcPr>
            <w:tcW w:w="10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depreciation expense in the amount of $1.4 million, $1.8 million, and $2.5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13.     ACCRUED EXPENSES AND OTHER CURRENT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6503" w:type="dxa"/>
        <w:jc w:val="left"/>
        <w:tblInd w:w="0" w:type="dxa"/>
        <w:tblCellMar>
          <w:top w:w="28" w:type="dxa"/>
          <w:left w:w="28" w:type="dxa"/>
          <w:bottom w:w="28" w:type="dxa"/>
          <w:right w:w="28" w:type="dxa"/>
        </w:tblCellMar>
      </w:tblPr>
      <w:tblGrid>
        <w:gridCol w:w="1543"/>
        <w:gridCol w:w="1353"/>
        <w:gridCol w:w="1363"/>
        <w:gridCol w:w="211"/>
        <w:gridCol w:w="616"/>
        <w:gridCol w:w="109"/>
        <w:gridCol w:w="109"/>
        <w:gridCol w:w="109"/>
        <w:gridCol w:w="109"/>
        <w:gridCol w:w="211"/>
        <w:gridCol w:w="616"/>
        <w:gridCol w:w="154"/>
      </w:tblGrid>
      <w:tr>
        <w:trPr/>
        <w:tc>
          <w:tcPr>
            <w:tcW w:w="1543"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services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marketing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our provision for income taxes for the year ended December 31, 2021, 2020 and 2019, are as follows (in thousands):</w:t>
      </w:r>
    </w:p>
    <w:tbl>
      <w:tblPr>
        <w:tblW w:w="4916" w:type="dxa"/>
        <w:jc w:val="left"/>
        <w:tblInd w:w="0" w:type="dxa"/>
        <w:tblCellMar>
          <w:top w:w="28" w:type="dxa"/>
          <w:left w:w="28" w:type="dxa"/>
          <w:bottom w:w="28" w:type="dxa"/>
          <w:right w:w="28" w:type="dxa"/>
        </w:tblCellMar>
      </w:tblPr>
      <w:tblGrid>
        <w:gridCol w:w="823"/>
        <w:gridCol w:w="725"/>
        <w:gridCol w:w="731"/>
        <w:gridCol w:w="211"/>
        <w:gridCol w:w="256"/>
        <w:gridCol w:w="109"/>
        <w:gridCol w:w="109"/>
        <w:gridCol w:w="109"/>
        <w:gridCol w:w="109"/>
        <w:gridCol w:w="211"/>
        <w:gridCol w:w="256"/>
        <w:gridCol w:w="109"/>
        <w:gridCol w:w="109"/>
        <w:gridCol w:w="109"/>
        <w:gridCol w:w="109"/>
        <w:gridCol w:w="211"/>
        <w:gridCol w:w="466"/>
        <w:gridCol w:w="154"/>
      </w:tblGrid>
      <w:tr>
        <w:trPr/>
        <w:tc>
          <w:tcPr>
            <w:tcW w:w="823"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4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statutory federal income tax rate to our effective tax rate:</w:t>
      </w:r>
    </w:p>
    <w:tbl>
      <w:tblPr>
        <w:tblW w:w="8302" w:type="dxa"/>
        <w:jc w:val="left"/>
        <w:tblInd w:w="0" w:type="dxa"/>
        <w:tblCellMar>
          <w:top w:w="28" w:type="dxa"/>
          <w:left w:w="28" w:type="dxa"/>
          <w:bottom w:w="28" w:type="dxa"/>
          <w:right w:w="28" w:type="dxa"/>
        </w:tblCellMar>
      </w:tblPr>
      <w:tblGrid>
        <w:gridCol w:w="1774"/>
        <w:gridCol w:w="1561"/>
        <w:gridCol w:w="1570"/>
        <w:gridCol w:w="293"/>
        <w:gridCol w:w="293"/>
        <w:gridCol w:w="294"/>
        <w:gridCol w:w="118"/>
        <w:gridCol w:w="118"/>
        <w:gridCol w:w="118"/>
        <w:gridCol w:w="293"/>
        <w:gridCol w:w="293"/>
        <w:gridCol w:w="294"/>
        <w:gridCol w:w="118"/>
        <w:gridCol w:w="118"/>
        <w:gridCol w:w="118"/>
        <w:gridCol w:w="293"/>
        <w:gridCol w:w="293"/>
        <w:gridCol w:w="343"/>
      </w:tblGrid>
      <w:tr>
        <w:trPr/>
        <w:tc>
          <w:tcPr>
            <w:tcW w:w="1774"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at the federal statutory rate</w:t>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 disallowed under IRC Sec 162(m)</w:t>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tax effects of temporary differences between the carrying amounts of assets and liabilities for financial reporting purposes and the amounts used for income tax purposes. Significant components of our deferred tax assets are as follows as of December 31, 2021 and 2020 (in thousands):</w:t>
      </w:r>
    </w:p>
    <w:tbl>
      <w:tblPr>
        <w:tblW w:w="6278" w:type="dxa"/>
        <w:jc w:val="left"/>
        <w:tblInd w:w="0" w:type="dxa"/>
        <w:tblCellMar>
          <w:top w:w="28" w:type="dxa"/>
          <w:left w:w="28" w:type="dxa"/>
          <w:bottom w:w="28" w:type="dxa"/>
          <w:right w:w="28" w:type="dxa"/>
        </w:tblCellMar>
      </w:tblPr>
      <w:tblGrid>
        <w:gridCol w:w="1387"/>
        <w:gridCol w:w="1216"/>
        <w:gridCol w:w="1221"/>
        <w:gridCol w:w="211"/>
        <w:gridCol w:w="721"/>
        <w:gridCol w:w="109"/>
        <w:gridCol w:w="109"/>
        <w:gridCol w:w="109"/>
        <w:gridCol w:w="109"/>
        <w:gridCol w:w="211"/>
        <w:gridCol w:w="721"/>
        <w:gridCol w:w="154"/>
      </w:tblGrid>
      <w:tr>
        <w:trPr/>
        <w:tc>
          <w:tcPr>
            <w:tcW w:w="1387"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depreciation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deferred tax assets is dependent on future taxable income, if any, the timing and the amount of which are uncertain. We assess the available positive and negative evidence to estimate whether sufficient future taxable income will be generated to permit use of the existing deferred tax assets. A significant component of objective negative evidence evaluated was our cumulative loss incurred over the three-year period ended December 31, 2021. Such objective evidence limits the ability to consider other subjective evidence, such as our projections for future growth. On the basis of this evaluation, as of December 31, 2021, December 31, 2020 and December 31, 2019, a full valuation allowance has been recorded against our net deferred tax asset.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net operating loss carryforwards for federal income tax purposes of approximately $386.3 million, of which approximately $236.1 million can be carried forward indefinitely and the remaining net operating losses expire beginning in 2030, if not utilized. Federal research and development tax credit carryforwards of approximately $16.4 million that expire beginning in 2027, if not utilized, and foreign tax credit carryforwards of approximately $1.2 million that expire in 2027, if not utilized.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had net operating loss carryforwards for California income tax purposes of approximately $88.3 million that expire beginning of 2030, if not utilized, and state research and development tax credit carryforwards of approximately $8.4 million which can be carried forward indefinitely. We had approximately $0.1 million of minimum tax credit carryovers for California income tax purposes. The minimum tax credits have no expiration date. We had other state net operating losses of approximately $4.5 million that begin to expire in 2035.</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our effective tax rate.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Coronavirus Aid, Relief, and Economic Security Act (“CARES Act”) was enacted and signed into law in response to coronavirus disease 2019 (“COVID-19”). The CARES Act, among other things, included several significant provisions that impacted corporate taxpayers’ accounting for income taxes. Prior to the enactment of the CARES Act, the 2017 Tax Cuts and Jobs Act generally eliminated the ability to carryback net operating losses (“NOLs”), and permitted the NOLs arising in tax years beginning after December 31, 2018 to be carried forward indefinitely, limited to 80% of the taxpayer’s income. The CARES Act amended the NOL rules, suspending the 80% limitation on the utilization of NOLs generated after December 31, 2018 and before January 1, 2021. Additionally, the CARES Act allows corporate NOLs arising in taxable years beginning after December 31, 2018 and before January 1, 2021, to be carried back to each of the five taxable years preceding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taxable year of the loss. Also, the CARES Act allows companies to defer making certain payroll tax payments until future years. With the enactment of the CARES Act, the company does not expect a financial statement impact from income taxes.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w:t>
      </w:r>
    </w:p>
    <w:tbl>
      <w:tblPr>
        <w:tblW w:w="9402" w:type="dxa"/>
        <w:jc w:val="left"/>
        <w:tblInd w:w="0" w:type="dxa"/>
        <w:tblCellMar>
          <w:top w:w="28" w:type="dxa"/>
          <w:left w:w="28" w:type="dxa"/>
          <w:bottom w:w="28" w:type="dxa"/>
          <w:right w:w="28" w:type="dxa"/>
        </w:tblCellMar>
      </w:tblPr>
      <w:tblGrid>
        <w:gridCol w:w="2021"/>
        <w:gridCol w:w="1776"/>
        <w:gridCol w:w="1783"/>
        <w:gridCol w:w="211"/>
        <w:gridCol w:w="721"/>
        <w:gridCol w:w="109"/>
        <w:gridCol w:w="109"/>
        <w:gridCol w:w="109"/>
        <w:gridCol w:w="109"/>
        <w:gridCol w:w="211"/>
        <w:gridCol w:w="721"/>
        <w:gridCol w:w="109"/>
        <w:gridCol w:w="109"/>
        <w:gridCol w:w="109"/>
        <w:gridCol w:w="109"/>
        <w:gridCol w:w="211"/>
        <w:gridCol w:w="721"/>
        <w:gridCol w:w="154"/>
      </w:tblGrid>
      <w:tr>
        <w:trPr/>
        <w:tc>
          <w:tcPr>
            <w:tcW w:w="2021"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(subtractions) based on tax positions related to prior year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current year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None of our unrecognized tax benefits would impact the effective tax rate if recognized, because the benefit would be offset by an increase in the valuation allowance.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include interest and penalties as a component of tax expense. During the years ended December 31, 2021, 2020 and 2019,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12 months.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U.S. federal, Alabama, Arizona, California, Colorado, Connecticut, DC, Florida, Georgia, Idaho, Illinois, Indiana, Kansas, Kentucky, Massachusetts, Maryland, Michigan, Missouri, Kansas City (MO), Mississippi, New York &amp; New York MTA, New York City, Nebraska, New Jersey, New Mexico, North Carolina, Cincinnati (OH), Maineville (OH), Oklahoma, Pennsylvania, Tennessee, Texas, Virginia and Wisconsin tax jurisdictions. Due to our net operating loss and tax credit carryforwards, the income tax returns remain open to U.S. federal and state tax examinations. The Company is not currently under examination in any tax jurisdiction.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15.    GEOGRAPHIC INFORMATION AND CONCENTRATIONS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Revenues are attributed to geographical areas based on the domicile of our collaboration partners. Our revenue by geographic areas for the years ended December 31, 2021, 2020 and 2019, are as follows (in thousands):</w:t>
      </w:r>
    </w:p>
    <w:tbl>
      <w:tblPr>
        <w:tblW w:w="5232" w:type="dxa"/>
        <w:jc w:val="left"/>
        <w:tblInd w:w="0" w:type="dxa"/>
        <w:tblCellMar>
          <w:top w:w="28" w:type="dxa"/>
          <w:left w:w="28" w:type="dxa"/>
          <w:bottom w:w="28" w:type="dxa"/>
          <w:right w:w="28" w:type="dxa"/>
        </w:tblCellMar>
      </w:tblPr>
      <w:tblGrid>
        <w:gridCol w:w="588"/>
        <w:gridCol w:w="514"/>
        <w:gridCol w:w="518"/>
        <w:gridCol w:w="211"/>
        <w:gridCol w:w="721"/>
        <w:gridCol w:w="109"/>
        <w:gridCol w:w="109"/>
        <w:gridCol w:w="109"/>
        <w:gridCol w:w="109"/>
        <w:gridCol w:w="211"/>
        <w:gridCol w:w="616"/>
        <w:gridCol w:w="109"/>
        <w:gridCol w:w="109"/>
        <w:gridCol w:w="109"/>
        <w:gridCol w:w="109"/>
        <w:gridCol w:w="211"/>
        <w:gridCol w:w="616"/>
        <w:gridCol w:w="154"/>
      </w:tblGrid>
      <w:tr>
        <w:trPr/>
        <w:tc>
          <w:tcPr>
            <w:tcW w:w="5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(2) (3)</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(1)Revenues from North America are comprised of amounts earned from Canada in accordance with the Knight Agreement.</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(2)Revenues from Asia Pacific in 2021 and 2020 are comprised of amounts earned from Japan in accordance with the 2017 KKC Agreement and 2019 KKC Agreement.</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(3)Revenues from Asia Pacific in 2019 were comprised of $0.8 million from Japan in accordance with the 2017 KKC Agreement and 2019 KKC Agreement, $1.5 million from Hong Kong in accordance with the XuanZhu Agreement and $3.0 million from China in accordance with the Fosun Agreement.</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Revenues recorded in the years ended December 31, 2021, 2020 and 2019, were wholly from collaboration partnerships. Collaboration partnerships accounting for more than 10% of total revenues during the years ended December 31, 2021, 2020 and 2019 are as follows:</w:t>
      </w:r>
    </w:p>
    <w:tbl>
      <w:tblPr>
        <w:tblW w:w="4176" w:type="dxa"/>
        <w:jc w:val="left"/>
        <w:tblInd w:w="0" w:type="dxa"/>
        <w:tblCellMar>
          <w:top w:w="28" w:type="dxa"/>
          <w:left w:w="28" w:type="dxa"/>
          <w:bottom w:w="28" w:type="dxa"/>
          <w:right w:w="28" w:type="dxa"/>
        </w:tblCellMar>
      </w:tblPr>
      <w:tblGrid>
        <w:gridCol w:w="452"/>
        <w:gridCol w:w="398"/>
        <w:gridCol w:w="409"/>
        <w:gridCol w:w="233"/>
        <w:gridCol w:w="233"/>
        <w:gridCol w:w="294"/>
        <w:gridCol w:w="118"/>
        <w:gridCol w:w="118"/>
        <w:gridCol w:w="118"/>
        <w:gridCol w:w="202"/>
        <w:gridCol w:w="204"/>
        <w:gridCol w:w="294"/>
        <w:gridCol w:w="118"/>
        <w:gridCol w:w="118"/>
        <w:gridCol w:w="118"/>
        <w:gridCol w:w="202"/>
        <w:gridCol w:w="204"/>
        <w:gridCol w:w="343"/>
      </w:tblGrid>
      <w:tr>
        <w:trPr/>
        <w:tc>
          <w:tcPr>
            <w:tcW w:w="45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KKC</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Knight</w:t>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Fosun Pharma</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XuanZhu</w:t>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not experienced credit losses from our accounts receivable. We have not recorded a reserve for credit losses as of December 31, 2021 and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16.    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years ended December 31, 2021, 2020 and 2019, all potential common shares were determined to be anti-dilutive.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net loss per common share (in thousands, except per share amounts):</w:t>
      </w:r>
    </w:p>
    <w:tbl>
      <w:tblPr>
        <w:tblW w:w="9818" w:type="dxa"/>
        <w:jc w:val="left"/>
        <w:tblInd w:w="0" w:type="dxa"/>
        <w:tblCellMar>
          <w:top w:w="28" w:type="dxa"/>
          <w:left w:w="28" w:type="dxa"/>
          <w:bottom w:w="28" w:type="dxa"/>
          <w:right w:w="28" w:type="dxa"/>
        </w:tblCellMar>
      </w:tblPr>
      <w:tblGrid>
        <w:gridCol w:w="1969"/>
        <w:gridCol w:w="1731"/>
        <w:gridCol w:w="1744"/>
        <w:gridCol w:w="237"/>
        <w:gridCol w:w="949"/>
        <w:gridCol w:w="109"/>
        <w:gridCol w:w="109"/>
        <w:gridCol w:w="109"/>
        <w:gridCol w:w="109"/>
        <w:gridCol w:w="240"/>
        <w:gridCol w:w="841"/>
        <w:gridCol w:w="109"/>
        <w:gridCol w:w="109"/>
        <w:gridCol w:w="109"/>
        <w:gridCol w:w="109"/>
        <w:gridCol w:w="240"/>
        <w:gridCol w:w="841"/>
        <w:gridCol w:w="154"/>
      </w:tblGrid>
      <w:tr>
        <w:trPr/>
        <w:tc>
          <w:tcPr>
            <w:tcW w:w="1969"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 and diluted</w:t>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104,205,645 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89,582,138 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64,478,066 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the total numbers of securities that could potentially dilute net income per share in the future that were not considered in the diluted net loss per share calculations because the effect would have been anti-dilutive were as follows:</w:t>
      </w:r>
    </w:p>
    <w:tbl>
      <w:tblPr>
        <w:tblW w:w="8118" w:type="dxa"/>
        <w:jc w:val="left"/>
        <w:tblInd w:w="0" w:type="dxa"/>
        <w:tblCellMar>
          <w:top w:w="28" w:type="dxa"/>
          <w:left w:w="28" w:type="dxa"/>
          <w:bottom w:w="28" w:type="dxa"/>
          <w:right w:w="28" w:type="dxa"/>
        </w:tblCellMar>
      </w:tblPr>
      <w:tblGrid>
        <w:gridCol w:w="1219"/>
        <w:gridCol w:w="1075"/>
        <w:gridCol w:w="1080"/>
        <w:gridCol w:w="540"/>
        <w:gridCol w:w="541"/>
        <w:gridCol w:w="176"/>
        <w:gridCol w:w="152"/>
        <w:gridCol w:w="152"/>
        <w:gridCol w:w="152"/>
        <w:gridCol w:w="540"/>
        <w:gridCol w:w="541"/>
        <w:gridCol w:w="176"/>
        <w:gridCol w:w="152"/>
        <w:gridCol w:w="152"/>
        <w:gridCol w:w="152"/>
        <w:gridCol w:w="540"/>
        <w:gridCol w:w="541"/>
        <w:gridCol w:w="237"/>
      </w:tblGrid>
      <w:tr>
        <w:trPr/>
        <w:tc>
          <w:tcPr>
            <w:tcW w:w="121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11,870,778 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9,246,047 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7,128,247 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1,602,384 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78,761 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932,091 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2,172,899 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867,506 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13,679,684 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10,298,725 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10,247,413 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2021, 2020 and 2019, was approximately 1.1 million, 2.1 million and 1.1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indemnify each of our officers and directors for certain events or occurrences, subject to certain limits, while the officer or director is or was serving at our request in such capacity, as permitted under Delaware law and in accordance with our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and bylaws. The term of the indemnification period lasts as long as an officer or director may be subject to any proceeding arising out of acts or omissions of such officer or director in such capacity.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of potential future indemnification is unlimited; however, we currently hold director and officer liability insurance, which allows the transfer of risk associated with our exposure and may enable us to recover a portion of any future amounts paid. We believe that the fair value of these indemnification obligations is minimal. Accordingly, we have not recognized any liabilities relating to these obligations for any period presented.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Proceedings and Claims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claims arising in connection with our business. Based on information currently available, management believes that the amount, or range, of reasonably possible losses in connection with any pending actions against us will not be material to our financial condition or cash flows, and no contingent liabilities were accrued as of December 31, 2021 or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before="0" w:after="0"/>
        <w:ind w:left="0" w:right="0" w:hanging="360"/>
        <w:rPr/>
      </w:pPr>
      <w:r>
        <w:rPr/>
      </w:r>
    </w:p>
    <w:p>
      <w:pPr>
        <w:pStyle w:val="TextBody"/>
        <w:spacing w:lineRule="auto" w:line="288" w:before="0" w:after="0"/>
        <w:jc w:val="both"/>
        <w:rPr/>
      </w:pPr>
      <w:r>
        <w:rPr>
          <w:rFonts w:ascii="Times New Roman;sans-serif" w:hAnsi="Times New Roman;sans-serif"/>
          <w:b w:val="false"/>
          <w:color w:val="000000"/>
          <w:sz w:val="20"/>
        </w:rPr>
        <w:t xml:space="preserve">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term loan facility, with $27.5 million (the “Term A Loan”) funded on the Closing Date and an additional $22.5 million that we may borrow on or prior to July 25, 2023; provided that (i) we have received approval by the FDA for our NDA for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Term Loan”). The 2022 Term A Loan funds are being used to repay the 2018 Term Loan with the Lenders as discussed in </w:t>
      </w:r>
      <w:r>
        <w:rPr>
          <w:rFonts w:ascii="Times New Roman;sans-serif" w:hAnsi="Times New Roman;sans-serif"/>
          <w:b w:val="false"/>
          <w:i/>
          <w:color w:val="000000"/>
          <w:sz w:val="20"/>
        </w:rPr>
        <w:t>Note 6 - Borrowings</w:t>
      </w:r>
      <w:r>
        <w:rPr>
          <w:color w:val="000000"/>
        </w:rPr>
        <w:t xml:space="preserve"> </w:t>
      </w:r>
      <w:r>
        <w:rPr>
          <w:rFonts w:ascii="Times New Roman;sans-serif" w:hAnsi="Times New Roman;sans-serif"/>
          <w:b w:val="false"/>
          <w:color w:val="000000"/>
          <w:sz w:val="20"/>
        </w:rPr>
        <w:t xml:space="preserve">and to fund our ongoing operations. We owed $25.0 million in principal payments from the 2018 Term Loan as of the Closing Date. The 2022 Term Loan has a maturity date of March 1, 2027.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Term Loan bear interest at a floating per annum rate equal to 7.95% plus the greater of (i) one tenth percent (0.10%) and (ii) one-month LIBOR. We are permitted to make interest-only payments on the 2022 Term Loan through March 31, 2024. Accordingly, beginning on April 1, 2024, we will be required to make monthly payments of interest plus repay the 2022 Term Loan in consecutive equal monthly installments of principal.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fee equal to 4.95% of the aggregate original principal amount of the 2022 Term Loan funded upon the earliest to occur of the maturity date, the acceleration of the 2022 Term Loan, and the prepayment, refinancing, substitution, or replacement of the 2022 Term Loan. We may voluntarily prepay the outstanding 2022 Term Loan, subject to a prepayment premium of (i) 3% of the principal amount of the 2022 Term Loan if prepaid prior to or on the first anniversary of the Closing Date, (ii) 2% of the principal amount of the 2022 Term Loan if prepaid after the first anniversary of the Closing Date through and including the second anniversary of the Closing Date, or (iii) 1% of the principal amount of the 2022 Term Loan if prepaid after the second anniversary of the Closing Date and prior to the maturity date. The 2022 Term Loan is secured by substantially all of our assets, except for our intellectual property and certain other customary exclusions. Additionally, in connection with the 2022 Term Loan, we entered into an agreement, whereby we agreed to pay an exit fee in the amount 2% of the 2022 Term Loan funded (the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Term Loan, the 2022 Exit Fee will expire 10 years from the Closing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Term Loan balance.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Conclusions Regarding the Effectiveness of Disclosure Controls and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2021, the design and operation of our disclosure controls and procedures were effective at a reasonable assurance level.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Pertain to the maintenance of records that accurately and fairly reflect in reasonable detail the transactions and dispositions of the assets of our company;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Provide reasonable assurances regarding prevention or timely detection of unauthorized acquisition, use or disposition of our assets that could have a material adverse effect on our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assessed our internal control over financial reporting as of December 31, 2021,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2021, our internal control over financial reporting was effective.</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Attestation Report of Independent Registered Public Accounting Firm</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Ernst &amp; Young LLP, has audited our Financial Statements included in Item 8 of this Annual Report on Form 10-K and have issued a report on our internal control over financial reporting as of December 31, 2021. Their report on the audit of internal control over financial reporting appears below.</w:t>
      </w:r>
    </w:p>
    <w:p>
      <w:pPr>
        <w:pStyle w:val="TextBody"/>
        <w:spacing w:before="240" w:after="283"/>
        <w:ind w:left="0" w:right="0" w:firstLine="490"/>
        <w:jc w:val="center"/>
        <w:rPr/>
      </w:pPr>
      <w:r>
        <w:rPr/>
      </w:r>
    </w:p>
    <w:p>
      <w:pPr>
        <w:pStyle w:val="TextBody"/>
        <w:spacing w:lineRule="auto" w:line="288" w:before="240" w:after="283"/>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ind w:left="0" w:right="0" w:firstLine="49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Ardelyx,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Ardelyx, Inc.’s internal control over financial reporting as of December 31, 2021, based on criteria established in Internal Control—Integrated Framework issued by the Committee of Sponsoring Organizations of the Treadway Commission (2013 framework) (“the COSO criteria”). In our opinion, Ardelyx, Inc. (“the Company”) maintained, in all material respects, effective internal control over financial reporting as of December 31, 2021, based on the COSO criteria.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balance sheets of the Company as of December 31, 2021 and 2020, the related statements of operations and comprehensive loss, stockholders’ equity, and cash flows for each of the three years in the period ended December 31, 2021, and the related notes and our report dated February 28, 2022 expressed an unqualified opinion thereon that included an explanatory paragraph regarding the Company’s ability to continue as a going concern.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spacing w:before="0" w:after="0"/>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Redwood City, California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to be filed with the Securities and Exchange Commission on Schedule 14A in connection with our 2022 Annual Meeting of Stockholders (the “Proxy Statement”), which will be filed not later than 120 days after the end of our fiscal year ended December 31, 2021, under the headings “Executive Officers,” “Election of Directors,” “Corporate Governance,” and “ Section 16(a) Beneficial Ownership Reporting Compliance,” and is incorporated herein by reference.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will be incorporated by reference to the information set forth in the sections titled “Executive Compensation” in our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principal accountant fees and services will be incorporated by reference to the information set forth in the section titled “Principal Accountant Fees and Services” in our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spacing w:lineRule="auto" w:line="288" w:before="24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at Item 8 herein.</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spacing w:lineRule="auto" w:line="288" w:before="24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spacing w:lineRule="auto" w:line="288" w:before="240" w:after="283"/>
        <w:ind w:left="0" w:right="0" w:firstLine="1800"/>
        <w:jc w:val="both"/>
        <w:rPr>
          <w:rFonts w:ascii="Times New Roman;sans-serif" w:hAnsi="Times New Roman;sans-serif"/>
          <w:b w:val="false"/>
          <w:color w:val="000000"/>
          <w:sz w:val="20"/>
        </w:rPr>
      </w:pPr>
      <w:r>
        <w:rPr>
          <w:rFonts w:ascii="Times New Roman;sans-serif" w:hAnsi="Times New Roman;sans-serif"/>
          <w:b w:val="false"/>
          <w:color w:val="000000"/>
          <w:sz w:val="20"/>
        </w:rPr>
        <w:t>See the Exhibit Index immediately following this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90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65"/>
        <w:gridCol w:w="234"/>
        <w:gridCol w:w="235"/>
        <w:gridCol w:w="109"/>
        <w:gridCol w:w="109"/>
        <w:gridCol w:w="109"/>
        <w:gridCol w:w="1656"/>
        <w:gridCol w:w="1656"/>
        <w:gridCol w:w="1659"/>
        <w:gridCol w:w="109"/>
        <w:gridCol w:w="109"/>
        <w:gridCol w:w="109"/>
        <w:gridCol w:w="175"/>
        <w:gridCol w:w="175"/>
        <w:gridCol w:w="176"/>
        <w:gridCol w:w="137"/>
        <w:gridCol w:w="137"/>
        <w:gridCol w:w="137"/>
        <w:gridCol w:w="214"/>
        <w:gridCol w:w="214"/>
        <w:gridCol w:w="219"/>
        <w:gridCol w:w="137"/>
        <w:gridCol w:w="137"/>
        <w:gridCol w:w="137"/>
        <w:gridCol w:w="229"/>
        <w:gridCol w:w="229"/>
        <w:gridCol w:w="233"/>
        <w:gridCol w:w="109"/>
        <w:gridCol w:w="109"/>
        <w:gridCol w:w="109"/>
        <w:gridCol w:w="242"/>
        <w:gridCol w:w="242"/>
        <w:gridCol w:w="349"/>
      </w:tblGrid>
      <w:tr>
        <w:trPr/>
        <w:tc>
          <w:tcPr>
            <w:tcW w:w="26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734"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4"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Exhibits 3.1 and 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Times New Roman;sans-serif" w:hAnsi="Times New Roman;sans-serif"/>
                  <w:b w:val="false"/>
                  <w:color w:val="0000FF"/>
                  <w:sz w:val="20"/>
                  <w:u w:val="single"/>
                </w:rPr>
                <w:t>Form of Common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6/18/2014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Pr>
                <w:t xml:space="preserve">Description </w:t>
              </w:r>
            </w:hyperlink>
            <w:hyperlink r:id="rId7">
              <w:r>
                <w:rPr>
                  <w:rStyle w:val="InternetLink"/>
                </w:rPr>
                <w:t xml:space="preserve">of </w:t>
              </w:r>
            </w:hyperlink>
            <w:hyperlink r:id="rId8">
              <w:r>
                <w:rPr>
                  <w:rStyle w:val="InternetLink"/>
                </w:rPr>
                <w:t>the Registrant’s</w:t>
              </w:r>
            </w:hyperlink>
            <w:hyperlink r:id="rId9">
              <w:r>
                <w:rPr>
                  <w:rStyle w:val="InternetLink"/>
                </w:rPr>
                <w:t xml:space="preserve"> Securities </w:t>
              </w:r>
            </w:hyperlink>
            <w:hyperlink r:id="rId10">
              <w:r>
                <w:rPr>
                  <w:rStyle w:val="InternetLink"/>
                </w:rPr>
                <w:t>Registered Pursuant to Section 12 of</w:t>
              </w:r>
            </w:hyperlink>
            <w:hyperlink r:id="rId11">
              <w:r>
                <w:rPr>
                  <w:rStyle w:val="InternetLink"/>
                </w:rPr>
                <w:t xml:space="preserve"> the </w:t>
              </w:r>
            </w:hyperlink>
            <w:hyperlink r:id="rId12">
              <w:r>
                <w:rPr>
                  <w:rStyle w:val="InternetLink"/>
                </w:rPr>
                <w:t>Securities Exchange Act of 1934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3/8/2021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Times New Roman;sans-serif" w:hAnsi="Times New Roman;sans-serif"/>
                  <w:b w:val="false"/>
                  <w:color w:val="0000FF"/>
                  <w:sz w:val="20"/>
                  <w:u w:val="single"/>
                </w:rPr>
                <w:t>Termination Agreement, dated June 2, 2015, by and between AstraZeneca AB and 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8/12/2015</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Pr>
                <w:t xml:space="preserve">Amendment No. 1 to </w:t>
              </w:r>
            </w:hyperlink>
            <w:hyperlink r:id="rId15">
              <w:r>
                <w:rPr>
                  <w:rStyle w:val="InternetLink"/>
                </w:rPr>
                <w:t xml:space="preserve">Termination </w:t>
              </w:r>
            </w:hyperlink>
            <w:hyperlink r:id="rId16">
              <w:r>
                <w:rPr>
                  <w:rStyle w:val="InternetLink"/>
                </w:rPr>
                <w:t xml:space="preserve">Agreement and to Manufacturing and Supply </w:t>
              </w:r>
            </w:hyperlink>
            <w:hyperlink r:id="rId17">
              <w:r>
                <w:rPr>
                  <w:rStyle w:val="InternetLink"/>
                </w:rPr>
                <w:t xml:space="preserve">Agreement, dated </w:t>
              </w:r>
            </w:hyperlink>
            <w:hyperlink r:id="rId18">
              <w:r>
                <w:rPr>
                  <w:rStyle w:val="InternetLink"/>
                </w:rPr>
                <w:t>November</w:t>
              </w:r>
            </w:hyperlink>
            <w:hyperlink r:id="rId19">
              <w:r>
                <w:rPr>
                  <w:rStyle w:val="InternetLink"/>
                </w:rPr>
                <w:t xml:space="preserve"> 2, </w:t>
              </w:r>
            </w:hyperlink>
            <w:hyperlink r:id="rId20">
              <w:r>
                <w:rPr>
                  <w:rStyle w:val="InternetLink"/>
                </w:rPr>
                <w:t>2015</w:t>
              </w:r>
            </w:hyperlink>
            <w:hyperlink r:id="rId21">
              <w:r>
                <w:rPr>
                  <w:rStyle w:val="InternetLink"/>
                </w:rPr>
                <w:t xml:space="preserve"> by and between AstraZeneca AB and 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Pr>
                <w:t>Lease,</w:t>
              </w:r>
            </w:hyperlink>
            <w:hyperlink r:id="rId23">
              <w:r>
                <w:rPr>
                  <w:rStyle w:val="InternetLink"/>
                </w:rPr>
                <w:t xml:space="preserve"> dated </w:t>
              </w:r>
            </w:hyperlink>
            <w:hyperlink r:id="rId24">
              <w:r>
                <w:rPr>
                  <w:rStyle w:val="InternetLink"/>
                </w:rPr>
                <w:t>August 8, 2008,</w:t>
              </w:r>
            </w:hyperlink>
            <w:hyperlink r:id="rId25">
              <w:r>
                <w:rPr>
                  <w:rStyle w:val="InternetLink"/>
                </w:rPr>
                <w:t xml:space="preserve"> by and between </w:t>
              </w:r>
            </w:hyperlink>
            <w:hyperlink r:id="rId26">
              <w:r>
                <w:rPr>
                  <w:rStyle w:val="InternetLink"/>
                </w:rPr>
                <w:t>34175 Ardenwood Venture, LLC</w:t>
              </w:r>
            </w:hyperlink>
            <w:hyperlink r:id="rId27">
              <w:r>
                <w:rPr>
                  <w:rStyle w:val="InternetLink"/>
                </w:rPr>
                <w:t xml:space="preserve"> and 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Pr>
                <w:t xml:space="preserve">First Amendment to </w:t>
              </w:r>
            </w:hyperlink>
            <w:hyperlink r:id="rId29">
              <w:r>
                <w:rPr>
                  <w:rStyle w:val="InternetLink"/>
                </w:rPr>
                <w:t xml:space="preserve">Lease, dated </w:t>
              </w:r>
            </w:hyperlink>
            <w:hyperlink r:id="rId30">
              <w:r>
                <w:rPr>
                  <w:rStyle w:val="InternetLink"/>
                </w:rPr>
                <w:t>December 20, 2012,</w:t>
              </w:r>
            </w:hyperlink>
            <w:hyperlink r:id="rId31">
              <w:r>
                <w:rPr>
                  <w:rStyle w:val="InternetLink"/>
                </w:rPr>
                <w:t xml:space="preserve"> by and between 34175 Ardenwood Venture, LLC and 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Pr>
                <w:t>Second</w:t>
              </w:r>
            </w:hyperlink>
            <w:hyperlink r:id="rId33">
              <w:r>
                <w:rPr>
                  <w:rStyle w:val="InternetLink"/>
                </w:rPr>
                <w:t xml:space="preserve"> Amendment to Lease, dated </w:t>
              </w:r>
            </w:hyperlink>
            <w:hyperlink r:id="rId34">
              <w:r>
                <w:rPr>
                  <w:rStyle w:val="InternetLink"/>
                </w:rPr>
                <w:t>September 5, 2014,</w:t>
              </w:r>
            </w:hyperlink>
            <w:hyperlink r:id="rId35">
              <w:r>
                <w:rPr>
                  <w:rStyle w:val="InternetLink"/>
                </w:rPr>
                <w:t xml:space="preserve"> by and between </w:t>
              </w:r>
            </w:hyperlink>
            <w:hyperlink r:id="rId36">
              <w:r>
                <w:rPr>
                  <w:rStyle w:val="InternetLink"/>
                </w:rPr>
                <w:t xml:space="preserve">Ardelyx, Inc. and </w:t>
              </w:r>
            </w:hyperlink>
            <w:hyperlink r:id="rId37">
              <w:r>
                <w:rPr>
                  <w:rStyle w:val="InternetLink"/>
                </w:rPr>
                <w:t>34175 Ardenwood Venture,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8">
              <w:r>
                <w:rPr>
                  <w:rStyle w:val="InternetLink"/>
                </w:rPr>
                <w:t>Third</w:t>
              </w:r>
            </w:hyperlink>
            <w:hyperlink r:id="rId39">
              <w:r>
                <w:rPr>
                  <w:rStyle w:val="InternetLink"/>
                </w:rPr>
                <w:t xml:space="preserve"> Amendment to Lease, dated </w:t>
              </w:r>
            </w:hyperlink>
            <w:hyperlink r:id="rId40">
              <w:r>
                <w:rPr>
                  <w:rStyle w:val="InternetLink"/>
                </w:rPr>
                <w:t>April 28, 2016,</w:t>
              </w:r>
            </w:hyperlink>
            <w:hyperlink r:id="rId41">
              <w:r>
                <w:rPr>
                  <w:rStyle w:val="InternetLink"/>
                </w:rPr>
                <w:t xml:space="preserve"> by and between Ardelyx, Inc. and 34175 Ardenwood Venture,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2">
              <w:r>
                <w:rPr>
                  <w:rStyle w:val="InternetLink"/>
                </w:rPr>
                <w:t>Fifth</w:t>
              </w:r>
            </w:hyperlink>
            <w:hyperlink r:id="rId43">
              <w:r>
                <w:rPr>
                  <w:rStyle w:val="InternetLink"/>
                </w:rPr>
                <w:t xml:space="preserve"> Amendment to Lease, dated </w:t>
              </w:r>
            </w:hyperlink>
            <w:hyperlink r:id="rId44">
              <w:r>
                <w:rPr>
                  <w:rStyle w:val="InternetLink"/>
                </w:rPr>
                <w:t>May 25, 2021,</w:t>
              </w:r>
            </w:hyperlink>
            <w:hyperlink r:id="rId45">
              <w:r>
                <w:rPr>
                  <w:rStyle w:val="InternetLink"/>
                </w:rPr>
                <w:t xml:space="preserve"> by and between Ardelyx, Inc. and 34175 Ardenwood Venture,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6/1/2021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6">
              <w:r>
                <w:rPr>
                  <w:rStyle w:val="InternetLink"/>
                  <w:rFonts w:ascii="Times New Roman;sans-serif" w:hAnsi="Times New Roman;sans-serif"/>
                  <w:b w:val="false"/>
                  <w:color w:val="0000FF"/>
                  <w:sz w:val="20"/>
                  <w:u w:val="single"/>
                </w:rPr>
                <w:t>Ardelyx, Inc. 2008 Stock Incentive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7">
              <w:r>
                <w:rPr>
                  <w:rStyle w:val="InternetLink"/>
                  <w:rFonts w:ascii="Times New Roman;sans-serif" w:hAnsi="Times New Roman;sans-serif"/>
                  <w:b w:val="false"/>
                  <w:color w:val="0000FF"/>
                  <w:sz w:val="20"/>
                  <w:u w:val="single"/>
                </w:rPr>
                <w:t>Form of Stock Option Grant Notice and Stock Option Agreement under the 2008 Stock Incentive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8">
              <w:r>
                <w:rPr>
                  <w:rStyle w:val="InternetLink"/>
                  <w:rFonts w:ascii="Times New Roman;sans-serif" w:hAnsi="Times New Roman;sans-serif"/>
                  <w:b w:val="false"/>
                  <w:color w:val="0000FF"/>
                  <w:sz w:val="20"/>
                  <w:u w:val="single"/>
                </w:rPr>
                <w:t>Form of Restricted Stock Purchase Grant Notice and Restricted Stock Purchase Agreement under the 2008 Stock Incentive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Fonts w:ascii="Times New Roman;sans-serif" w:hAnsi="Times New Roman;sans-serif"/>
                  <w:b w:val="false"/>
                  <w:color w:val="0000FF"/>
                  <w:sz w:val="20"/>
                  <w:u w:val="single"/>
                </w:rPr>
                <w:t>Ardelyx, Inc. 2014 Equity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7/14/2014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70"/>
        <w:gridCol w:w="238"/>
        <w:gridCol w:w="239"/>
        <w:gridCol w:w="109"/>
        <w:gridCol w:w="109"/>
        <w:gridCol w:w="109"/>
        <w:gridCol w:w="1942"/>
        <w:gridCol w:w="1514"/>
        <w:gridCol w:w="1517"/>
        <w:gridCol w:w="109"/>
        <w:gridCol w:w="109"/>
        <w:gridCol w:w="109"/>
        <w:gridCol w:w="173"/>
        <w:gridCol w:w="173"/>
        <w:gridCol w:w="175"/>
        <w:gridCol w:w="137"/>
        <w:gridCol w:w="137"/>
        <w:gridCol w:w="137"/>
        <w:gridCol w:w="211"/>
        <w:gridCol w:w="211"/>
        <w:gridCol w:w="215"/>
        <w:gridCol w:w="137"/>
        <w:gridCol w:w="137"/>
        <w:gridCol w:w="137"/>
        <w:gridCol w:w="229"/>
        <w:gridCol w:w="229"/>
        <w:gridCol w:w="233"/>
        <w:gridCol w:w="109"/>
        <w:gridCol w:w="109"/>
        <w:gridCol w:w="109"/>
        <w:gridCol w:w="242"/>
        <w:gridCol w:w="242"/>
        <w:gridCol w:w="349"/>
      </w:tblGrid>
      <w:tr>
        <w:trPr/>
        <w:tc>
          <w:tcPr>
            <w:tcW w:w="2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747"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47"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0">
              <w:r>
                <w:rPr>
                  <w:rStyle w:val="InternetLink"/>
                  <w:rFonts w:ascii="Times New Roman;sans-serif" w:hAnsi="Times New Roman;sans-serif"/>
                  <w:b w:val="false"/>
                  <w:color w:val="0000FF"/>
                  <w:sz w:val="20"/>
                  <w:u w:val="single"/>
                </w:rPr>
                <w:t>Form of Stock Option Grant Notice and Stock Option Agreement under the 2014 Equity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1">
              <w:r>
                <w:rPr>
                  <w:rStyle w:val="InternetLink"/>
                  <w:rFonts w:ascii="Times New Roman;sans-serif" w:hAnsi="Times New Roman;sans-serif"/>
                  <w:b w:val="false"/>
                  <w:color w:val="0000FF"/>
                  <w:sz w:val="20"/>
                  <w:u w:val="single"/>
                </w:rPr>
                <w:t>Form of Restricted Stock Award Agreement and Restricted Stock Unit Award Grant Notice under the 2014 Equity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2">
              <w:r>
                <w:rPr>
                  <w:rStyle w:val="InternetLink"/>
                  <w:rFonts w:ascii="Times New Roman;sans-serif" w:hAnsi="Times New Roman;sans-serif"/>
                  <w:b w:val="false"/>
                  <w:color w:val="0000FF"/>
                  <w:sz w:val="20"/>
                  <w:u w:val="single"/>
                </w:rPr>
                <w:t>Form of Indemnification Agreement for directors and officers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3">
              <w:r>
                <w:rPr>
                  <w:rStyle w:val="InternetLink"/>
                  <w:rFonts w:ascii="Times New Roman;sans-serif" w:hAnsi="Times New Roman;sans-serif"/>
                  <w:b w:val="false"/>
                  <w:color w:val="0000FF"/>
                  <w:sz w:val="20"/>
                  <w:u w:val="single"/>
                </w:rPr>
                <w:t>Amended and Restated Executive Employment Agreement, dated June 6, 2014, by and between Ardelyx, Inc. and Michael Raab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mikeraabretentionagreement.htm">
              <w:r>
                <w:rPr>
                  <w:rStyle w:val="InternetLink"/>
                </w:rPr>
                <w:t>Retention</w:t>
              </w:r>
            </w:hyperlink>
            <w:hyperlink w:anchor="mikeraabretentionagreement.htm">
              <w:r>
                <w:rPr>
                  <w:rStyle w:val="InternetLink"/>
                </w:rPr>
                <w:t xml:space="preserve"> Agreement, dated </w:t>
              </w:r>
            </w:hyperlink>
            <w:hyperlink w:anchor="mikeraabretentionagreement.htm">
              <w:r>
                <w:rPr>
                  <w:rStyle w:val="InternetLink"/>
                </w:rPr>
                <w:t>October 25, 2021,</w:t>
              </w:r>
            </w:hyperlink>
            <w:hyperlink w:anchor="mikeraabretentionagreement.htm">
              <w:r>
                <w:rPr>
                  <w:rStyle w:val="InternetLink"/>
                </w:rPr>
                <w:t xml:space="preserve"> by and between Ardelyx,</w:t>
              </w:r>
            </w:hyperlink>
            <w:hyperlink w:anchor="mikeraabretentionagreement.htm">
              <w:r>
                <w:rPr>
                  <w:rStyle w:val="InternetLink"/>
                </w:rPr>
                <w:t xml:space="preserve"> </w:t>
              </w:r>
            </w:hyperlink>
            <w:hyperlink w:anchor="mikeraabretentionagreement.htm">
              <w:r>
                <w:rPr>
                  <w:rStyle w:val="InternetLink"/>
                </w:rPr>
                <w:t xml:space="preserve">Inc. and </w:t>
              </w:r>
            </w:hyperlink>
            <w:hyperlink w:anchor="mikeraabretentionagreement.htm">
              <w:r>
                <w:rPr>
                  <w:rStyle w:val="InternetLink"/>
                </w:rPr>
                <w:t>Mike Raab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4">
              <w:r>
                <w:rPr>
                  <w:rStyle w:val="InternetLink"/>
                </w:rPr>
                <w:t xml:space="preserve">Offer Letter, dated </w:t>
              </w:r>
            </w:hyperlink>
            <w:hyperlink r:id="rId55">
              <w:r>
                <w:rPr>
                  <w:rStyle w:val="InternetLink"/>
                </w:rPr>
                <w:t>December 28, 2009,</w:t>
              </w:r>
            </w:hyperlink>
            <w:hyperlink r:id="rId56">
              <w:r>
                <w:rPr>
                  <w:rStyle w:val="InternetLink"/>
                </w:rPr>
                <w:t xml:space="preserve"> by and between Ardelyx, Inc. and </w:t>
              </w:r>
            </w:hyperlink>
            <w:hyperlink r:id="rId57">
              <w:r>
                <w:rPr>
                  <w:rStyle w:val="InternetLink"/>
                </w:rPr>
                <w:t>David Rosenbaum,</w:t>
              </w:r>
            </w:hyperlink>
            <w:hyperlink r:id="rId58">
              <w:r>
                <w:rPr>
                  <w:rStyle w:val="InternetLink"/>
                </w:rPr>
                <w:t xml:space="preserve"> Ph.D.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9">
              <w:r>
                <w:rPr>
                  <w:rStyle w:val="InternetLink"/>
                </w:rPr>
                <w:t>Second Amended and Restated Change in Control and Severance Agreement</w:t>
              </w:r>
            </w:hyperlink>
            <w:hyperlink r:id="rId60">
              <w:r>
                <w:rPr>
                  <w:rStyle w:val="InternetLink"/>
                </w:rPr>
                <w:t xml:space="preserve"> by and between Ardelyx,</w:t>
              </w:r>
            </w:hyperlink>
            <w:hyperlink r:id="rId61">
              <w:r>
                <w:rPr>
                  <w:rStyle w:val="InternetLink"/>
                </w:rPr>
                <w:t xml:space="preserve"> </w:t>
              </w:r>
            </w:hyperlink>
            <w:hyperlink r:id="rId62">
              <w:r>
                <w:rPr>
                  <w:rStyle w:val="InternetLink"/>
                </w:rPr>
                <w:t>Inc. and David</w:t>
              </w:r>
            </w:hyperlink>
            <w:hyperlink r:id="rId63">
              <w:r>
                <w:rPr>
                  <w:rStyle w:val="InternetLink"/>
                </w:rPr>
                <w:t xml:space="preserve"> P.</w:t>
              </w:r>
            </w:hyperlink>
            <w:hyperlink r:id="rId64">
              <w:r>
                <w:rPr>
                  <w:rStyle w:val="InternetLink"/>
                </w:rPr>
                <w:t xml:space="preserve"> Rosenbaum, Ph.D.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5">
              <w:r>
                <w:rPr>
                  <w:rStyle w:val="InternetLink"/>
                  <w:rFonts w:ascii="Times New Roman;sans-serif" w:hAnsi="Times New Roman;sans-serif"/>
                  <w:b w:val="false"/>
                  <w:color w:val="0000FF"/>
                  <w:sz w:val="20"/>
                  <w:u w:val="single"/>
                </w:rPr>
                <w:t>Offer Letter, dated November 21, 2012, by and between Ardelyx, Inc. and Elizabeth Grammer, Esq.</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6">
              <w:r>
                <w:rPr>
                  <w:rStyle w:val="InternetLink"/>
                </w:rPr>
                <w:t xml:space="preserve">Second Amended and Restated Change in Control and Severance Agreement by and between </w:t>
              </w:r>
            </w:hyperlink>
            <w:hyperlink r:id="rId67">
              <w:r>
                <w:rPr>
                  <w:rStyle w:val="InternetLink"/>
                </w:rPr>
                <w:t>Ardelyx,</w:t>
              </w:r>
            </w:hyperlink>
            <w:hyperlink r:id="rId68">
              <w:r>
                <w:rPr>
                  <w:rStyle w:val="InternetLink"/>
                </w:rPr>
                <w:t xml:space="preserve"> </w:t>
              </w:r>
            </w:hyperlink>
            <w:hyperlink r:id="rId69">
              <w:r>
                <w:rPr>
                  <w:rStyle w:val="InternetLink"/>
                </w:rPr>
                <w:t xml:space="preserve">Inc. </w:t>
              </w:r>
            </w:hyperlink>
            <w:hyperlink r:id="rId70">
              <w:r>
                <w:rPr>
                  <w:rStyle w:val="InternetLink"/>
                </w:rPr>
                <w:t>and Elizabeth Grammer.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1">
              <w:r>
                <w:rPr>
                  <w:rStyle w:val="InternetLink"/>
                  <w:rFonts w:ascii="Times New Roman;sans-serif" w:hAnsi="Times New Roman;sans-serif"/>
                  <w:b w:val="false"/>
                  <w:color w:val="0000FF"/>
                  <w:sz w:val="20"/>
                  <w:u w:val="single"/>
                </w:rPr>
                <w:t>Offer Letter, dated April 27, 2020, by and between Ardelyx, Inc. and Susan Rodriguez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2">
              <w:r>
                <w:rPr>
                  <w:rStyle w:val="InternetLink"/>
                  <w:rFonts w:ascii="Times New Roman;sans-serif" w:hAnsi="Times New Roman;sans-serif"/>
                  <w:b w:val="false"/>
                  <w:color w:val="0000FF"/>
                  <w:sz w:val="20"/>
                  <w:u w:val="single"/>
                </w:rPr>
                <w:t>Change in Control Severance Agreement dated June 2, 2020, by and between Ardelyx, Inc. and Susan Rodriguez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susanrodriguezretentionagr.htm">
              <w:r>
                <w:rPr>
                  <w:rStyle w:val="InternetLink"/>
                </w:rPr>
                <w:t>Retention Agreement, dated October 25, 2021,</w:t>
              </w:r>
            </w:hyperlink>
            <w:hyperlink w:anchor="susanrodriguezretentionagr.htm">
              <w:r>
                <w:rPr>
                  <w:rStyle w:val="InternetLink"/>
                </w:rPr>
                <w:t xml:space="preserve"> by and </w:t>
              </w:r>
            </w:hyperlink>
            <w:hyperlink w:anchor="susanrodriguezretentionagr.htm">
              <w:r>
                <w:rPr>
                  <w:rStyle w:val="InternetLink"/>
                </w:rPr>
                <w:t>between</w:t>
              </w:r>
            </w:hyperlink>
            <w:hyperlink w:anchor="susanrodriguezretentionagr.htm">
              <w:r>
                <w:rPr>
                  <w:rStyle w:val="InternetLink"/>
                </w:rPr>
                <w:t xml:space="preserve"> Ardelyx,</w:t>
              </w:r>
            </w:hyperlink>
            <w:hyperlink w:anchor="susanrodriguezretentionagr.htm">
              <w:r>
                <w:rPr>
                  <w:rStyle w:val="InternetLink"/>
                </w:rPr>
                <w:t xml:space="preserve"> </w:t>
              </w:r>
            </w:hyperlink>
            <w:hyperlink w:anchor="susanrodriguezretentionagr.htm">
              <w:r>
                <w:rPr>
                  <w:rStyle w:val="InternetLink"/>
                </w:rPr>
                <w:t xml:space="preserve">Inc. and </w:t>
              </w:r>
            </w:hyperlink>
            <w:hyperlink w:anchor="susanrodriguezretentionagr.htm">
              <w:r>
                <w:rPr>
                  <w:rStyle w:val="InternetLink"/>
                </w:rPr>
                <w:t>Susan Rodriguez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3">
              <w:r>
                <w:rPr>
                  <w:rStyle w:val="InternetLink"/>
                </w:rPr>
                <w:t>Offer Letter, dated June 2, 2020,</w:t>
              </w:r>
            </w:hyperlink>
            <w:hyperlink r:id="rId74">
              <w:r>
                <w:rPr>
                  <w:rStyle w:val="InternetLink"/>
                </w:rPr>
                <w:t xml:space="preserve"> by and </w:t>
              </w:r>
            </w:hyperlink>
            <w:hyperlink r:id="rId75">
              <w:r>
                <w:rPr>
                  <w:rStyle w:val="InternetLink"/>
                </w:rPr>
                <w:t>between</w:t>
              </w:r>
            </w:hyperlink>
            <w:hyperlink r:id="rId76">
              <w:r>
                <w:rPr>
                  <w:rStyle w:val="InternetLink"/>
                </w:rPr>
                <w:t xml:space="preserve"> Ardelyx,</w:t>
              </w:r>
            </w:hyperlink>
            <w:hyperlink r:id="rId77">
              <w:r>
                <w:rPr>
                  <w:rStyle w:val="InternetLink"/>
                </w:rPr>
                <w:t xml:space="preserve"> </w:t>
              </w:r>
            </w:hyperlink>
            <w:hyperlink r:id="rId78">
              <w:r>
                <w:rPr>
                  <w:rStyle w:val="InternetLink"/>
                </w:rPr>
                <w:t xml:space="preserve">Inc. and </w:t>
              </w:r>
            </w:hyperlink>
            <w:hyperlink r:id="rId79">
              <w:r>
                <w:rPr>
                  <w:rStyle w:val="InternetLink"/>
                </w:rPr>
                <w:t>Justin Renz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0">
              <w:r>
                <w:rPr>
                  <w:rStyle w:val="InternetLink"/>
                </w:rPr>
                <w:t xml:space="preserve">Change in Control Severance Agreement, dated June 8, 2020, by and between </w:t>
              </w:r>
            </w:hyperlink>
            <w:hyperlink r:id="rId81">
              <w:r>
                <w:rPr>
                  <w:rStyle w:val="InternetLink"/>
                </w:rPr>
                <w:t>Ardelyx,</w:t>
              </w:r>
            </w:hyperlink>
            <w:hyperlink r:id="rId82">
              <w:r>
                <w:rPr>
                  <w:rStyle w:val="InternetLink"/>
                </w:rPr>
                <w:t xml:space="preserve"> </w:t>
              </w:r>
            </w:hyperlink>
            <w:hyperlink r:id="rId83">
              <w:r>
                <w:rPr>
                  <w:rStyle w:val="InternetLink"/>
                </w:rPr>
                <w:t xml:space="preserve">Inc. </w:t>
              </w:r>
            </w:hyperlink>
            <w:hyperlink r:id="rId84">
              <w:r>
                <w:rPr>
                  <w:rStyle w:val="InternetLink"/>
                </w:rPr>
                <w:t>and Justin Renz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justinrenzretentionagreeme.htm">
              <w:r>
                <w:rPr>
                  <w:rStyle w:val="InternetLink"/>
                  <w:rFonts w:ascii="Times New Roman;sans-serif" w:hAnsi="Times New Roman;sans-serif"/>
                  <w:b w:val="false"/>
                  <w:color w:val="0000FF"/>
                  <w:sz w:val="20"/>
                  <w:u w:val="single"/>
                </w:rPr>
                <w:t>Retention Agreement, dated October 25, 2021, by and between Ardelyx, Inc. and Justin Renz</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mendmentnumberone_drosenb.htm">
              <w:r>
                <w:rPr>
                  <w:rStyle w:val="InternetLink"/>
                </w:rPr>
                <w:t>Amendment Number One to Second Amended</w:t>
              </w:r>
            </w:hyperlink>
            <w:hyperlink w:anchor="amendmentnumberone_drosenb.htm">
              <w:r>
                <w:rPr>
                  <w:rStyle w:val="InternetLink"/>
                </w:rPr>
                <w:t xml:space="preserve"> and </w:t>
              </w:r>
            </w:hyperlink>
            <w:hyperlink w:anchor="amendmentnumberone_drosenb.htm">
              <w:r>
                <w:rPr>
                  <w:rStyle w:val="InternetLink"/>
                </w:rPr>
                <w:t>Restated Change in Control Severance</w:t>
              </w:r>
            </w:hyperlink>
            <w:hyperlink w:anchor="amendmentnumberone_drosenb.htm">
              <w:r>
                <w:rPr>
                  <w:rStyle w:val="InternetLink"/>
                </w:rPr>
                <w:t xml:space="preserve"> Agreement </w:t>
              </w:r>
            </w:hyperlink>
            <w:hyperlink w:anchor="amendmentnumberone_drosenb.htm">
              <w:r>
                <w:rPr>
                  <w:rStyle w:val="InternetLink"/>
                </w:rPr>
                <w:t>and Retention Agreement dated December 1, 2021 between Ardelyx, Inc. and David Rosenbaum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formofexecutiveretentionag.htm">
              <w:r>
                <w:rPr>
                  <w:rStyle w:val="InternetLink"/>
                </w:rPr>
                <w:t>Form</w:t>
              </w:r>
            </w:hyperlink>
            <w:hyperlink w:anchor="formofexecutiveretentionag.htm">
              <w:r>
                <w:rPr>
                  <w:rStyle w:val="InternetLink"/>
                </w:rPr>
                <w:t xml:space="preserve"> </w:t>
              </w:r>
            </w:hyperlink>
            <w:hyperlink w:anchor="formofexecutiveretentionag.htm">
              <w:r>
                <w:rPr>
                  <w:rStyle w:val="InternetLink"/>
                </w:rPr>
                <w:t xml:space="preserve">of </w:t>
              </w:r>
            </w:hyperlink>
            <w:hyperlink w:anchor="formofexecutiveretentionag.htm">
              <w:r>
                <w:rPr>
                  <w:rStyle w:val="InternetLink"/>
                </w:rPr>
                <w:t>Executive Retention</w:t>
              </w:r>
            </w:hyperlink>
            <w:hyperlink w:anchor="formofexecutiveretentionag.htm">
              <w:r>
                <w:rPr>
                  <w:rStyle w:val="InternetLink"/>
                </w:rPr>
                <w:t xml:space="preserve"> Agreement </w:t>
              </w:r>
            </w:hyperlink>
            <w:hyperlink w:anchor="formofexecutiveretentionag.htm">
              <w:r>
                <w:rPr>
                  <w:rStyle w:val="InternetLink"/>
                </w:rPr>
                <w:t>Version 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fromofexecutiveretentionag.htm">
              <w:r>
                <w:rPr>
                  <w:rStyle w:val="InternetLink"/>
                  <w:rFonts w:ascii="Times New Roman;sans-serif" w:hAnsi="Times New Roman;sans-serif"/>
                  <w:b w:val="false"/>
                  <w:color w:val="0000FF"/>
                  <w:sz w:val="20"/>
                  <w:u w:val="single"/>
                </w:rPr>
                <w:t>Form of Executive Retention Agreement Version 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5">
              <w:r>
                <w:rPr>
                  <w:rStyle w:val="InternetLink"/>
                  <w:rFonts w:ascii="Times New Roman;sans-serif" w:hAnsi="Times New Roman;sans-serif"/>
                  <w:b w:val="false"/>
                  <w:color w:val="0000FF"/>
                  <w:sz w:val="20"/>
                  <w:u w:val="single"/>
                </w:rPr>
                <w:t>Ardelyx, Inc. 2014 Employee Stock Purchase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7/14/2014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6">
              <w:r>
                <w:rPr>
                  <w:rStyle w:val="InternetLink"/>
                  <w:rFonts w:ascii="Times New Roman;sans-serif" w:hAnsi="Times New Roman;sans-serif"/>
                  <w:b w:val="false"/>
                  <w:color w:val="0000FF"/>
                  <w:sz w:val="20"/>
                  <w:u w:val="single"/>
                </w:rPr>
                <w:t>Non-Employee Director Compensation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6/9/2014</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7">
              <w:r>
                <w:rPr>
                  <w:rStyle w:val="InternetLink"/>
                  <w:rFonts w:ascii="Times New Roman;sans-serif" w:hAnsi="Times New Roman;sans-serif"/>
                  <w:b w:val="false"/>
                  <w:color w:val="0000FF"/>
                  <w:sz w:val="20"/>
                  <w:u w:val="single"/>
                </w:rPr>
                <w:t>Description of amendments to Non-Employee Director Compensation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3/9/2017</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8">
              <w:r>
                <w:rPr>
                  <w:rStyle w:val="InternetLink"/>
                </w:rPr>
                <w:t>Amended</w:t>
              </w:r>
            </w:hyperlink>
            <w:hyperlink r:id="rId89">
              <w:r>
                <w:rPr>
                  <w:rStyle w:val="InternetLink"/>
                </w:rPr>
                <w:t xml:space="preserve"> and </w:t>
              </w:r>
            </w:hyperlink>
            <w:hyperlink r:id="rId90">
              <w:r>
                <w:rPr>
                  <w:rStyle w:val="InternetLink"/>
                </w:rPr>
                <w:t>Restated Non-Employee Director Compensation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5/7/2019</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1">
              <w:r>
                <w:rPr>
                  <w:rStyle w:val="InternetLink"/>
                </w:rPr>
                <w:t>Registration Rights Agreement</w:t>
              </w:r>
            </w:hyperlink>
            <w:hyperlink r:id="rId92">
              <w:r>
                <w:rPr>
                  <w:rStyle w:val="InternetLink"/>
                </w:rPr>
                <w:t xml:space="preserve"> by and </w:t>
              </w:r>
            </w:hyperlink>
            <w:hyperlink r:id="rId93">
              <w:r>
                <w:rPr>
                  <w:rStyle w:val="InternetLink"/>
                </w:rPr>
                <w:t>among Ardelyx, Inc.</w:t>
              </w:r>
            </w:hyperlink>
            <w:hyperlink r:id="rId94">
              <w:r>
                <w:rPr>
                  <w:rStyle w:val="InternetLink"/>
                </w:rPr>
                <w:t xml:space="preserve"> and </w:t>
              </w:r>
            </w:hyperlink>
            <w:hyperlink r:id="rId95">
              <w:r>
                <w:rPr>
                  <w:rStyle w:val="InternetLink"/>
                </w:rPr>
                <w:t>the investors signatory thereto, dated June 2, 2015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7/13/2015</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6">
              <w:r>
                <w:rPr>
                  <w:rStyle w:val="InternetLink"/>
                </w:rPr>
                <w:t>Registration Rights</w:t>
              </w:r>
            </w:hyperlink>
            <w:hyperlink r:id="rId97">
              <w:r>
                <w:rPr>
                  <w:rStyle w:val="InternetLink"/>
                </w:rPr>
                <w:t xml:space="preserve"> Agreement </w:t>
              </w:r>
            </w:hyperlink>
            <w:hyperlink r:id="rId98">
              <w:r>
                <w:rPr>
                  <w:rStyle w:val="InternetLink"/>
                </w:rPr>
                <w:t>by and among Ardelyx, Inc.</w:t>
              </w:r>
            </w:hyperlink>
            <w:hyperlink r:id="rId99">
              <w:r>
                <w:rPr>
                  <w:rStyle w:val="InternetLink"/>
                </w:rPr>
                <w:t xml:space="preserve"> and </w:t>
              </w:r>
            </w:hyperlink>
            <w:hyperlink r:id="rId100">
              <w:r>
                <w:rPr>
                  <w:rStyle w:val="InternetLink"/>
                </w:rPr>
                <w:t xml:space="preserve">the </w:t>
              </w:r>
            </w:hyperlink>
            <w:hyperlink r:id="rId101">
              <w:r>
                <w:rPr>
                  <w:rStyle w:val="InternetLink"/>
                </w:rPr>
                <w:t>investors signatory thereto, dated July 14, 2016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2">
              <w:r>
                <w:rPr>
                  <w:rStyle w:val="InternetLink"/>
                  <w:rFonts w:ascii="Times New Roman;sans-serif" w:hAnsi="Times New Roman;sans-serif"/>
                  <w:b w:val="false"/>
                  <w:color w:val="0000FF"/>
                  <w:sz w:val="20"/>
                  <w:u w:val="single"/>
                </w:rPr>
                <w:t>Ardelyx, Inc. 2016 Employment Commencement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3">
              <w:r>
                <w:rPr>
                  <w:rStyle w:val="InternetLink"/>
                </w:rPr>
                <w:t>Form of Stock Option Grant Notice and Stock Option Agreement under</w:t>
              </w:r>
            </w:hyperlink>
            <w:hyperlink r:id="rId104">
              <w:r>
                <w:rPr>
                  <w:rStyle w:val="InternetLink"/>
                </w:rPr>
                <w:t xml:space="preserve"> the </w:t>
              </w:r>
            </w:hyperlink>
            <w:hyperlink r:id="rId105">
              <w:r>
                <w:rPr>
                  <w:rStyle w:val="InternetLink"/>
                </w:rPr>
                <w:t>2016 Employment Commencement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6">
              <w:r>
                <w:rPr>
                  <w:rStyle w:val="InternetLink"/>
                </w:rPr>
                <w:t>Form of Restricted Stock Unit Award Grant Notice</w:t>
              </w:r>
            </w:hyperlink>
            <w:hyperlink r:id="rId107">
              <w:r>
                <w:rPr>
                  <w:rStyle w:val="InternetLink"/>
                </w:rPr>
                <w:t xml:space="preserve"> and </w:t>
              </w:r>
            </w:hyperlink>
            <w:hyperlink r:id="rId108">
              <w:r>
                <w:rPr>
                  <w:rStyle w:val="InternetLink"/>
                </w:rPr>
                <w:t>Restricted Stock Unit Award Agreement under the 2016 Employment Commencement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74"/>
        <w:gridCol w:w="242"/>
        <w:gridCol w:w="243"/>
        <w:gridCol w:w="109"/>
        <w:gridCol w:w="109"/>
        <w:gridCol w:w="109"/>
        <w:gridCol w:w="1648"/>
        <w:gridCol w:w="1648"/>
        <w:gridCol w:w="1651"/>
        <w:gridCol w:w="109"/>
        <w:gridCol w:w="109"/>
        <w:gridCol w:w="109"/>
        <w:gridCol w:w="170"/>
        <w:gridCol w:w="170"/>
        <w:gridCol w:w="171"/>
        <w:gridCol w:w="137"/>
        <w:gridCol w:w="137"/>
        <w:gridCol w:w="137"/>
        <w:gridCol w:w="220"/>
        <w:gridCol w:w="220"/>
        <w:gridCol w:w="225"/>
        <w:gridCol w:w="137"/>
        <w:gridCol w:w="137"/>
        <w:gridCol w:w="137"/>
        <w:gridCol w:w="229"/>
        <w:gridCol w:w="229"/>
        <w:gridCol w:w="233"/>
        <w:gridCol w:w="109"/>
        <w:gridCol w:w="109"/>
        <w:gridCol w:w="109"/>
        <w:gridCol w:w="242"/>
        <w:gridCol w:w="242"/>
        <w:gridCol w:w="345"/>
      </w:tblGrid>
      <w:tr>
        <w:trPr/>
        <w:tc>
          <w:tcPr>
            <w:tcW w:w="27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75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5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9">
              <w:r>
                <w:rPr>
                  <w:rStyle w:val="InternetLink"/>
                  <w:rFonts w:ascii="Times New Roman;sans-serif" w:hAnsi="Times New Roman;sans-serif"/>
                  <w:b w:val="false"/>
                  <w:color w:val="0000FF"/>
                  <w:sz w:val="20"/>
                  <w:u w:val="single"/>
                </w:rPr>
                <w:t>Form of Restricted Stock Award Grant Notice and Restricted Stock Award Agreement under the 2016 Employment Commencement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11/10/2016</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0">
              <w:r>
                <w:rPr>
                  <w:rStyle w:val="InternetLink"/>
                </w:rPr>
                <w:t>License Agreement,</w:t>
              </w:r>
            </w:hyperlink>
            <w:hyperlink r:id="rId111">
              <w:r>
                <w:rPr>
                  <w:rStyle w:val="InternetLink"/>
                </w:rPr>
                <w:t xml:space="preserve"> dated </w:t>
              </w:r>
            </w:hyperlink>
            <w:hyperlink r:id="rId112">
              <w:r>
                <w:rPr>
                  <w:rStyle w:val="InternetLink"/>
                </w:rPr>
                <w:t>November 27, 2017,</w:t>
              </w:r>
            </w:hyperlink>
            <w:hyperlink r:id="rId113">
              <w:r>
                <w:rPr>
                  <w:rStyle w:val="InternetLink"/>
                </w:rPr>
                <w:t xml:space="preserve"> by and between </w:t>
              </w:r>
            </w:hyperlink>
            <w:hyperlink r:id="rId114">
              <w:r>
                <w:rPr>
                  <w:rStyle w:val="InternetLink"/>
                </w:rPr>
                <w:t>Kyowa Hakko Kirin Co. , Ltd.</w:t>
              </w:r>
            </w:hyperlink>
            <w:hyperlink r:id="rId115">
              <w:r>
                <w:rPr>
                  <w:rStyle w:val="InternetLink"/>
                </w:rPr>
                <w:t xml:space="preserve"> and </w:t>
              </w:r>
            </w:hyperlink>
            <w:hyperlink r:id="rId116">
              <w:r>
                <w:rPr>
                  <w:rStyle w:val="InternetLink"/>
                </w:rPr>
                <w:t>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3/14/2018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7">
              <w:r>
                <w:rPr>
                  <w:rStyle w:val="InternetLink"/>
                </w:rPr>
                <w:t>License</w:t>
              </w:r>
            </w:hyperlink>
            <w:hyperlink r:id="rId118">
              <w:r>
                <w:rPr>
                  <w:rStyle w:val="InternetLink"/>
                </w:rPr>
                <w:t xml:space="preserve"> Agreement, dated </w:t>
              </w:r>
            </w:hyperlink>
            <w:hyperlink r:id="rId119">
              <w:r>
                <w:rPr>
                  <w:rStyle w:val="InternetLink"/>
                </w:rPr>
                <w:t>December 11, 2017,</w:t>
              </w:r>
            </w:hyperlink>
            <w:hyperlink r:id="rId120">
              <w:r>
                <w:rPr>
                  <w:rStyle w:val="InternetLink"/>
                </w:rPr>
                <w:t xml:space="preserve"> by and between </w:t>
              </w:r>
            </w:hyperlink>
            <w:hyperlink r:id="rId121">
              <w:r>
                <w:rPr>
                  <w:rStyle w:val="InternetLink"/>
                </w:rPr>
                <w:t>Shanghai Fosun Pharmaceutical Industrial Development Co. Ltd.</w:t>
              </w:r>
            </w:hyperlink>
            <w:hyperlink r:id="rId122">
              <w:r>
                <w:rPr>
                  <w:rStyle w:val="InternetLink"/>
                </w:rPr>
                <w:t xml:space="preserve"> and </w:t>
              </w:r>
            </w:hyperlink>
            <w:hyperlink r:id="rId123">
              <w:r>
                <w:rPr>
                  <w:rStyle w:val="InternetLink"/>
                </w:rPr>
                <w:t>Ardelyx,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3/14/2018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24">
              <w:r>
                <w:rPr>
                  <w:rStyle w:val="InternetLink"/>
                </w:rPr>
                <w:t>Exit Fee</w:t>
              </w:r>
            </w:hyperlink>
            <w:hyperlink r:id="rId125">
              <w:r>
                <w:rPr>
                  <w:rStyle w:val="InternetLink"/>
                </w:rPr>
                <w:t xml:space="preserve"> Agreement, dated May </w:t>
              </w:r>
            </w:hyperlink>
            <w:hyperlink r:id="rId126">
              <w:r>
                <w:rPr>
                  <w:rStyle w:val="InternetLink"/>
                </w:rPr>
                <w:t>16, 2018, by and</w:t>
              </w:r>
            </w:hyperlink>
            <w:hyperlink r:id="rId127">
              <w:r>
                <w:rPr>
                  <w:rStyle w:val="InternetLink"/>
                </w:rPr>
                <w:t xml:space="preserve"> between </w:t>
              </w:r>
            </w:hyperlink>
            <w:hyperlink r:id="rId128">
              <w:r>
                <w:rPr>
                  <w:rStyle w:val="InternetLink"/>
                </w:rPr>
                <w:t>the Company</w:t>
              </w:r>
            </w:hyperlink>
            <w:hyperlink r:id="rId129">
              <w:r>
                <w:rPr>
                  <w:rStyle w:val="InternetLink"/>
                </w:rPr>
                <w:t xml:space="preserve"> and </w:t>
              </w:r>
            </w:hyperlink>
            <w:hyperlink r:id="rId130">
              <w:r>
                <w:rPr>
                  <w:rStyle w:val="InternetLink"/>
                </w:rPr>
                <w:t>Solar Capital Ltd. and Western Alliance Bank.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8/7/2018</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1">
              <w:r>
                <w:rPr>
                  <w:rStyle w:val="InternetLink"/>
                </w:rPr>
                <w:t>Manufacturing Services</w:t>
              </w:r>
            </w:hyperlink>
            <w:hyperlink r:id="rId132">
              <w:r>
                <w:rPr>
                  <w:rStyle w:val="InternetLink"/>
                </w:rPr>
                <w:t xml:space="preserve"> Agreement, dated </w:t>
              </w:r>
            </w:hyperlink>
            <w:hyperlink r:id="rId133">
              <w:r>
                <w:rPr>
                  <w:rStyle w:val="InternetLink"/>
                </w:rPr>
                <w:t>May 18,</w:t>
              </w:r>
            </w:hyperlink>
            <w:hyperlink r:id="rId134">
              <w:r>
                <w:rPr>
                  <w:rStyle w:val="InternetLink"/>
                </w:rPr>
                <w:t xml:space="preserve"> 2020, </w:t>
              </w:r>
            </w:hyperlink>
            <w:hyperlink r:id="rId135">
              <w:r>
                <w:rPr>
                  <w:rStyle w:val="InternetLink"/>
                </w:rPr>
                <w:t xml:space="preserve">between Ardelyx, Inc. and </w:t>
              </w:r>
            </w:hyperlink>
            <w:hyperlink r:id="rId136">
              <w:r>
                <w:rPr>
                  <w:rStyle w:val="InternetLink"/>
                </w:rPr>
                <w:t>Patheon Pharmaceuticals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7">
              <w:r>
                <w:rPr>
                  <w:rStyle w:val="InternetLink"/>
                  <w:rFonts w:ascii="Times New Roman;sans-serif" w:hAnsi="Times New Roman;sans-serif"/>
                  <w:b w:val="false"/>
                  <w:color w:val="0000FF"/>
                  <w:sz w:val="20"/>
                  <w:u w:val="single"/>
                </w:rPr>
                <w:t>Lease Agreement, dated December 30, 2020, by and between Ardelyx, Inc. and Prospect Fifth Ave,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3/8/2021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8">
              <w:r>
                <w:rPr>
                  <w:rStyle w:val="InternetLink"/>
                  <w:rFonts w:ascii="Times New Roman;sans-serif" w:hAnsi="Times New Roman;sans-serif"/>
                  <w:b w:val="false"/>
                  <w:color w:val="0000FF"/>
                  <w:sz w:val="20"/>
                  <w:u w:val="single"/>
                </w:rPr>
                <w:t>Open Market Sales Agreement, dated August 31, 2021 between Ardelyx, Inc. and Jefferies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8/17/2021</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consentofindependentregist.htm">
              <w:r>
                <w:rPr>
                  <w:rStyle w:val="InternetLink"/>
                </w:rPr>
                <w:t>Consent</w:t>
              </w:r>
            </w:hyperlink>
            <w:hyperlink w:anchor="consentofindependentregist.htm">
              <w:r>
                <w:rPr>
                  <w:rStyle w:val="InternetLink"/>
                </w:rPr>
                <w:t xml:space="preserve"> of </w:t>
              </w:r>
            </w:hyperlink>
            <w:hyperlink w:anchor="consentofindependentregist.htm">
              <w:r>
                <w:rPr>
                  <w:rStyle w:val="InternetLink"/>
                </w:rPr>
                <w:t>Independent Registered Public Accounting Firm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rdx-20211231xex311.htm">
              <w:r>
                <w:rPr>
                  <w:rStyle w:val="InternetLink"/>
                </w:rPr>
                <w:t xml:space="preserve">Certification of Principal Executive Officer </w:t>
              </w:r>
            </w:hyperlink>
            <w:hyperlink w:anchor="ardx-20211231xex311.htm">
              <w:r>
                <w:rPr>
                  <w:rStyle w:val="InternetLink"/>
                </w:rPr>
                <w:t>Required Under Rule</w:t>
              </w:r>
            </w:hyperlink>
            <w:hyperlink w:anchor="ardx-20211231xex311.htm">
              <w:r>
                <w:rPr>
                  <w:rStyle w:val="InternetLink"/>
                </w:rPr>
                <w:t> 13a-14(a) and 15d-14(a) </w:t>
              </w:r>
            </w:hyperlink>
            <w:hyperlink w:anchor="ardx-20211231xex311.htm">
              <w:r>
                <w:rPr>
                  <w:rStyle w:val="InternetLink"/>
                </w:rPr>
                <w:t xml:space="preserve">of the Securities Exchange Act of 1934, as </w:t>
              </w:r>
            </w:hyperlink>
            <w:hyperlink w:anchor="ardx-20211231xex311.htm">
              <w:r>
                <w:rPr>
                  <w:rStyle w:val="InternetLink"/>
                </w:rPr>
                <w:t>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rdx-20211231xex312.htm">
              <w:r>
                <w:rPr>
                  <w:rStyle w:val="InternetLink"/>
                  <w:rFonts w:ascii="Times New Roman;sans-serif" w:hAnsi="Times New Roman;sans-serif"/>
                  <w:b w:val="false"/>
                  <w:color w:val="0000FF"/>
                  <w:sz w:val="20"/>
                  <w:u w:val="single"/>
                </w:rPr>
                <w:t>Certification of Principal Financial Officer Required Under Rule 13a-14(a) and 15d-14(a) of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rdx-20211231xex321.htm">
              <w:r>
                <w:rPr>
                  <w:rStyle w:val="InternetLink"/>
                  <w:rFonts w:ascii="Times New Roman;sans-serif" w:hAnsi="Times New Roman;sans-serif"/>
                  <w:b w:val="false"/>
                  <w:color w:val="0000FF"/>
                  <w:sz w:val="20"/>
                  <w:u w:val="single"/>
                </w:rPr>
                <w:t>Certification of Principal Executive Officer and Principal Financial Officer Required Under Rule 13a</w:t>
                <w:noBreakHyphen/>
                <w:t>14(b) of the Securities Exchange Act of 1934, as amended, and 18 U.S.C §1350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Confidential treatment granted as to portions of this Exhibit. The confidential portions of this Exhibit have been omitted and are marked by asterisks.</w:t>
      </w:r>
    </w:p>
    <w:p>
      <w:pPr>
        <w:pStyle w:val="TextBody"/>
        <w:spacing w:lineRule="auto" w:line="288" w:before="240" w:after="283"/>
        <w:ind w:left="0" w:right="0" w:hanging="360"/>
        <w:rPr>
          <w:color w:val="000000"/>
        </w:rPr>
      </w:pPr>
      <w:r>
        <w:rPr>
          <w:color w:val="000000"/>
        </w:rPr>
        <w:t>††    </w:t>
      </w:r>
      <w:r>
        <w:rPr>
          <w:rFonts w:ascii="Times New Roman;sans-serif" w:hAnsi="Times New Roman;sans-serif"/>
          <w:b w:val="false"/>
          <w:color w:val="000000"/>
          <w:sz w:val="20"/>
        </w:rPr>
        <w:t>Certain portions have been omitted pursuant to a confidential treatment request. Omitted information has been filed separately with the Securities and Exchange Commission.</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62" w:type="dxa"/>
        <w:jc w:val="left"/>
        <w:tblInd w:w="0" w:type="dxa"/>
        <w:tblCellMar>
          <w:top w:w="28" w:type="dxa"/>
          <w:left w:w="28" w:type="dxa"/>
          <w:bottom w:w="28" w:type="dxa"/>
          <w:right w:w="28" w:type="dxa"/>
        </w:tblCellMar>
      </w:tblPr>
      <w:tblGrid>
        <w:gridCol w:w="754"/>
        <w:gridCol w:w="664"/>
        <w:gridCol w:w="667"/>
        <w:gridCol w:w="194"/>
        <w:gridCol w:w="194"/>
        <w:gridCol w:w="194"/>
        <w:gridCol w:w="1197"/>
        <w:gridCol w:w="1197"/>
        <w:gridCol w:w="1701"/>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7"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58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individual signature appears below hereby authorizes and appoints Michael Raab and Justin Renz,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6bc42016084a495692f8bf00dd062b72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68" w:type="dxa"/>
        <w:jc w:val="left"/>
        <w:tblInd w:w="0" w:type="dxa"/>
        <w:tblCellMar>
          <w:top w:w="28" w:type="dxa"/>
          <w:left w:w="28" w:type="dxa"/>
          <w:bottom w:w="28" w:type="dxa"/>
          <w:right w:w="28" w:type="dxa"/>
        </w:tblCellMar>
      </w:tblPr>
      <w:tblGrid>
        <w:gridCol w:w="821"/>
        <w:gridCol w:w="721"/>
        <w:gridCol w:w="723"/>
        <w:gridCol w:w="109"/>
        <w:gridCol w:w="109"/>
        <w:gridCol w:w="109"/>
        <w:gridCol w:w="1299"/>
        <w:gridCol w:w="1299"/>
        <w:gridCol w:w="1316"/>
        <w:gridCol w:w="109"/>
        <w:gridCol w:w="109"/>
        <w:gridCol w:w="109"/>
        <w:gridCol w:w="477"/>
        <w:gridCol w:w="477"/>
        <w:gridCol w:w="681"/>
      </w:tblGrid>
      <w:tr>
        <w:trPr/>
        <w:tc>
          <w:tcPr>
            <w:tcW w:w="8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Raab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Justin Renz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Mott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Mott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Bazemore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Bazemore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Bertrand,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Bertrand, Jr., J.D.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Muna Bhanji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Muna Bhanji, R.Ph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Geoffrey A. Block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Geoffrey A. Block,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Onaiza Cadoret-Manier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Onaiza Cadoret-Manier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 M. Lundberg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M. Lundberg,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Rodgers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Rodgers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4"/>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10.8</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40" w:before="0" w:after="0"/>
        <w:ind w:left="0" w:right="0" w:hanging="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RETENTION AGREEMENT</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This Retention Agreement (“Agreement”) is made and entered into by and between Ardelyx, Inc. (“Company”) and Michael Raab (“Executive”), effective as of October 25, 2021 (“Effective Date”). </w:t>
      </w:r>
    </w:p>
    <w:p>
      <w:pPr>
        <w:pStyle w:val="TextBody"/>
        <w:spacing w:before="0" w:after="0"/>
        <w:ind w:left="0" w:right="0" w:firstLine="144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before="0" w:after="0"/>
        <w:jc w:val="center"/>
        <w:rPr/>
      </w:pPr>
      <w:r>
        <w:rPr/>
      </w:r>
    </w:p>
    <w:p>
      <w:pPr>
        <w:pStyle w:val="TextBody"/>
        <w:spacing w:lineRule="auto" w:line="240" w:before="0" w:after="0"/>
        <w:ind w:left="0" w:right="0" w:firstLine="1440"/>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Company and the Board of Directors of the Company (“Board”) has determined that it is in the best interests of the Company and its stockholders to execute a second reduction in force in order to reduce operating costs and better align the Company’s workforce with the needs of the business following the receipt of a complete response letter (“CRL”) from the U.S. Food and Drug Administration (“FDA”) on July 28, 2021. </w:t>
      </w:r>
    </w:p>
    <w:p>
      <w:pPr>
        <w:pStyle w:val="TextBody"/>
        <w:spacing w:lineRule="auto" w:line="240"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has determined that it is in the best interests of the Company and the stockholders to put in place arrangements designed to provide that the Company will have the continued dedication and commitment of Executive, notwithstanding the reduction in force, and to provide Executive with an incentive to continue Executive’s employment and further align Executive’s incentives to maximize the value of the Company for the benefit of its stockholders. </w:t>
      </w:r>
    </w:p>
    <w:p>
      <w:pPr>
        <w:pStyle w:val="TextBody"/>
        <w:spacing w:lineRule="auto" w:line="240"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Executive and the Company are parties to that certain Executive Employment Agreement dated as of February 17, 2009 (“Severance Agreement”). Capitalized terms not defined herein shall have the meaning assigned to them in the Severance Agreement. </w:t>
      </w:r>
    </w:p>
    <w:p>
      <w:pPr>
        <w:pStyle w:val="TextBody"/>
        <w:spacing w:before="0" w:after="0"/>
        <w:ind w:left="0" w:right="0" w:firstLine="1440"/>
        <w:rPr/>
      </w:pPr>
      <w:r>
        <w:rPr/>
      </w:r>
    </w:p>
    <w:p>
      <w:pPr>
        <w:pStyle w:val="TextBody"/>
        <w:spacing w:lineRule="auto" w:line="240" w:before="0" w:after="0"/>
        <w:ind w:left="0" w:right="0" w:firstLine="432"/>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spacing w:before="0" w:after="0"/>
        <w:ind w:left="0" w:right="0" w:firstLine="1440"/>
        <w:rPr/>
      </w:pPr>
      <w:r>
        <w:rPr/>
      </w:r>
    </w:p>
    <w:p>
      <w:pPr>
        <w:pStyle w:val="TextBody"/>
        <w:spacing w:lineRule="auto" w:line="240" w:before="0" w:after="0"/>
        <w:ind w:left="0" w:right="0" w:hanging="432"/>
        <w:rPr/>
      </w:pPr>
      <w:r>
        <w:rPr>
          <w:rFonts w:ascii="Times New Roman;sans-serif" w:hAnsi="Times New Roman;sans-serif"/>
          <w:b w:val="false"/>
          <w:color w:val="000000"/>
          <w:sz w:val="24"/>
        </w:rPr>
        <w:t>1</w:t>
      </w:r>
      <w:r>
        <w:rPr>
          <w:rFonts w:ascii="Times New Roman;sans-serif" w:hAnsi="Times New Roman;sans-serif"/>
          <w:b/>
          <w:color w:val="000000"/>
          <w:sz w:val="24"/>
          <w:u w:val="single"/>
        </w:rPr>
        <w:t>Severance Agreement.</w:t>
      </w:r>
      <w:r>
        <w:rPr>
          <w:color w:val="000000"/>
        </w:rPr>
        <w:t xml:space="preserve"> </w:t>
      </w:r>
      <w:r>
        <w:rPr>
          <w:rFonts w:ascii="Times New Roman;sans-serif" w:hAnsi="Times New Roman;sans-serif"/>
          <w:b w:val="false"/>
          <w:color w:val="000000"/>
          <w:sz w:val="24"/>
        </w:rPr>
        <w:t>Except as specifically modified by the provisions of this Agreement, the Severance Agreement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2</w:t>
      </w:r>
      <w:r>
        <w:rPr>
          <w:rFonts w:ascii="Times New Roman;sans-serif" w:hAnsi="Times New Roman;sans-serif"/>
          <w:b/>
          <w:color w:val="000000"/>
          <w:sz w:val="24"/>
          <w:u w:val="single"/>
        </w:rPr>
        <w:t>2021 Annual Bonus.</w:t>
      </w:r>
    </w:p>
    <w:p>
      <w:pPr>
        <w:pStyle w:val="TextBody"/>
        <w:spacing w:lineRule="auto" w:line="240" w:before="0" w:after="0"/>
        <w:rPr/>
      </w:pPr>
      <w:r>
        <w:rPr>
          <w:rFonts w:ascii="Times New Roman;sans-serif" w:hAnsi="Times New Roman;sans-serif"/>
          <w:b w:val="false"/>
          <w:color w:val="000000"/>
          <w:sz w:val="24"/>
        </w:rPr>
        <w:t xml:space="preserve">The Compensation Committee of the Board previously set the Executive’s annual target bonus for fiscal year 2021 at an amount equal to sixty percent (60%) of the Executive’s base salary (“2021 Annual Bonus”). As an incentive to continue Executive’s employment with the Company, subject to the terms of this Agreement, the Executive’s 2021 Annual Bonus shall be earned and paid as follows: (a) fifty percent (50%) of the 2021 Annual Bonus shall be earned on the date in January 2022 when the Company pays annual bonuses to its employees, and (b) fifty percent (50%) of the 2021 Annual Bonus shall be earned following the achievement of the 2021 Annual Bonus milestone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the second fifty percent (50%) of the 2021 Annual Bonus will not be earned earlier than April 1,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a portion of the 2021 Annual Bonus if the Executive voluntarily terminates his employment with the Company for any reason or the Company terminates his employment for Cause prior to the date that such portion of the 2021 Annual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Each portion of the 2021 Annual Bonus shall be paid in full, less applicable withholdings, as soon as practicable following the date on which it is earned. </w:t>
      </w:r>
    </w:p>
    <w:p>
      <w:pPr>
        <w:pStyle w:val="TextBody"/>
        <w:spacing w:lineRule="auto" w:line="240"/>
        <w:ind w:left="0" w:right="0" w:hanging="432"/>
        <w:rPr/>
      </w:pPr>
      <w:r>
        <w:rPr>
          <w:rFonts w:ascii="Times New Roman;sans-serif" w:hAnsi="Times New Roman;sans-serif"/>
          <w:b w:val="false"/>
          <w:color w:val="000000"/>
          <w:sz w:val="24"/>
        </w:rPr>
        <w:t>3</w:t>
      </w:r>
      <w:r>
        <w:rPr>
          <w:rFonts w:ascii="Times New Roman;sans-serif" w:hAnsi="Times New Roman;sans-serif"/>
          <w:b/>
          <w:color w:val="000000"/>
          <w:sz w:val="24"/>
          <w:u w:val="single"/>
        </w:rPr>
        <w:t>Restricted Stock Unit</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2100"/>
                <wp:effectExtent l="0" t="0" r="0" b="0"/>
                <wp:wrapNone/>
                <wp:docPr id="114" name="Frame11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On October 8, 2021, the Company granted the Executive 300,000 restricted stock units (“RSUs”). The Executive has been or will be provided with a Restricted Stock Unit Award Grant Notice (“Notice”) which sets forth the details of the RSUs and provides the terms and conditions of the grant. Subject to the provisions of this Agreement and the Notice, the RSUs will vest in full on the earliest of (a) June 1, 2022, (b) the closing of a Change in Control or (c) the date the Executive’s employment with the Company is terminated by the Company without Cause , in each case, subject to the Executive remaining an employee of the Company through such applicable vesting date.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spacing w:lineRule="auto" w:line="240" w:before="0" w:after="0"/>
        <w:ind w:left="0" w:right="0" w:hanging="432"/>
        <w:rPr/>
      </w:pPr>
      <w:r>
        <w:rPr>
          <w:rFonts w:ascii="Times New Roman;sans-serif" w:hAnsi="Times New Roman;sans-serif"/>
          <w:b w:val="false"/>
          <w:color w:val="000000"/>
          <w:sz w:val="24"/>
        </w:rPr>
        <w:t>4</w:t>
      </w:r>
      <w:r>
        <w:rPr>
          <w:rFonts w:ascii="Times New Roman;sans-serif" w:hAnsi="Times New Roman;sans-serif"/>
          <w:b/>
          <w:color w:val="000000"/>
          <w:sz w:val="24"/>
          <w:u w:val="single"/>
        </w:rPr>
        <w:t>Cash Bonus</w:t>
      </w:r>
    </w:p>
    <w:p>
      <w:pPr>
        <w:pStyle w:val="TextBody"/>
        <w:spacing w:lineRule="auto" w:line="240" w:before="0" w:after="0"/>
        <w:rPr/>
      </w:pPr>
      <w:r>
        <w:rPr>
          <w:rFonts w:ascii="Times New Roman;sans-serif" w:hAnsi="Times New Roman;sans-serif"/>
          <w:b w:val="false"/>
          <w:color w:val="000000"/>
          <w:sz w:val="24"/>
        </w:rPr>
        <w:t xml:space="preserve">The Executive shall earn a retention bonus in the aggregate amount of $300,000, subject to applicable tax withholding (“Cash Bonus”) on the earliest of (a) the date of the achievement of the Cash Bonus milestone set forth on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(b) the closing of a Change in Control or (c) the date the Executive’s employment with the Company is terminated by the Company without Cause, subject to the Executive’s continued employment with the Company through such earliest date.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the Cash Bonus if the Executive voluntarily terminates his employment with the Company or the Company terminates the Executive’s employment for Cause prior to the date that the Cash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Cash Bonus shall be paid in full, less applicable withholdings, as soon as practicable following the date on which it is earned. </w:t>
      </w:r>
    </w:p>
    <w:p>
      <w:pPr>
        <w:pStyle w:val="TextBody"/>
        <w:spacing w:lineRule="auto" w:line="240" w:before="0" w:after="0"/>
        <w:ind w:left="0" w:right="0" w:hanging="432"/>
        <w:rPr/>
      </w:pPr>
      <w:r>
        <w:rPr>
          <w:rFonts w:ascii="Times New Roman;sans-serif" w:hAnsi="Times New Roman;sans-serif"/>
          <w:b w:val="false"/>
          <w:color w:val="000000"/>
          <w:sz w:val="24"/>
        </w:rPr>
        <w:t>5</w:t>
      </w:r>
      <w:r>
        <w:rPr>
          <w:rFonts w:ascii="Times New Roman;sans-serif" w:hAnsi="Times New Roman;sans-serif"/>
          <w:b/>
          <w:color w:val="000000"/>
          <w:sz w:val="24"/>
          <w:u w:val="single"/>
        </w:rPr>
        <w:t>Nature of Agreement</w:t>
      </w:r>
      <w:r>
        <w:rPr>
          <w:color w:val="000000"/>
        </w:rPr>
        <w:t xml:space="preserve"> </w:t>
      </w:r>
      <w:r>
        <w:rPr>
          <w:rFonts w:ascii="Times New Roman;sans-serif" w:hAnsi="Times New Roman;sans-serif"/>
          <w:b w:val="false"/>
          <w:color w:val="000000"/>
          <w:sz w:val="24"/>
        </w:rPr>
        <w:t xml:space="preserve">This Agreement is not a contract of employment for any specified term. Nothing contained in this Agreement shall confer upon Executive any right to continue in the employ of the Company or interfere in any way with the at-will nature of Executive’s employment with the Company (it being understood and agreed that (so long as it is done in accordance with applicable law) the Company may terminate Executive’s employment at any time for any reason or for no reason and that Executive may terminate his/her employment with the Company at any time for any reason or for no reason). </w:t>
      </w:r>
    </w:p>
    <w:p>
      <w:pPr>
        <w:pStyle w:val="TextBody"/>
        <w:spacing w:lineRule="auto" w:line="240" w:before="0" w:after="0"/>
        <w:ind w:left="0" w:right="0" w:hanging="432"/>
        <w:rPr/>
      </w:pPr>
      <w:r>
        <w:rPr>
          <w:rFonts w:ascii="Times New Roman;sans-serif" w:hAnsi="Times New Roman;sans-serif"/>
          <w:b w:val="false"/>
          <w:color w:val="000000"/>
          <w:sz w:val="24"/>
        </w:rPr>
        <w:t>6</w:t>
      </w:r>
      <w:r>
        <w:rPr>
          <w:rFonts w:ascii="Times New Roman;sans-serif" w:hAnsi="Times New Roman;sans-serif"/>
          <w:b/>
          <w:color w:val="000000"/>
          <w:sz w:val="24"/>
          <w:u w:val="single"/>
        </w:rPr>
        <w:t>Full Agreement</w:t>
      </w:r>
      <w:r>
        <w:rPr>
          <w:color w:val="000000"/>
        </w:rPr>
        <w:t xml:space="preserve"> </w:t>
      </w:r>
      <w:r>
        <w:rPr>
          <w:rFonts w:ascii="Times New Roman;sans-serif" w:hAnsi="Times New Roman;sans-serif"/>
          <w:b w:val="false"/>
          <w:color w:val="000000"/>
          <w:sz w:val="24"/>
        </w:rPr>
        <w:t xml:space="preserve">This Agreement, together with the Notice and the Severance Agreement referenced herein constitutes the entire agreement of the parties with respect to the subject matter hereof, and supersedes all prior and contemporaneous discussions, negotiations, or understandings, written or oral, relating thereto. This Agreement may not be amended or modified except in a writing signed by both Executive and an authorized representative of the Company. </w:t>
      </w:r>
    </w:p>
    <w:p>
      <w:pPr>
        <w:pStyle w:val="TextBody"/>
        <w:spacing w:lineRule="auto" w:line="240" w:before="0" w:after="0"/>
        <w:ind w:left="0" w:right="0" w:hanging="432"/>
        <w:rPr/>
      </w:pPr>
      <w:r>
        <w:rPr>
          <w:rFonts w:ascii="Times New Roman;sans-serif" w:hAnsi="Times New Roman;sans-serif"/>
          <w:b w:val="false"/>
          <w:color w:val="000000"/>
          <w:sz w:val="24"/>
        </w:rPr>
        <w:t>7</w:t>
      </w:r>
      <w:r>
        <w:rPr>
          <w:rFonts w:ascii="Times New Roman;sans-serif" w:hAnsi="Times New Roman;sans-serif"/>
          <w:b/>
          <w:color w:val="000000"/>
          <w:sz w:val="24"/>
          <w:u w:val="single"/>
        </w:rPr>
        <w:t>Successors</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the Severance Agreement or which becomes bound by the terms of this Agreement by operation of law.</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67360"/>
                <wp:effectExtent l="0" t="0" r="0" b="0"/>
                <wp:wrapNone/>
                <wp:docPr id="115" name="Frame114"/>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lineRule="auto" w:line="240" w:before="0" w:after="0"/>
        <w:ind w:left="0" w:right="0" w:hanging="432"/>
        <w:rPr/>
      </w:pPr>
      <w:r>
        <w:rPr>
          <w:rFonts w:ascii="Times New Roman;sans-serif" w:hAnsi="Times New Roman;sans-serif"/>
          <w:b w:val="false"/>
          <w:color w:val="000000"/>
          <w:sz w:val="24"/>
        </w:rPr>
        <w:t>8</w:t>
      </w:r>
      <w:r>
        <w:rPr>
          <w:rFonts w:ascii="Times New Roman;sans-serif" w:hAnsi="Times New Roman;sans-serif"/>
          <w:b/>
          <w:color w:val="000000"/>
          <w:sz w:val="24"/>
          <w:u w:val="single"/>
        </w:rPr>
        <w:t>Choice of Law and Severability</w:t>
      </w:r>
      <w:r>
        <w:rPr>
          <w:color w:val="000000"/>
        </w:rPr>
        <w:t xml:space="preserve"> </w:t>
      </w:r>
      <w:r>
        <w:rPr>
          <w:rFonts w:ascii="Times New Roman;sans-serif" w:hAnsi="Times New Roman;sans-serif"/>
          <w:b w:val="false"/>
          <w:color w:val="000000"/>
          <w:sz w:val="24"/>
        </w:rPr>
        <w:t>The validity, interpretation, construction and performance of this Agreement shall be governed by the laws of the State of California. The invalidity or unenforceability of any provision or provisions of this Agreement shall not affect the validity or enforceability of any other provision hereof, which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9</w:t>
      </w:r>
      <w:r>
        <w:rPr>
          <w:rFonts w:ascii="Times New Roman;sans-serif" w:hAnsi="Times New Roman;sans-serif"/>
          <w:b/>
          <w:color w:val="000000"/>
          <w:sz w:val="24"/>
          <w:u w:val="single"/>
        </w:rPr>
        <w:t>Date of Signature</w:t>
      </w:r>
      <w:r>
        <w:rPr>
          <w:color w:val="000000"/>
        </w:rPr>
        <w:t xml:space="preserve"> </w:t>
      </w:r>
      <w:r>
        <w:rPr>
          <w:rFonts w:ascii="Times New Roman;sans-serif" w:hAnsi="Times New Roman;sans-serif"/>
          <w:b w:val="false"/>
          <w:color w:val="000000"/>
          <w:sz w:val="24"/>
        </w:rPr>
        <w:t xml:space="preserve">This Agreement shall be conveyed to Executive via DocuSign and in order to be effective, it must be signed by Executive and delivered to the Company no later than November 15, 2021. Executive may elect to electronically execute this Agreement using the DocuSign link provided, in which case this Agreement shall be automatically delivered to Kelli Shaa and Mishu Nitulescu in Human Resources upon execution. Alternatively, Executive may elect to manually sign this Agreement provided that such signature is delivered to Kelli Shaa in Human Resources no later than November 15, 2021. </w:t>
      </w:r>
    </w:p>
    <w:p>
      <w:pPr>
        <w:pStyle w:val="TextBody"/>
        <w:spacing w:before="0" w:after="240"/>
        <w:ind w:left="0" w:right="0" w:hanging="360"/>
        <w:rPr/>
      </w:pPr>
      <w:r>
        <w:rPr/>
      </w:r>
    </w:p>
    <w:tbl>
      <w:tblPr>
        <w:tblW w:w="6553" w:type="dxa"/>
        <w:jc w:val="left"/>
        <w:tblInd w:w="0" w:type="dxa"/>
        <w:tblCellMar>
          <w:top w:w="28" w:type="dxa"/>
          <w:left w:w="28" w:type="dxa"/>
          <w:bottom w:w="28" w:type="dxa"/>
          <w:right w:w="28" w:type="dxa"/>
        </w:tblCellMar>
      </w:tblPr>
      <w:tblGrid>
        <w:gridCol w:w="770"/>
        <w:gridCol w:w="678"/>
        <w:gridCol w:w="681"/>
        <w:gridCol w:w="1294"/>
        <w:gridCol w:w="1294"/>
        <w:gridCol w:w="1836"/>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Michael Raab</w:t>
            </w:r>
          </w:p>
          <w:p>
            <w:pPr>
              <w:pStyle w:val="TableContents"/>
              <w:spacing w:before="0" w:after="0"/>
              <w:ind w:left="0" w:right="0" w:hanging="360"/>
              <w:jc w:val="left"/>
              <w:rPr/>
            </w:pPr>
            <w:r>
              <w:rPr/>
            </w:r>
          </w:p>
          <w:p>
            <w:pPr>
              <w:pStyle w:val="TableContents"/>
              <w:spacing w:lineRule="auto" w:line="240" w:before="0" w:after="0"/>
              <w:ind w:left="0" w:right="0" w:hanging="4"/>
              <w:jc w:val="left"/>
              <w:rPr>
                <w:color w:val="000000"/>
              </w:rPr>
            </w:pPr>
            <w:r>
              <w:rPr>
                <w:color w:val="000000"/>
              </w:rPr>
              <w:t>       </w:t>
            </w:r>
            <w:r>
              <w:rPr>
                <w:rFonts w:ascii="Times New Roman;sans-serif" w:hAnsi="Times New Roman;sans-serif"/>
                <w:b w:val="false"/>
                <w:color w:val="000000"/>
                <w:sz w:val="24"/>
              </w:rPr>
              <w:t>/s/ Michael Raab</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October 23, 2021</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Ardelyx, Inc.</w:t>
            </w:r>
          </w:p>
          <w:p>
            <w:pPr>
              <w:pStyle w:val="TableContents"/>
              <w:spacing w:before="0" w:after="0"/>
              <w:ind w:left="0" w:right="0" w:hanging="360"/>
              <w:jc w:val="left"/>
              <w:rPr/>
            </w:pPr>
            <w:r>
              <w:rPr/>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By:/s/ Elizabeth Grammer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Legal and Administrative Officer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Dated:October 23, 2021</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4424"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r>
    </w:tbl>
    <w:p>
      <w:pPr>
        <w:pStyle w:val="TextBody"/>
        <w:spacing w:before="0" w:after="0"/>
        <w:ind w:left="0" w:right="0" w:hanging="4"/>
        <w:rPr/>
      </w:pPr>
      <w:r>
        <w:rPr/>
      </w:r>
    </w:p>
    <w:p>
      <w:pPr>
        <w:pStyle w:val="TextBody"/>
        <w:spacing w:before="0" w:after="0"/>
        <w:rPr/>
      </w:pPr>
      <w:r>
        <w:rPr/>
      </w:r>
    </w:p>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4"/>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10.16</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67360"/>
                <wp:effectExtent l="0" t="0" r="0" b="0"/>
                <wp:wrapNone/>
                <wp:docPr id="116" name="Frame115"/>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ind w:left="0" w:right="0" w:hanging="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RETENTION AGREEMENT</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This Retention Agreement (“Agreement”) is made and entered into by and between Ardelyx, Inc. (“Company”) and Susan Rodriguez (“Executive”), effective as of October 25, 2021 (“Effective Date”). </w:t>
      </w:r>
    </w:p>
    <w:p>
      <w:pPr>
        <w:pStyle w:val="TextBody"/>
        <w:spacing w:before="0" w:after="0"/>
        <w:ind w:left="0" w:right="0" w:firstLine="144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before="0" w:after="0"/>
        <w:jc w:val="center"/>
        <w:rPr/>
      </w:pPr>
      <w:r>
        <w:rPr/>
      </w:r>
    </w:p>
    <w:p>
      <w:pPr>
        <w:pStyle w:val="TextBody"/>
        <w:spacing w:lineRule="auto" w:line="240" w:before="0" w:after="0"/>
        <w:ind w:left="0" w:right="0" w:firstLine="1440"/>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Company and the Board of Directors of the Company (“Board”) has determined that it is in the best interests of the Company and its stockholders to execute a second reduction in force in order to reduce operating costs and better align the Company’s workforce with the needs of the business following the receipt of a complete response letter (“CRL”) from the U.S. Food and Drug Administration (“FDA”) on July 28, 2021. </w:t>
      </w:r>
    </w:p>
    <w:p>
      <w:pPr>
        <w:pStyle w:val="TextBody"/>
        <w:spacing w:lineRule="auto" w:line="240"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has determined that it is in the best interests of the Company and the stockholders to put in place arrangements designed to provide that the Company will have the continued dedication and commitment of Executive, notwithstanding the reduction in force, and to provide Executive with an incentive to continue Executive’s employment and further align Executive’s incentives to maximize the value of the Company for the benefit of its stockholders. </w:t>
      </w:r>
    </w:p>
    <w:p>
      <w:pPr>
        <w:pStyle w:val="TextBody"/>
        <w:spacing w:lineRule="auto" w:line="240"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Executive and the Company are parties to that certain Change in Control Severance Agreement dated as of May 18, 2020 (“Severance Agreement”). Capitalized terms not defined herein shall have the meaning assigned to them in the Severance Agreement. </w:t>
      </w:r>
    </w:p>
    <w:p>
      <w:pPr>
        <w:pStyle w:val="TextBody"/>
        <w:spacing w:before="0" w:after="0"/>
        <w:ind w:left="0" w:right="0" w:firstLine="1440"/>
        <w:rPr/>
      </w:pPr>
      <w:r>
        <w:rPr/>
      </w:r>
    </w:p>
    <w:p>
      <w:pPr>
        <w:pStyle w:val="TextBody"/>
        <w:spacing w:lineRule="auto" w:line="240" w:before="0" w:after="0"/>
        <w:ind w:left="0" w:right="0" w:firstLine="432"/>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spacing w:before="0" w:after="0"/>
        <w:ind w:left="0" w:right="0" w:firstLine="1440"/>
        <w:rPr/>
      </w:pPr>
      <w:r>
        <w:rPr/>
      </w:r>
    </w:p>
    <w:p>
      <w:pPr>
        <w:pStyle w:val="TextBody"/>
        <w:spacing w:lineRule="auto" w:line="240" w:before="0" w:after="0"/>
        <w:ind w:left="0" w:right="0" w:hanging="432"/>
        <w:rPr/>
      </w:pPr>
      <w:r>
        <w:rPr>
          <w:rFonts w:ascii="Times New Roman;sans-serif" w:hAnsi="Times New Roman;sans-serif"/>
          <w:b w:val="false"/>
          <w:color w:val="000000"/>
          <w:sz w:val="24"/>
        </w:rPr>
        <w:t>1</w:t>
      </w:r>
      <w:r>
        <w:rPr>
          <w:rFonts w:ascii="Times New Roman;sans-serif" w:hAnsi="Times New Roman;sans-serif"/>
          <w:b/>
          <w:color w:val="000000"/>
          <w:sz w:val="24"/>
          <w:u w:val="single"/>
        </w:rPr>
        <w:t>Severance Agreement.</w:t>
      </w:r>
      <w:r>
        <w:rPr>
          <w:color w:val="000000"/>
        </w:rPr>
        <w:t xml:space="preserve"> </w:t>
      </w:r>
      <w:r>
        <w:rPr>
          <w:rFonts w:ascii="Times New Roman;sans-serif" w:hAnsi="Times New Roman;sans-serif"/>
          <w:b w:val="false"/>
          <w:color w:val="000000"/>
          <w:sz w:val="24"/>
        </w:rPr>
        <w:t>Except as specifically modified by the provisions of this Agreement, the Severance Agreement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2</w:t>
      </w:r>
      <w:r>
        <w:rPr>
          <w:rFonts w:ascii="Times New Roman;sans-serif" w:hAnsi="Times New Roman;sans-serif"/>
          <w:b/>
          <w:color w:val="000000"/>
          <w:sz w:val="24"/>
          <w:u w:val="single"/>
        </w:rPr>
        <w:t>2021 Annual Bonus.</w:t>
      </w:r>
    </w:p>
    <w:p>
      <w:pPr>
        <w:pStyle w:val="TextBody"/>
        <w:spacing w:lineRule="auto" w:line="240" w:before="0" w:after="0"/>
        <w:rPr/>
      </w:pPr>
      <w:r>
        <w:rPr>
          <w:rFonts w:ascii="Times New Roman;sans-serif" w:hAnsi="Times New Roman;sans-serif"/>
          <w:b w:val="false"/>
          <w:color w:val="000000"/>
          <w:sz w:val="24"/>
        </w:rPr>
        <w:t xml:space="preserve">The Compensation Committee of the Board previously set the Executive’s annual target bonus for fiscal year 2021 at an amount equal to forty percent (40%) of the Executive’s base salary (“2021 Annual Bonus”). As an incentive to continue Executive’s employment with the Company, subject to the terms of this Agreement, the Executive’s 2021 Annual Bonus shall be earned and paid as follows: (a) fifty percent (50%) of the 2021 Annual Bonus shall be earned on the date in January 2022 when the Company pays annual bonuses to its employees, and (b) fifty percent (50%) of the 2021 Annual Bonus shall be earned following the achievement of the 2021 Annual Bonus milestone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the second fifty percent (50%) of the 2021 Annual Bonus will not be earned earlier than April 1,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a portion of the 2021 Annual Bonus if the Executive voluntarily terminates her employment with the Company for any reason or the Company terminates her employment for Cause prior to the date that such portion of the 2021 Annual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Each portion of the 2021 Annual Bonus shall be paid in full, less applicable withholdings, as soon as practicable following the date on which it is earned. </w:t>
      </w:r>
    </w:p>
    <w:p>
      <w:pPr>
        <w:pStyle w:val="TextBody"/>
        <w:spacing w:lineRule="auto" w:line="240"/>
        <w:ind w:left="0" w:right="0" w:hanging="432"/>
        <w:rPr/>
      </w:pPr>
      <w:r>
        <w:rPr>
          <w:rFonts w:ascii="Times New Roman;sans-serif" w:hAnsi="Times New Roman;sans-serif"/>
          <w:b w:val="false"/>
          <w:color w:val="000000"/>
          <w:sz w:val="24"/>
        </w:rPr>
        <w:t>3</w:t>
      </w:r>
      <w:r>
        <w:rPr>
          <w:rFonts w:ascii="Times New Roman;sans-serif" w:hAnsi="Times New Roman;sans-serif"/>
          <w:b/>
          <w:color w:val="000000"/>
          <w:sz w:val="24"/>
          <w:u w:val="single"/>
        </w:rPr>
        <w:t>Restricted Stock Unit</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100"/>
                <wp:effectExtent l="0" t="0" r="0" b="0"/>
                <wp:wrapNone/>
                <wp:docPr id="117" name="Frame11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On October 8, 2021, the Company granted the Executive 150,000 restricted stock units (“RSUs”). The Executive has been or will be provided with a Restricted Stock Unit Award Grant Notice (“Notice”) which sets forth the details of the RSUs and provides the terms and conditions of the grant. Subject to the provisions of this Agreement and the Notice, the RSUs will vest in full on the earliest of (a) June 1, 2022, (b) the closing of a Change in Control or (c) the date the Executive’s employment with the Company is terminated by the Company without Cause , in each case, subject to the Executive remaining an employee of the Company through such applicable vesting date.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spacing w:lineRule="auto" w:line="240" w:before="0" w:after="0"/>
        <w:ind w:left="0" w:right="0" w:hanging="432"/>
        <w:rPr/>
      </w:pPr>
      <w:r>
        <w:rPr>
          <w:rFonts w:ascii="Times New Roman;sans-serif" w:hAnsi="Times New Roman;sans-serif"/>
          <w:b w:val="false"/>
          <w:color w:val="000000"/>
          <w:sz w:val="24"/>
        </w:rPr>
        <w:t>4</w:t>
      </w:r>
      <w:r>
        <w:rPr>
          <w:rFonts w:ascii="Times New Roman;sans-serif" w:hAnsi="Times New Roman;sans-serif"/>
          <w:b/>
          <w:color w:val="000000"/>
          <w:sz w:val="24"/>
          <w:u w:val="single"/>
        </w:rPr>
        <w:t>Cash Bonus</w:t>
      </w:r>
    </w:p>
    <w:p>
      <w:pPr>
        <w:pStyle w:val="TextBody"/>
        <w:spacing w:lineRule="auto" w:line="240" w:before="0" w:after="0"/>
        <w:rPr/>
      </w:pPr>
      <w:r>
        <w:rPr>
          <w:rFonts w:ascii="Times New Roman;sans-serif" w:hAnsi="Times New Roman;sans-serif"/>
          <w:b w:val="false"/>
          <w:color w:val="000000"/>
          <w:sz w:val="24"/>
        </w:rPr>
        <w:t xml:space="preserve">The Executive shall earn a retention bonus in the aggregate amount of $150,000, subject to applicable tax withholding (“Cash Bonus”) on the earliest of (a) the date of the achievement of the Cash Bonus milestone set forth on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(b) the closing of a Change in Control or (c) the date the Executive’s employment with the Company is terminated by the Company without Cause, subject to the Executive’s continued employment with the Company through such earliest date.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the Cash Bonus if the Executive voluntarily terminates her employment with the Company or the Company terminates the Executive’s employment for Cause prior to the date that the Cash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Cash Bonus shall be paid in full, less applicable withholdings, as soon as practicable following the date on which it is earned. </w:t>
      </w:r>
    </w:p>
    <w:p>
      <w:pPr>
        <w:pStyle w:val="TextBody"/>
        <w:spacing w:lineRule="auto" w:line="240" w:before="0" w:after="0"/>
        <w:ind w:left="0" w:right="0" w:hanging="432"/>
        <w:rPr/>
      </w:pPr>
      <w:r>
        <w:rPr>
          <w:rFonts w:ascii="Times New Roman;sans-serif" w:hAnsi="Times New Roman;sans-serif"/>
          <w:b w:val="false"/>
          <w:color w:val="000000"/>
          <w:sz w:val="24"/>
        </w:rPr>
        <w:t>5</w:t>
      </w:r>
      <w:r>
        <w:rPr>
          <w:rFonts w:ascii="Times New Roman;sans-serif" w:hAnsi="Times New Roman;sans-serif"/>
          <w:b/>
          <w:color w:val="000000"/>
          <w:sz w:val="24"/>
          <w:u w:val="single"/>
        </w:rPr>
        <w:t>Nature of Agreement</w:t>
      </w:r>
      <w:r>
        <w:rPr>
          <w:color w:val="000000"/>
        </w:rPr>
        <w:t xml:space="preserve"> </w:t>
      </w:r>
      <w:r>
        <w:rPr>
          <w:rFonts w:ascii="Times New Roman;sans-serif" w:hAnsi="Times New Roman;sans-serif"/>
          <w:b w:val="false"/>
          <w:color w:val="000000"/>
          <w:sz w:val="24"/>
        </w:rPr>
        <w:t xml:space="preserve">This Agreement is not a contract of employment for any specified term. Nothing contained in this Agreement shall confer upon Executive any right to continue in the employ of the Company or interfere in any way with the at-will nature of Executive’s employment with the Company (it being understood and agreed that (so long as it is done in accordance with applicable law) the Company may terminate Executive’s employment at any time for any reason or for no reason and that Executive may terminate his/her employment with the Company at any time for any reason or for no reason). </w:t>
      </w:r>
    </w:p>
    <w:p>
      <w:pPr>
        <w:pStyle w:val="TextBody"/>
        <w:spacing w:lineRule="auto" w:line="240" w:before="0" w:after="0"/>
        <w:ind w:left="0" w:right="0" w:hanging="432"/>
        <w:rPr/>
      </w:pPr>
      <w:r>
        <w:rPr>
          <w:rFonts w:ascii="Times New Roman;sans-serif" w:hAnsi="Times New Roman;sans-serif"/>
          <w:b w:val="false"/>
          <w:color w:val="000000"/>
          <w:sz w:val="24"/>
        </w:rPr>
        <w:t>6</w:t>
      </w:r>
      <w:r>
        <w:rPr>
          <w:rFonts w:ascii="Times New Roman;sans-serif" w:hAnsi="Times New Roman;sans-serif"/>
          <w:b/>
          <w:color w:val="000000"/>
          <w:sz w:val="24"/>
          <w:u w:val="single"/>
        </w:rPr>
        <w:t>Full Agreement</w:t>
      </w:r>
      <w:r>
        <w:rPr>
          <w:color w:val="000000"/>
        </w:rPr>
        <w:t xml:space="preserve"> </w:t>
      </w:r>
      <w:r>
        <w:rPr>
          <w:rFonts w:ascii="Times New Roman;sans-serif" w:hAnsi="Times New Roman;sans-serif"/>
          <w:b w:val="false"/>
          <w:color w:val="000000"/>
          <w:sz w:val="24"/>
        </w:rPr>
        <w:t xml:space="preserve">This Agreement, together with the Notice and the Severance Agreement referenced herein constitutes the entire agreement of the parties with respect to the subject matter hereof, and supersedes all prior and contemporaneous discussions, negotiations, or understandings, written or oral, relating thereto. This Agreement may not be amended or modified except in a writing signed by both Executive and an authorized representative of the Company. </w:t>
      </w:r>
    </w:p>
    <w:p>
      <w:pPr>
        <w:pStyle w:val="TextBody"/>
        <w:spacing w:lineRule="auto" w:line="240" w:before="0" w:after="0"/>
        <w:ind w:left="0" w:right="0" w:hanging="432"/>
        <w:rPr/>
      </w:pPr>
      <w:r>
        <w:rPr>
          <w:rFonts w:ascii="Times New Roman;sans-serif" w:hAnsi="Times New Roman;sans-serif"/>
          <w:b w:val="false"/>
          <w:color w:val="000000"/>
          <w:sz w:val="24"/>
        </w:rPr>
        <w:t>7</w:t>
      </w:r>
      <w:r>
        <w:rPr>
          <w:rFonts w:ascii="Times New Roman;sans-serif" w:hAnsi="Times New Roman;sans-serif"/>
          <w:b/>
          <w:color w:val="000000"/>
          <w:sz w:val="24"/>
          <w:u w:val="single"/>
        </w:rPr>
        <w:t>Successors</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the Severance Agreement or which becomes bound by the terms of this Agreement by operation of law.</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67360"/>
                <wp:effectExtent l="0" t="0" r="0" b="0"/>
                <wp:wrapNone/>
                <wp:docPr id="118" name="Frame117"/>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lineRule="auto" w:line="240" w:before="0" w:after="0"/>
        <w:ind w:left="0" w:right="0" w:hanging="432"/>
        <w:rPr/>
      </w:pPr>
      <w:r>
        <w:rPr>
          <w:rFonts w:ascii="Times New Roman;sans-serif" w:hAnsi="Times New Roman;sans-serif"/>
          <w:b w:val="false"/>
          <w:color w:val="000000"/>
          <w:sz w:val="24"/>
        </w:rPr>
        <w:t>8</w:t>
      </w:r>
      <w:r>
        <w:rPr>
          <w:rFonts w:ascii="Times New Roman;sans-serif" w:hAnsi="Times New Roman;sans-serif"/>
          <w:b/>
          <w:color w:val="000000"/>
          <w:sz w:val="24"/>
          <w:u w:val="single"/>
        </w:rPr>
        <w:t>Choice of Law and Severability</w:t>
      </w:r>
      <w:r>
        <w:rPr>
          <w:color w:val="000000"/>
        </w:rPr>
        <w:t xml:space="preserve"> </w:t>
      </w:r>
      <w:r>
        <w:rPr>
          <w:rFonts w:ascii="Times New Roman;sans-serif" w:hAnsi="Times New Roman;sans-serif"/>
          <w:b w:val="false"/>
          <w:color w:val="000000"/>
          <w:sz w:val="24"/>
        </w:rPr>
        <w:t>The validity, interpretation, construction and performance of this Agreement shall be governed by the laws of the State of California. The invalidity or unenforceability of any provision or provisions of this Agreement shall not affect the validity or enforceability of any other provision hereof, which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9</w:t>
      </w:r>
      <w:r>
        <w:rPr>
          <w:rFonts w:ascii="Times New Roman;sans-serif" w:hAnsi="Times New Roman;sans-serif"/>
          <w:b/>
          <w:color w:val="000000"/>
          <w:sz w:val="24"/>
          <w:u w:val="single"/>
        </w:rPr>
        <w:t>Date of Signature</w:t>
      </w:r>
      <w:r>
        <w:rPr>
          <w:color w:val="000000"/>
        </w:rPr>
        <w:t xml:space="preserve"> </w:t>
      </w:r>
      <w:r>
        <w:rPr>
          <w:rFonts w:ascii="Times New Roman;sans-serif" w:hAnsi="Times New Roman;sans-serif"/>
          <w:b w:val="false"/>
          <w:color w:val="000000"/>
          <w:sz w:val="24"/>
        </w:rPr>
        <w:t xml:space="preserve">This Agreement shall be conveyed to Executive via DocuSign and in order to be effective, it must be signed by Executive and delivered to the Company no later than November 15, 2021. Executive may elect to electronically execute this Agreement using the DocuSign link provided, in which case this Agreement shall be automatically delivered to Kelli Shaa and Mishu Nitulescu in Human Resources upon execution. Alternatively, Executive may elect to manually sign this Agreement provided that such signature is delivered to Kelli Shaa in Human Resources no later than November 15, 2021. </w:t>
      </w:r>
    </w:p>
    <w:p>
      <w:pPr>
        <w:pStyle w:val="TextBody"/>
        <w:spacing w:before="0" w:after="240"/>
        <w:ind w:left="0" w:right="0" w:hanging="360"/>
        <w:rPr/>
      </w:pPr>
      <w:r>
        <w:rPr/>
      </w:r>
    </w:p>
    <w:tbl>
      <w:tblPr>
        <w:tblW w:w="5459" w:type="dxa"/>
        <w:jc w:val="left"/>
        <w:tblInd w:w="0" w:type="dxa"/>
        <w:tblCellMar>
          <w:top w:w="28" w:type="dxa"/>
          <w:left w:w="28" w:type="dxa"/>
          <w:bottom w:w="28" w:type="dxa"/>
          <w:right w:w="28" w:type="dxa"/>
        </w:tblCellMar>
      </w:tblPr>
      <w:tblGrid>
        <w:gridCol w:w="902"/>
        <w:gridCol w:w="792"/>
        <w:gridCol w:w="796"/>
        <w:gridCol w:w="867"/>
        <w:gridCol w:w="867"/>
        <w:gridCol w:w="1235"/>
      </w:tblGrid>
      <w:tr>
        <w:trPr/>
        <w:tc>
          <w:tcPr>
            <w:tcW w:w="90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Susan Rodriguez</w:t>
            </w:r>
          </w:p>
          <w:p>
            <w:pPr>
              <w:pStyle w:val="TableContents"/>
              <w:spacing w:before="0" w:after="0"/>
              <w:ind w:left="0" w:right="0" w:hanging="360"/>
              <w:jc w:val="left"/>
              <w:rPr/>
            </w:pPr>
            <w:r>
              <w:rPr/>
            </w:r>
          </w:p>
          <w:p>
            <w:pPr>
              <w:pStyle w:val="TableContents"/>
              <w:spacing w:lineRule="auto" w:line="240" w:before="0" w:after="0"/>
              <w:ind w:left="0" w:right="0" w:hanging="4"/>
              <w:jc w:val="left"/>
              <w:rPr>
                <w:color w:val="000000"/>
              </w:rPr>
            </w:pPr>
            <w:r>
              <w:rPr>
                <w:color w:val="000000"/>
              </w:rPr>
              <w:t>        </w:t>
            </w:r>
            <w:r>
              <w:rPr>
                <w:rFonts w:ascii="Times New Roman;sans-serif" w:hAnsi="Times New Roman;sans-serif"/>
                <w:b w:val="false"/>
                <w:color w:val="000000"/>
                <w:sz w:val="24"/>
              </w:rPr>
              <w:t>/s/ Susan Rodriguez</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October 25, 2021</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Ardelyx, Inc.</w:t>
            </w:r>
          </w:p>
          <w:p>
            <w:pPr>
              <w:pStyle w:val="TableContents"/>
              <w:spacing w:before="0" w:after="0"/>
              <w:ind w:left="0" w:right="0" w:hanging="360"/>
              <w:jc w:val="left"/>
              <w:rPr/>
            </w:pPr>
            <w:r>
              <w:rPr/>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/s/ Michael Raab</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23, 2021</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2969"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r>
    </w:tbl>
    <w:p>
      <w:pPr>
        <w:pStyle w:val="TextBody"/>
        <w:spacing w:before="0" w:after="0"/>
        <w:ind w:left="0" w:right="0" w:hanging="4"/>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4"/>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10.19</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67360"/>
                <wp:effectExtent l="0" t="0" r="0" b="0"/>
                <wp:wrapNone/>
                <wp:docPr id="119" name="Frame118"/>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ind w:left="0" w:right="0" w:hanging="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RETENTION AGREEMENT</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This Retention Agreement (“Agreement”) is made and entered into by and between Ardelyx, Inc. (“Company”) and Justin Renz (“Executive”), effective as of October 25, 2021 (“Effective Date”). </w:t>
      </w:r>
    </w:p>
    <w:p>
      <w:pPr>
        <w:pStyle w:val="TextBody"/>
        <w:spacing w:before="0" w:after="0"/>
        <w:ind w:left="0" w:right="0" w:firstLine="144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before="0" w:after="0"/>
        <w:jc w:val="center"/>
        <w:rPr/>
      </w:pPr>
      <w:r>
        <w:rPr/>
      </w:r>
    </w:p>
    <w:p>
      <w:pPr>
        <w:pStyle w:val="TextBody"/>
        <w:spacing w:lineRule="auto" w:line="240" w:before="0" w:after="0"/>
        <w:ind w:left="0" w:right="0" w:firstLine="1440"/>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Company and the Board of Directors of the Company (“Board”) has determined that it is in the best interests of the Company and its stockholders to execute a second reduction in force in order to reduce operating costs and better align the Company’s workforce with the needs of the business following the receipt of a complete response letter (“CRL”) from the U.S. Food and Drug Administration (“FDA”) on July 28, 2021. </w:t>
      </w:r>
    </w:p>
    <w:p>
      <w:pPr>
        <w:pStyle w:val="TextBody"/>
        <w:spacing w:lineRule="auto" w:line="240"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has determined that it is in the best interests of the Company and the stockholders to put in place arrangements designed to provide that the Company will have the continued dedication and commitment of Executive, notwithstanding the reduction in force, and to provide Executive with an incentive to continue Executive’s employment and further align Executive’s incentives to maximize the value of the Company for the benefit of its stockholders. </w:t>
      </w:r>
    </w:p>
    <w:p>
      <w:pPr>
        <w:pStyle w:val="TextBody"/>
        <w:spacing w:lineRule="auto" w:line="240"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Executive and the Company are parties to that certain Second Amended and Restated Change in Control Severance Agreement dated as of March 9, 2021 (“Severance Agreement”). Capitalized terms not defined herein shall have the meaning assigned to them in the Severance Agreement. </w:t>
      </w:r>
    </w:p>
    <w:p>
      <w:pPr>
        <w:pStyle w:val="TextBody"/>
        <w:spacing w:before="0" w:after="0"/>
        <w:ind w:left="0" w:right="0" w:firstLine="1440"/>
        <w:rPr/>
      </w:pPr>
      <w:r>
        <w:rPr/>
      </w:r>
    </w:p>
    <w:p>
      <w:pPr>
        <w:pStyle w:val="TextBody"/>
        <w:spacing w:lineRule="auto" w:line="240" w:before="0" w:after="0"/>
        <w:ind w:left="0" w:right="0" w:firstLine="432"/>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spacing w:before="0" w:after="0"/>
        <w:ind w:left="0" w:right="0" w:firstLine="1440"/>
        <w:rPr/>
      </w:pPr>
      <w:r>
        <w:rPr/>
      </w:r>
    </w:p>
    <w:p>
      <w:pPr>
        <w:pStyle w:val="TextBody"/>
        <w:spacing w:lineRule="auto" w:line="240" w:before="0" w:after="0"/>
        <w:ind w:left="0" w:right="0" w:hanging="432"/>
        <w:rPr/>
      </w:pPr>
      <w:r>
        <w:rPr>
          <w:rFonts w:ascii="Times New Roman;sans-serif" w:hAnsi="Times New Roman;sans-serif"/>
          <w:b w:val="false"/>
          <w:color w:val="000000"/>
          <w:sz w:val="24"/>
        </w:rPr>
        <w:t>1</w:t>
      </w:r>
      <w:r>
        <w:rPr>
          <w:rFonts w:ascii="Times New Roman;sans-serif" w:hAnsi="Times New Roman;sans-serif"/>
          <w:b/>
          <w:color w:val="000000"/>
          <w:sz w:val="24"/>
          <w:u w:val="single"/>
        </w:rPr>
        <w:t>Severance Agreement.</w:t>
      </w:r>
      <w:r>
        <w:rPr>
          <w:color w:val="000000"/>
        </w:rPr>
        <w:t xml:space="preserve"> </w:t>
      </w:r>
      <w:r>
        <w:rPr>
          <w:rFonts w:ascii="Times New Roman;sans-serif" w:hAnsi="Times New Roman;sans-serif"/>
          <w:b w:val="false"/>
          <w:color w:val="000000"/>
          <w:sz w:val="24"/>
        </w:rPr>
        <w:t>Except as specifically modified by the provisions of this Agreement, the Severance Agreement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2</w:t>
      </w:r>
      <w:r>
        <w:rPr>
          <w:rFonts w:ascii="Times New Roman;sans-serif" w:hAnsi="Times New Roman;sans-serif"/>
          <w:b/>
          <w:color w:val="000000"/>
          <w:sz w:val="24"/>
          <w:u w:val="single"/>
        </w:rPr>
        <w:t>2021 Annual Bonus.</w:t>
      </w:r>
    </w:p>
    <w:p>
      <w:pPr>
        <w:pStyle w:val="TextBody"/>
        <w:spacing w:lineRule="auto" w:line="240" w:before="0" w:after="0"/>
        <w:rPr/>
      </w:pPr>
      <w:r>
        <w:rPr>
          <w:rFonts w:ascii="Times New Roman;sans-serif" w:hAnsi="Times New Roman;sans-serif"/>
          <w:b w:val="false"/>
          <w:color w:val="000000"/>
          <w:sz w:val="24"/>
        </w:rPr>
        <w:t xml:space="preserve">The Compensation Committee of the Board previously set the Executive’s annual target bonus for fiscal year 2021 at an amount equal to forty percent (40%) of the Executive’s base salary (“2021 Annual Bonus”). As an incentive to continue Executive’s employment with the Company, subject to the terms of this Agreement, the Executive’s 2021 Annual Bonus shall be earned and paid as follows: (a) fifty percent (50%) of the 2021 Annual Bonus shall be earned on the date in January 2022 when the Company pays annual bonuses to its employees, and (b) fifty percent (50%) of the 2021 Annual Bonus shall be earned following the achievement of the 2021 Annual Bonus milestone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the second fifty percent (50%) of the 2021 Annual Bonus will not be earned earlier than April 1,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a portion of the 2021 Annual Bonus if the Executive voluntarily terminates his employment with the Company for any reason or the Company terminates his employment for Cause prior to the date that such portion of the 2021 Annual Bonus is earned. </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 xml:space="preserve">Each portion of the 2021 Annual Bonus shall be paid in full, less applicable withholdings, as soon as practicable following the date on which it is earned. </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2100"/>
                <wp:effectExtent l="0" t="0" r="0" b="0"/>
                <wp:wrapNone/>
                <wp:docPr id="120" name="Frame11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ind w:left="0" w:right="0" w:hanging="432"/>
        <w:rPr/>
      </w:pPr>
      <w:r>
        <w:rPr>
          <w:rFonts w:ascii="Times New Roman;sans-serif" w:hAnsi="Times New Roman;sans-serif"/>
          <w:b w:val="false"/>
          <w:color w:val="000000"/>
          <w:sz w:val="24"/>
        </w:rPr>
        <w:t>3</w:t>
      </w:r>
      <w:r>
        <w:rPr>
          <w:rFonts w:ascii="Times New Roman;sans-serif" w:hAnsi="Times New Roman;sans-serif"/>
          <w:b/>
          <w:color w:val="000000"/>
          <w:sz w:val="24"/>
          <w:u w:val="single"/>
        </w:rPr>
        <w:t>Restricted Stock Unit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On October 8, 2021, the Company granted the Executive 250,000 restricted stock units (“RSUs”). The Executive has been or will be provided with a Restricted Stock Unit Award Grant Notice (“Notice”) which sets forth the details of the RSUs and provides the terms and conditions of the grant. Subject to the provisions of this Agreement and the Notice, the RSUs will vest in full on the earliest of (a) June 1, 2022, (b) the closing of a Change in Control or (c) the date the Executive’s employment with the Company is terminated by the Company without Cause , in each case, subject to the Executive remaining an employee of the Company through such applicable vesting date.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spacing w:lineRule="auto" w:line="240" w:before="0" w:after="0"/>
        <w:ind w:left="0" w:right="0" w:hanging="432"/>
        <w:rPr/>
      </w:pPr>
      <w:r>
        <w:rPr>
          <w:rFonts w:ascii="Times New Roman;sans-serif" w:hAnsi="Times New Roman;sans-serif"/>
          <w:b w:val="false"/>
          <w:color w:val="000000"/>
          <w:sz w:val="24"/>
        </w:rPr>
        <w:t>4</w:t>
      </w:r>
      <w:r>
        <w:rPr>
          <w:rFonts w:ascii="Times New Roman;sans-serif" w:hAnsi="Times New Roman;sans-serif"/>
          <w:b/>
          <w:color w:val="000000"/>
          <w:sz w:val="24"/>
          <w:u w:val="single"/>
        </w:rPr>
        <w:t>Cash Bonus</w:t>
      </w:r>
    </w:p>
    <w:p>
      <w:pPr>
        <w:pStyle w:val="TextBody"/>
        <w:spacing w:lineRule="auto" w:line="240" w:before="0" w:after="0"/>
        <w:rPr/>
      </w:pPr>
      <w:r>
        <w:rPr>
          <w:rFonts w:ascii="Times New Roman;sans-serif" w:hAnsi="Times New Roman;sans-serif"/>
          <w:b w:val="false"/>
          <w:color w:val="000000"/>
          <w:sz w:val="24"/>
        </w:rPr>
        <w:t xml:space="preserve">The Executive shall earn a retention bonus in the aggregate amount of $250,000, subject to applicable tax withholding (“Cash Bonus”) on the earliest of (a) the date of the achievement of the Cash Bonus milestone set forth on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(b) the closing of a Change in Control or (c) the date the Executive’s employment with the Company is terminated by the Company without Cause, subject to the Executive’s continued employment with the Company through such earliest date.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the Cash Bonus if the Executive voluntarily terminates his employment with the Company or the Company terminates the Executive’s employment for Cause prior to the date that the Cash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Cash Bonus shall be paid in full, less applicable withholdings, as soon as practicable following the date on which it is earned. </w:t>
      </w:r>
    </w:p>
    <w:p>
      <w:pPr>
        <w:pStyle w:val="TextBody"/>
        <w:spacing w:lineRule="auto" w:line="240" w:before="0" w:after="0"/>
        <w:ind w:left="0" w:right="0" w:hanging="432"/>
        <w:rPr/>
      </w:pPr>
      <w:r>
        <w:rPr>
          <w:rFonts w:ascii="Times New Roman;sans-serif" w:hAnsi="Times New Roman;sans-serif"/>
          <w:b w:val="false"/>
          <w:color w:val="000000"/>
          <w:sz w:val="24"/>
        </w:rPr>
        <w:t>5</w:t>
      </w:r>
      <w:r>
        <w:rPr>
          <w:rFonts w:ascii="Times New Roman;sans-serif" w:hAnsi="Times New Roman;sans-serif"/>
          <w:b/>
          <w:color w:val="000000"/>
          <w:sz w:val="24"/>
          <w:u w:val="single"/>
        </w:rPr>
        <w:t>Nature of Agreement</w:t>
      </w:r>
      <w:r>
        <w:rPr>
          <w:color w:val="000000"/>
        </w:rPr>
        <w:t xml:space="preserve"> </w:t>
      </w:r>
      <w:r>
        <w:rPr>
          <w:rFonts w:ascii="Times New Roman;sans-serif" w:hAnsi="Times New Roman;sans-serif"/>
          <w:b w:val="false"/>
          <w:color w:val="000000"/>
          <w:sz w:val="24"/>
        </w:rPr>
        <w:t xml:space="preserve">This Agreement is not a contract of employment for any specified term. Nothing contained in this Agreement shall confer upon Executive any right to continue in the employ of the Company or interfere in any way with the at-will nature of Executive’s employment with the Company (it being understood and agreed that (so long as it is done in accordance with applicable law) the Company may terminate Executive’s employment at any time for any reason or for no reason and that Executive may terminate his/her employment with the Company at any time for any reason or for no reason). </w:t>
      </w:r>
    </w:p>
    <w:p>
      <w:pPr>
        <w:pStyle w:val="TextBody"/>
        <w:spacing w:lineRule="auto" w:line="240" w:before="0" w:after="0"/>
        <w:ind w:left="0" w:right="0" w:hanging="432"/>
        <w:rPr/>
      </w:pPr>
      <w:r>
        <w:rPr>
          <w:rFonts w:ascii="Times New Roman;sans-serif" w:hAnsi="Times New Roman;sans-serif"/>
          <w:b w:val="false"/>
          <w:color w:val="000000"/>
          <w:sz w:val="24"/>
        </w:rPr>
        <w:t>6</w:t>
      </w:r>
      <w:r>
        <w:rPr>
          <w:rFonts w:ascii="Times New Roman;sans-serif" w:hAnsi="Times New Roman;sans-serif"/>
          <w:b/>
          <w:color w:val="000000"/>
          <w:sz w:val="24"/>
          <w:u w:val="single"/>
        </w:rPr>
        <w:t>Full Agreement</w:t>
      </w:r>
      <w:r>
        <w:rPr>
          <w:color w:val="000000"/>
        </w:rPr>
        <w:t xml:space="preserve"> </w:t>
      </w:r>
      <w:r>
        <w:rPr>
          <w:rFonts w:ascii="Times New Roman;sans-serif" w:hAnsi="Times New Roman;sans-serif"/>
          <w:b w:val="false"/>
          <w:color w:val="000000"/>
          <w:sz w:val="24"/>
        </w:rPr>
        <w:t xml:space="preserve">This Agreement, together with the Notice and the Severance Agreement referenced herein constitutes the entire agreement of the parties with respect to the subject matter hereof, and supersedes all prior and contemporaneous discussions, negotiations, or understandings, written or oral, relating thereto. This Agreement may not be amended or modified except in a writing signed by both Executive and an authorized representative of the Company. </w:t>
      </w:r>
    </w:p>
    <w:p>
      <w:pPr>
        <w:pStyle w:val="TextBody"/>
        <w:spacing w:lineRule="auto" w:line="240" w:before="0" w:after="0"/>
        <w:ind w:left="0" w:right="0" w:hanging="432"/>
        <w:rPr/>
      </w:pPr>
      <w:r>
        <w:rPr>
          <w:rFonts w:ascii="Times New Roman;sans-serif" w:hAnsi="Times New Roman;sans-serif"/>
          <w:b w:val="false"/>
          <w:color w:val="000000"/>
          <w:sz w:val="24"/>
        </w:rPr>
        <w:t>7</w:t>
      </w:r>
      <w:r>
        <w:rPr>
          <w:rFonts w:ascii="Times New Roman;sans-serif" w:hAnsi="Times New Roman;sans-serif"/>
          <w:b/>
          <w:color w:val="000000"/>
          <w:sz w:val="24"/>
          <w:u w:val="single"/>
        </w:rPr>
        <w:t>Successors</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 xml:space="preserve">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the Severance Agreement or which becomes bound by </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67360"/>
                <wp:effectExtent l="0" t="0" r="0" b="0"/>
                <wp:wrapNone/>
                <wp:docPr id="121" name="Frame120"/>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by operation of law.</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lineRule="auto" w:line="240" w:before="0" w:after="0"/>
        <w:ind w:left="0" w:right="0" w:hanging="432"/>
        <w:rPr/>
      </w:pPr>
      <w:r>
        <w:rPr>
          <w:rFonts w:ascii="Times New Roman;sans-serif" w:hAnsi="Times New Roman;sans-serif"/>
          <w:b w:val="false"/>
          <w:color w:val="000000"/>
          <w:sz w:val="24"/>
        </w:rPr>
        <w:t>8</w:t>
      </w:r>
      <w:r>
        <w:rPr>
          <w:rFonts w:ascii="Times New Roman;sans-serif" w:hAnsi="Times New Roman;sans-serif"/>
          <w:b/>
          <w:color w:val="000000"/>
          <w:sz w:val="24"/>
          <w:u w:val="single"/>
        </w:rPr>
        <w:t>Choice of Law and Severability</w:t>
      </w:r>
      <w:r>
        <w:rPr>
          <w:color w:val="000000"/>
        </w:rPr>
        <w:t xml:space="preserve"> </w:t>
      </w:r>
      <w:r>
        <w:rPr>
          <w:rFonts w:ascii="Times New Roman;sans-serif" w:hAnsi="Times New Roman;sans-serif"/>
          <w:b w:val="false"/>
          <w:color w:val="000000"/>
          <w:sz w:val="24"/>
        </w:rPr>
        <w:t>The validity, interpretation, construction and performance of this Agreement shall be governed by the laws of the State of California. The invalidity or unenforceability of any provision or provisions of this Agreement shall not affect the validity or enforceability of any other provision hereof, which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9</w:t>
      </w:r>
      <w:r>
        <w:rPr>
          <w:rFonts w:ascii="Times New Roman;sans-serif" w:hAnsi="Times New Roman;sans-serif"/>
          <w:b/>
          <w:color w:val="000000"/>
          <w:sz w:val="24"/>
          <w:u w:val="single"/>
        </w:rPr>
        <w:t>Date of Signature</w:t>
      </w:r>
      <w:r>
        <w:rPr>
          <w:color w:val="000000"/>
        </w:rPr>
        <w:t xml:space="preserve"> </w:t>
      </w:r>
      <w:r>
        <w:rPr>
          <w:rFonts w:ascii="Times New Roman;sans-serif" w:hAnsi="Times New Roman;sans-serif"/>
          <w:b w:val="false"/>
          <w:color w:val="000000"/>
          <w:sz w:val="24"/>
        </w:rPr>
        <w:t xml:space="preserve">This Agreement shall be conveyed to Executive via DocuSign and in order to be effective, it must be signed by Executive and delivered to the Company no later than November 15, 2021. Executive may elect to electronically execute this Agreement using the DocuSign link provided, in which case this Agreement shall be automatically delivered to Kelli Shaa and Mishu Nitulescu in Human Resources upon execution. Alternatively, Executive may elect to manually sign this Agreement provided that such signature is delivered to Kelli Shaa in Human Resources no later than November 15, 2021. </w:t>
      </w:r>
    </w:p>
    <w:p>
      <w:pPr>
        <w:pStyle w:val="TextBody"/>
        <w:spacing w:before="0" w:after="240"/>
        <w:ind w:left="0" w:right="0" w:hanging="360"/>
        <w:rPr/>
      </w:pPr>
      <w:r>
        <w:rPr/>
      </w:r>
    </w:p>
    <w:tbl>
      <w:tblPr>
        <w:tblW w:w="5444" w:type="dxa"/>
        <w:jc w:val="left"/>
        <w:tblInd w:w="0" w:type="dxa"/>
        <w:tblCellMar>
          <w:top w:w="28" w:type="dxa"/>
          <w:left w:w="28" w:type="dxa"/>
          <w:bottom w:w="28" w:type="dxa"/>
          <w:right w:w="28" w:type="dxa"/>
        </w:tblCellMar>
      </w:tblPr>
      <w:tblGrid>
        <w:gridCol w:w="895"/>
        <w:gridCol w:w="786"/>
        <w:gridCol w:w="794"/>
        <w:gridCol w:w="867"/>
        <w:gridCol w:w="867"/>
        <w:gridCol w:w="1235"/>
      </w:tblGrid>
      <w:tr>
        <w:trPr/>
        <w:tc>
          <w:tcPr>
            <w:tcW w:w="89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Justin Renz</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 Justin Renz</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spacing w:before="0" w:after="0"/>
              <w:ind w:left="0" w:right="0" w:hanging="360"/>
              <w:jc w:val="left"/>
              <w:rPr/>
            </w:pPr>
            <w:r>
              <w:rPr/>
            </w:r>
          </w:p>
          <w:p>
            <w:pPr>
              <w:pStyle w:val="TableContents"/>
              <w:spacing w:before="0" w:after="0"/>
              <w:ind w:left="0" w:right="0" w:hanging="4"/>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24, 2021</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Ardelyx, Inc.</w:t>
            </w:r>
          </w:p>
          <w:p>
            <w:pPr>
              <w:pStyle w:val="TableContents"/>
              <w:spacing w:before="0" w:after="0"/>
              <w:ind w:left="0" w:right="0" w:hanging="360"/>
              <w:jc w:val="left"/>
              <w:rPr/>
            </w:pPr>
            <w:r>
              <w:rPr/>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/s/ Michael Raab</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23, 2021</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2969"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r>
    </w:tbl>
    <w:p>
      <w:pPr>
        <w:pStyle w:val="TextBody"/>
        <w:ind w:left="0" w:right="0" w:hanging="4"/>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Calibri;sans-serif" w:hAnsi="Calibri;sans-serif"/>
          <w:b/>
          <w:color w:val="000000"/>
          <w:sz w:val="20"/>
        </w:rPr>
      </w:pPr>
      <w:r>
        <w:rPr>
          <w:rFonts w:ascii="Calibri;sans-serif" w:hAnsi="Calibri;sans-serif"/>
          <w:b/>
          <w:color w:val="000000"/>
          <w:sz w:val="20"/>
        </w:rPr>
        <w:t>E</w:t>
      </w:r>
      <w:r>
        <w:rPr>
          <w:rFonts w:ascii="Calibri;sans-serif" w:hAnsi="Calibri;sans-serif"/>
          <w:b/>
          <w:color w:val="000000"/>
          <w:sz w:val="20"/>
        </w:rPr>
        <w:t>xhibit 10.20</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67360"/>
                <wp:effectExtent l="0" t="0" r="0" b="0"/>
                <wp:wrapNone/>
                <wp:docPr id="122" name="Frame121"/>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8.2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Amendment Number One</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To </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Second Amended and Restated Change in Control Severance Agreement and to Retention Agreement</w:t>
      </w:r>
    </w:p>
    <w:p>
      <w:pPr>
        <w:pStyle w:val="TextBody"/>
        <w:spacing w:before="0" w:after="0"/>
        <w:jc w:val="center"/>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2"/>
        </w:rPr>
        <w:t>This Amendment Number One to Second Amended and Restated Change in Control Severance Agreement and to Retention Agreement (“Amendment Number One”) is made and entered into this first day of December, 2021, by and between David P. Rosenbaum (the “Executive”) and Ardelyx, Inc. (the “Company”).</w:t>
      </w:r>
    </w:p>
    <w:p>
      <w:pPr>
        <w:pStyle w:val="TextBody"/>
        <w:spacing w:before="0" w:after="0"/>
        <w:rPr/>
      </w:pPr>
      <w:r>
        <w:rPr/>
      </w:r>
    </w:p>
    <w:p>
      <w:pPr>
        <w:pStyle w:val="TextBody"/>
        <w:spacing w:lineRule="auto" w:line="240" w:before="0" w:after="0"/>
        <w:rPr/>
      </w:pPr>
      <w:r>
        <w:rPr>
          <w:color w:val="000000"/>
        </w:rPr>
        <w:t>    </w:t>
      </w: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and the Executive are parties to that certain Second Amended and Restated Change in Control Severance Agreement made and entered into the 7</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May 2018 (the “Agreement”);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and the Executive are parties to that certain Retention Agreement made and entered into the 23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day of October 2021 (the “Retention Agreement”); and</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Board of Directors of the Company (the “Board”) has determined that it is in the best interest of the Company and the stockholders to amend the Agreement and the Retention Agreement in order to ensure that the Company will continue to have the dedication and commitment of the Executive and to provide the Executive with an incentive to continue Executive’s employment and further align Executive’s incentives to maximize the value of the Company for the benefit of its stockholders;</w:t>
      </w:r>
    </w:p>
    <w:p>
      <w:pPr>
        <w:pStyle w:val="TextBody"/>
        <w:spacing w:before="0" w:after="0"/>
        <w:rPr/>
      </w:pPr>
      <w:r>
        <w:rPr/>
      </w:r>
    </w:p>
    <w:p>
      <w:pPr>
        <w:pStyle w:val="TextBody"/>
        <w:spacing w:lineRule="auto" w:line="240" w:before="0" w:after="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parties hereto agree as follows:</w:t>
      </w:r>
    </w:p>
    <w:p>
      <w:pPr>
        <w:pStyle w:val="TextBody"/>
        <w:spacing w:before="0" w:after="0"/>
        <w:rPr/>
      </w:pPr>
      <w:r>
        <w:rPr/>
      </w:r>
    </w:p>
    <w:p>
      <w:pPr>
        <w:pStyle w:val="TextBody"/>
        <w:spacing w:lineRule="auto" w:line="240" w:before="0" w:after="0"/>
        <w:ind w:left="0" w:right="0" w:hanging="360"/>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color w:val="000000"/>
          <w:sz w:val="22"/>
          <w:u w:val="single"/>
        </w:rPr>
        <w:t>Definition of Covered Termination</w:t>
      </w:r>
      <w:r>
        <w:rPr>
          <w:rFonts w:ascii="Times New Roman;sans-serif" w:hAnsi="Times New Roman;sans-serif"/>
          <w:b w:val="false"/>
          <w:color w:val="000000"/>
          <w:sz w:val="22"/>
        </w:rPr>
        <w:t>. The definition of Covered Termination set forth in Section 7 (e) of the Agreement shall be revised to read in full as follows:</w:t>
      </w:r>
    </w:p>
    <w:p>
      <w:pPr>
        <w:pStyle w:val="TextBody"/>
        <w:spacing w:lineRule="auto" w:line="240" w:before="240" w:after="283"/>
        <w:ind w:left="0" w:right="0" w:hanging="360"/>
        <w:rPr/>
      </w:pPr>
      <w:r>
        <w:rPr>
          <w:rFonts w:ascii="Times New Roman;sans-serif" w:hAnsi="Times New Roman;sans-serif"/>
          <w:b w:val="false"/>
          <w:color w:val="000000"/>
          <w:sz w:val="22"/>
        </w:rPr>
        <w:t>(e)</w:t>
      </w:r>
      <w:r>
        <w:rPr>
          <w:color w:val="000000"/>
        </w:rPr>
        <w:t xml:space="preserve"> </w:t>
      </w:r>
      <w:r>
        <w:rPr>
          <w:rFonts w:ascii="Times New Roman;sans-serif" w:hAnsi="Times New Roman;sans-serif"/>
          <w:b w:val="false"/>
          <w:color w:val="000000"/>
          <w:sz w:val="22"/>
          <w:u w:val="single"/>
        </w:rPr>
        <w:t>Covered Termination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Covered Termination</w:t>
      </w:r>
      <w:r>
        <w:rPr>
          <w:color w:val="000000"/>
        </w:rPr>
        <w:t xml:space="preserve">” </w:t>
      </w:r>
      <w:r>
        <w:rPr>
          <w:rFonts w:ascii="Times New Roman;sans-serif" w:hAnsi="Times New Roman;sans-serif"/>
          <w:b w:val="false"/>
          <w:color w:val="000000"/>
          <w:sz w:val="22"/>
        </w:rPr>
        <w:t>means (a) Executive’s voluntary resignation for any reason; provided that (i) written notice of such voluntary resignation is delivered in writing to the Company in the sixty (60) day period after the Cash Bonus (as defined in the Retention Agreement) is earned by the Executive and (ii) such resignation is effective no later than February 15 of the year following the year in which the Cash Bonus is earned (it being understood that the effective resignation timing requirement of subclause (ii) may require written notice to be provided earlier than would otherwise apply under subclause (i)); (b) an Involuntary Termination Without Cause; or (c) a Voluntary Resignation for Good Reason, provided that such termination or resignation constitutes a Separation from Service.</w:t>
      </w:r>
    </w:p>
    <w:p>
      <w:pPr>
        <w:pStyle w:val="TextBody"/>
        <w:spacing w:lineRule="auto" w:line="240" w:before="0" w:after="0"/>
        <w:ind w:left="0" w:right="0" w:hanging="360"/>
        <w:rPr/>
      </w:pPr>
      <w:r>
        <w:rPr>
          <w:rFonts w:ascii="Calibri;sans-serif" w:hAnsi="Calibri;sans-serif"/>
          <w:b w:val="false"/>
          <w:color w:val="000000"/>
          <w:sz w:val="22"/>
        </w:rPr>
        <w:t>2.</w:t>
      </w:r>
      <w:r>
        <w:rPr>
          <w:rFonts w:ascii="Times New Roman;sans-serif" w:hAnsi="Times New Roman;sans-serif"/>
          <w:b/>
          <w:color w:val="000000"/>
          <w:sz w:val="22"/>
          <w:u w:val="single"/>
        </w:rPr>
        <w:t>Timing of Effective and Irrevocable Delivery of Release of Claims.</w:t>
      </w:r>
      <w:r>
        <w:rPr>
          <w:color w:val="000000"/>
        </w:rPr>
        <w:t xml:space="preserve"> </w:t>
      </w:r>
      <w:r>
        <w:rPr>
          <w:rFonts w:ascii="Times New Roman;sans-serif" w:hAnsi="Times New Roman;sans-serif"/>
          <w:b w:val="false"/>
          <w:color w:val="000000"/>
          <w:sz w:val="22"/>
        </w:rPr>
        <w:t xml:space="preserve">The initial clause of each of Section 3 and Section 4 of the Agreement shall be modified in their entirety as set forth below. The remaining provisions of each of Section 3 and Section 4 shall remain unchanged. </w:t>
      </w:r>
    </w:p>
    <w:p>
      <w:pPr>
        <w:pStyle w:val="TextBody"/>
        <w:spacing w:lineRule="auto" w:line="240" w:before="0" w:after="0"/>
        <w:ind w:left="0" w:right="0" w:hanging="360"/>
        <w:rPr/>
      </w:pPr>
      <w:r>
        <w:rPr>
          <w:rFonts w:ascii="Calibri;sans-serif" w:hAnsi="Calibri;sans-serif"/>
          <w:b w:val="false"/>
          <w:color w:val="000000"/>
          <w:sz w:val="22"/>
        </w:rPr>
        <w:t>a.</w:t>
      </w:r>
      <w:r>
        <w:rPr>
          <w:rFonts w:ascii="Times New Roman;sans-serif" w:hAnsi="Times New Roman;sans-serif"/>
          <w:b w:val="false"/>
          <w:color w:val="000000"/>
          <w:sz w:val="22"/>
        </w:rPr>
        <w:t>3.    </w:t>
      </w:r>
      <w:r>
        <w:rPr>
          <w:rFonts w:ascii="Times New Roman;sans-serif" w:hAnsi="Times New Roman;sans-serif"/>
          <w:b/>
          <w:color w:val="000000"/>
          <w:sz w:val="22"/>
          <w:u w:val="single"/>
        </w:rPr>
        <w:t>Covered Termination Other Than During a Change in Control Period.</w:t>
      </w:r>
      <w:r>
        <w:rPr>
          <w:color w:val="000000"/>
        </w:rPr>
        <w:t xml:space="preserve"> </w:t>
      </w:r>
      <w:r>
        <w:rPr>
          <w:rFonts w:ascii="Times New Roman;sans-serif" w:hAnsi="Times New Roman;sans-serif"/>
          <w:b w:val="false"/>
          <w:color w:val="000000"/>
          <w:sz w:val="22"/>
        </w:rPr>
        <w:t xml:space="preserve">If Executive experiences a Covered Termination other than during a Change in Control Period, and if Executive delivers to the Company a general release of all claims against the Company and its affiliates in a form acceptable to the Company (“a </w:t>
      </w:r>
      <w:r>
        <w:rPr>
          <w:rFonts w:ascii="Times New Roman;sans-serif" w:hAnsi="Times New Roman;sans-serif"/>
          <w:b/>
          <w:color w:val="000000"/>
          <w:sz w:val="22"/>
        </w:rPr>
        <w:t>Release of Claims</w:t>
      </w:r>
      <w:r>
        <w:rPr>
          <w:color w:val="000000"/>
        </w:rPr>
        <w:t>”</w:t>
      </w:r>
      <w:r>
        <w:rPr>
          <w:rFonts w:ascii="Times New Roman;sans-serif" w:hAnsi="Times New Roman;sans-serif"/>
          <w:b w:val="false"/>
          <w:color w:val="000000"/>
          <w:sz w:val="22"/>
        </w:rPr>
        <w:t>) that becomes effective and irrevocable within twenty-eight (28)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pStyle w:val="TextBody"/>
        <w:spacing w:lineRule="auto" w:line="240"/>
        <w:ind w:left="0" w:right="0" w:hanging="360"/>
        <w:rPr/>
      </w:pPr>
      <w:r>
        <w:rPr>
          <w:rFonts w:ascii="Calibri;sans-serif" w:hAnsi="Calibri;sans-serif"/>
          <w:b w:val="false"/>
          <w:color w:val="000000"/>
          <w:sz w:val="22"/>
        </w:rPr>
        <w:t>b.</w:t>
      </w:r>
      <w:r>
        <w:rPr>
          <w:rFonts w:ascii="Times New Roman;sans-serif" w:hAnsi="Times New Roman;sans-serif"/>
          <w:b w:val="false"/>
          <w:color w:val="000000"/>
          <w:sz w:val="22"/>
        </w:rPr>
        <w:t>4.    </w:t>
      </w:r>
      <w:r>
        <w:rPr>
          <w:rFonts w:ascii="Times New Roman;sans-serif" w:hAnsi="Times New Roman;sans-serif"/>
          <w:b/>
          <w:color w:val="000000"/>
          <w:sz w:val="22"/>
          <w:u w:val="single"/>
        </w:rPr>
        <w:t>Covered Termination During a Change in Control Period.</w:t>
      </w:r>
      <w:r>
        <w:rPr>
          <w:color w:val="000000"/>
        </w:rPr>
        <w:t xml:space="preserve"> </w:t>
      </w:r>
      <w:r>
        <w:rPr>
          <w:rFonts w:ascii="Times New Roman;sans-serif" w:hAnsi="Times New Roman;sans-serif"/>
          <w:b w:val="false"/>
          <w:color w:val="000000"/>
          <w:sz w:val="22"/>
        </w:rPr>
        <w:t xml:space="preserve">If Executive experiences a Covered Termination during a Change in Control Period, and if Executive delivers to the Company a Release of Claims that becomes effective and irrevocable within twenty-eight (28) days, or such shorter period of time specified by the Company, following such Covered Termination, then in addition to any accrued but unpaid salary, </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bonus, vacation and expense reimbursement payable in accordance with applicable law, the Company shall provide Executive with the following:” </w:t>
      </w:r>
    </w:p>
    <w:p>
      <w:pPr>
        <w:pStyle w:val="TextBody"/>
        <w:spacing w:lineRule="auto" w:line="240" w:before="240" w:after="283"/>
        <w:ind w:left="0" w:right="0" w:hanging="360"/>
        <w:rPr/>
      </w:pPr>
      <w:r>
        <w:rPr>
          <w:rFonts w:ascii="Times New Roman;sans-serif" w:hAnsi="Times New Roman;sans-serif"/>
          <w:b w:val="false"/>
          <w:color w:val="000000"/>
          <w:sz w:val="22"/>
        </w:rPr>
        <w:t>3.</w:t>
      </w:r>
      <w:r>
        <w:rPr>
          <w:rFonts w:ascii="Times New Roman;sans-serif" w:hAnsi="Times New Roman;sans-serif"/>
          <w:b/>
          <w:color w:val="000000"/>
          <w:sz w:val="22"/>
          <w:u w:val="single"/>
        </w:rPr>
        <w:t>Other Changes.</w:t>
      </w:r>
      <w:r>
        <w:rPr>
          <w:color w:val="000000"/>
        </w:rPr>
        <w:t xml:space="preserve"> </w:t>
      </w:r>
      <w:r>
        <w:rPr>
          <w:rFonts w:ascii="Times New Roman;sans-serif" w:hAnsi="Times New Roman;sans-serif"/>
          <w:b w:val="false"/>
          <w:color w:val="000000"/>
          <w:sz w:val="22"/>
        </w:rPr>
        <w:t xml:space="preserve">Except as set forth in this Amendment Number One, the Agreement remains unchanged and in full force and effect. The Retention Agreement is amended as set forth below and except for this Amendment Number One, remains unchanged and in full force and effect. </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a.Section 1, Severance Agreement, now provides: “The Severance Agreement shall remain in full force and effect, except as modified by Amendment Number One to the Severance Agreement, executed on December 1, 2021.”</w:t>
      </w:r>
    </w:p>
    <w:p>
      <w:pPr>
        <w:pStyle w:val="TextBody"/>
        <w:spacing w:before="0" w:after="0"/>
        <w:rPr/>
      </w:pPr>
      <w:r>
        <w:rPr/>
      </w:r>
    </w:p>
    <w:p>
      <w:pPr>
        <w:pStyle w:val="TextBody"/>
        <w:spacing w:lineRule="auto" w:line="240" w:before="0" w:after="0"/>
        <w:ind w:left="0" w:right="0" w:hanging="360"/>
        <w:rPr/>
      </w:pPr>
      <w:r>
        <w:rPr>
          <w:rFonts w:ascii="Calibri;sans-serif" w:hAnsi="Calibri;sans-serif"/>
          <w:b w:val="false"/>
          <w:color w:val="000000"/>
          <w:sz w:val="24"/>
        </w:rPr>
        <w:t>b.</w:t>
      </w:r>
      <w:r>
        <w:rPr>
          <w:rFonts w:ascii="Times New Roman;sans-serif" w:hAnsi="Times New Roman;sans-serif"/>
          <w:b w:val="false"/>
          <w:color w:val="000000"/>
          <w:sz w:val="22"/>
        </w:rPr>
        <w:t>Section 2, Annual Bonus. The second paragraph shall be modified with the addition of the following: “The Executive shall earn and receive such portion of the 2021 Annual Bonus if the Company terminates the Executive’s employment without cause before such portion is otherwise earned.”</w:t>
      </w:r>
    </w:p>
    <w:p>
      <w:pPr>
        <w:pStyle w:val="TextBody"/>
        <w:spacing w:before="0" w:after="0"/>
        <w:rPr/>
      </w:pPr>
      <w:r>
        <w:rPr/>
      </w:r>
    </w:p>
    <w:p>
      <w:pPr>
        <w:pStyle w:val="TextBody"/>
        <w:spacing w:lineRule="auto" w:line="240" w:before="0" w:after="0"/>
        <w:ind w:left="0" w:right="0" w:hanging="360"/>
        <w:rPr/>
      </w:pPr>
      <w:r>
        <w:rPr>
          <w:rFonts w:ascii="Calibri;sans-serif" w:hAnsi="Calibri;sans-serif"/>
          <w:b w:val="false"/>
          <w:color w:val="000000"/>
          <w:sz w:val="22"/>
        </w:rPr>
        <w:t>c.</w:t>
      </w:r>
      <w:r>
        <w:rPr>
          <w:rFonts w:ascii="Times New Roman;sans-serif" w:hAnsi="Times New Roman;sans-serif"/>
          <w:b w:val="false"/>
          <w:color w:val="000000"/>
          <w:sz w:val="22"/>
        </w:rPr>
        <w:t>Section 6, Full Agreement. The initial sentence shall be modified in its entirety by replacing it with the following: “This Agreement, together with the Notice and the Severance Agreement referenced herein, as modified by Amendment Number One executed on December 1, 2021, constitutes the entire agreement of the parties with respect to the subject matter hereof, and supersedes all prior and contemporaneous discussions, negotiations, or understandings, written or oral, relating thereto.” The second sentence in Section 6 remains unchanged.</w:t>
      </w:r>
    </w:p>
    <w:p>
      <w:pPr>
        <w:pStyle w:val="TextBody"/>
        <w:spacing w:lineRule="auto" w:line="240" w:before="240" w:after="283"/>
        <w:ind w:left="0" w:right="0" w:hanging="360"/>
        <w:rPr/>
      </w:pPr>
      <w:r>
        <w:rPr>
          <w:rFonts w:ascii="Times New Roman;sans-serif" w:hAnsi="Times New Roman;sans-serif"/>
          <w:b w:val="false"/>
          <w:color w:val="000000"/>
          <w:sz w:val="22"/>
        </w:rPr>
        <w:t>4.</w:t>
      </w:r>
      <w:r>
        <w:rPr>
          <w:rFonts w:ascii="Times New Roman;sans-serif" w:hAnsi="Times New Roman;sans-serif"/>
          <w:b/>
          <w:color w:val="000000"/>
          <w:sz w:val="22"/>
          <w:u w:val="single"/>
        </w:rPr>
        <w:t>Governing Law.</w:t>
      </w:r>
      <w:r>
        <w:rPr>
          <w:color w:val="000000"/>
        </w:rPr>
        <w:t xml:space="preserve"> </w:t>
      </w:r>
      <w:r>
        <w:rPr>
          <w:rFonts w:ascii="Times New Roman;sans-serif" w:hAnsi="Times New Roman;sans-serif"/>
          <w:b w:val="false"/>
          <w:color w:val="000000"/>
          <w:sz w:val="22"/>
        </w:rPr>
        <w:t>The validity, interpretation, construction and performance of this Amendment Number One shall be governed by the laws of the State of California.</w:t>
      </w:r>
    </w:p>
    <w:p>
      <w:pPr>
        <w:pStyle w:val="TextBody"/>
        <w:spacing w:lineRule="auto" w:line="240" w:before="240" w:after="283"/>
        <w:ind w:left="0" w:right="0" w:hanging="360"/>
        <w:rPr/>
      </w:pPr>
      <w:r>
        <w:rPr>
          <w:rFonts w:ascii="Times New Roman;sans-serif" w:hAnsi="Times New Roman;sans-serif"/>
          <w:b w:val="false"/>
          <w:color w:val="000000"/>
          <w:sz w:val="22"/>
        </w:rPr>
        <w:t>5.</w:t>
      </w:r>
      <w:r>
        <w:rPr>
          <w:rFonts w:ascii="Times New Roman;sans-serif" w:hAnsi="Times New Roman;sans-serif"/>
          <w:b/>
          <w:color w:val="000000"/>
          <w:sz w:val="22"/>
          <w:u w:val="single"/>
        </w:rPr>
        <w:t>Miscellaneous</w:t>
      </w:r>
      <w:r>
        <w:rPr>
          <w:rFonts w:ascii="Times New Roman;sans-serif" w:hAnsi="Times New Roman;sans-serif"/>
          <w:b w:val="false"/>
          <w:color w:val="000000"/>
          <w:sz w:val="22"/>
        </w:rPr>
        <w:t xml:space="preserve">. This Amendment Number One may be signed by facsimile and in one or more counterparts, each of which shall be deemed an original but all of which shall be deemed to constitute a single instrument. Signatures of the parties transmitted by facsimile, PDF or other electronic file shall be deemed to be their original signatures for all purposes and the exchange of copies of this agreement and of signature pages by facsimile transmission, PDF or other electronic file shall constitute effective execution and delivery of this letter agreement as to the parties and may be used in lieu of the original agreement for all purposes.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IN WITNESS WHEREOF, each of the parties has executed this Amendment Number One, in the case of the Company, by its duly authorized officer, as of the day and year set forth above.</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ARDELYX, INC.</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 xml:space="preserve">By: </w:t>
      </w:r>
      <w:r>
        <w:rPr>
          <w:rFonts w:ascii="Calibri;sans-serif" w:hAnsi="Calibri;sans-serif"/>
          <w:b w:val="false"/>
          <w:color w:val="000000"/>
          <w:sz w:val="24"/>
        </w:rPr>
        <w:t>/s/ Michael Raab</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Date: December 1, 2021</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 xml:space="preserve">EXECUTIVE </w:t>
      </w:r>
    </w:p>
    <w:p>
      <w:pPr>
        <w:pStyle w:val="TextBody"/>
        <w:spacing w:before="0" w:after="0"/>
        <w:rPr/>
      </w:pPr>
      <w:r>
        <w:rPr/>
      </w:r>
    </w:p>
    <w:p>
      <w:pPr>
        <w:pStyle w:val="TextBody"/>
        <w:spacing w:lineRule="auto" w:line="240" w:before="0" w:after="0"/>
        <w:rPr>
          <w:rFonts w:ascii="Calibri;sans-serif" w:hAnsi="Calibri;sans-serif"/>
          <w:b w:val="false"/>
          <w:color w:val="000000"/>
          <w:sz w:val="24"/>
        </w:rPr>
      </w:pPr>
      <w:r>
        <w:rPr>
          <w:rFonts w:ascii="Calibri;sans-serif" w:hAnsi="Calibri;sans-serif"/>
          <w:b w:val="false"/>
          <w:color w:val="000000"/>
          <w:sz w:val="24"/>
        </w:rPr>
        <w:t>/s/ David P. Rosenbaum</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David P. Rosenbaum</w:t>
      </w:r>
    </w:p>
    <w:p>
      <w:pPr>
        <w:pStyle w:val="TextBody"/>
        <w:spacing w:before="0" w:after="0"/>
        <w:rPr/>
      </w:pPr>
      <w:r>
        <w:rPr/>
      </w:r>
    </w:p>
    <w:p>
      <w:pPr>
        <w:pStyle w:val="TextBody"/>
        <w:spacing w:lineRule="auto" w:line="240"/>
        <w:rPr>
          <w:rFonts w:ascii="Times New Roman;sans-serif" w:hAnsi="Times New Roman;sans-serif"/>
          <w:b w:val="false"/>
          <w:color w:val="000000"/>
          <w:sz w:val="22"/>
        </w:rPr>
      </w:pPr>
      <w:r>
        <w:rPr>
          <w:rFonts w:ascii="Times New Roman;sans-serif" w:hAnsi="Times New Roman;sans-serif"/>
          <w:b w:val="false"/>
          <w:color w:val="000000"/>
          <w:sz w:val="22"/>
        </w:rPr>
        <w:t>Date: December 1,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4"/>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10.21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1315"/>
                <wp:effectExtent l="0" t="0" r="0" b="0"/>
                <wp:wrapNone/>
                <wp:docPr id="124" name="Frame123"/>
                <a:graphic xmlns:a="http://schemas.openxmlformats.org/drawingml/2006/main">
                  <a:graphicData uri="http://schemas.microsoft.com/office/word/2010/wordprocessingShape">
                    <wps:wsp>
                      <wps:cNvSpPr txBox="1"/>
                      <wps:spPr>
                        <a:xfrm>
                          <a:off x="0" y="0"/>
                          <a:ext cx="6480175" cy="361315"/>
                        </a:xfrm>
                        <a:prstGeom prst="rect"/>
                      </wps:spPr>
                      <wps:txb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0"/>
        <w:ind w:left="0" w:right="0" w:hanging="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RETENTION AGREEMENT</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This Retention Agreement (“Agreement”) is made and entered into by and between Ardelyx, Inc. (“Company”) and ________________ (“Executive”), effective as of October 25, 2021 (“Effective Date”). </w:t>
      </w:r>
    </w:p>
    <w:p>
      <w:pPr>
        <w:pStyle w:val="TextBody"/>
        <w:spacing w:before="0" w:after="0"/>
        <w:ind w:left="0" w:right="0" w:firstLine="144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before="0" w:after="0"/>
        <w:jc w:val="center"/>
        <w:rPr/>
      </w:pPr>
      <w:r>
        <w:rPr/>
      </w:r>
    </w:p>
    <w:p>
      <w:pPr>
        <w:pStyle w:val="TextBody"/>
        <w:spacing w:lineRule="auto" w:line="240" w:before="0" w:after="0"/>
        <w:ind w:left="0" w:right="0" w:firstLine="1440"/>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Company and the Board of Directors of the Company (“Board”) has determined that it is in the best interests of the Company and its stockholders to execute a second reduction in force in order to reduce operating costs and better align the Company’s workforce with the needs of the business following the receipt of a complete response letter (“CRL”) from the U.S. Food and Drug Administration (“FDA”) on July 28, 2021. </w:t>
      </w:r>
    </w:p>
    <w:p>
      <w:pPr>
        <w:pStyle w:val="TextBody"/>
        <w:spacing w:lineRule="auto" w:line="240"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has determined that it is in the best interests of the Company and the stockholders to put in place arrangements designed to provide that the Company will have the continued dedication and commitment of Executive, notwithstanding the reduction in force, and to provide Executive with an incentive to continue Executive’s employment and further align Executive’s incentives to maximize the value of the Company for the benefit of its stockholders. </w:t>
      </w:r>
    </w:p>
    <w:p>
      <w:pPr>
        <w:pStyle w:val="TextBody"/>
        <w:spacing w:lineRule="auto" w:line="240"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Executive and the Company are parties to that certain ____________________________(“Severance Agreement”). Capitalized terms not defined herein shall have the meaning assigned to them in the Severance Agreement. </w:t>
      </w:r>
    </w:p>
    <w:p>
      <w:pPr>
        <w:pStyle w:val="TextBody"/>
        <w:spacing w:before="0" w:after="0"/>
        <w:ind w:left="0" w:right="0" w:firstLine="1440"/>
        <w:rPr/>
      </w:pPr>
      <w:r>
        <w:rPr/>
      </w:r>
    </w:p>
    <w:p>
      <w:pPr>
        <w:pStyle w:val="TextBody"/>
        <w:spacing w:lineRule="auto" w:line="240" w:before="0" w:after="0"/>
        <w:ind w:left="0" w:right="0" w:firstLine="432"/>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spacing w:before="0" w:after="0"/>
        <w:ind w:left="0" w:right="0" w:firstLine="1440"/>
        <w:rPr/>
      </w:pPr>
      <w:r>
        <w:rPr/>
      </w:r>
    </w:p>
    <w:p>
      <w:pPr>
        <w:pStyle w:val="TextBody"/>
        <w:spacing w:lineRule="auto" w:line="240" w:before="0" w:after="0"/>
        <w:ind w:left="0" w:right="0" w:hanging="432"/>
        <w:rPr/>
      </w:pPr>
      <w:r>
        <w:rPr>
          <w:rFonts w:ascii="Times New Roman;sans-serif" w:hAnsi="Times New Roman;sans-serif"/>
          <w:b w:val="false"/>
          <w:color w:val="000000"/>
          <w:sz w:val="24"/>
        </w:rPr>
        <w:t>1</w:t>
      </w:r>
      <w:r>
        <w:rPr>
          <w:rFonts w:ascii="Times New Roman;sans-serif" w:hAnsi="Times New Roman;sans-serif"/>
          <w:b/>
          <w:color w:val="000000"/>
          <w:sz w:val="24"/>
          <w:u w:val="single"/>
        </w:rPr>
        <w:t>Severance Agreement.</w:t>
      </w:r>
      <w:r>
        <w:rPr>
          <w:color w:val="000000"/>
        </w:rPr>
        <w:t xml:space="preserve"> </w:t>
      </w:r>
      <w:r>
        <w:rPr>
          <w:rFonts w:ascii="Times New Roman;sans-serif" w:hAnsi="Times New Roman;sans-serif"/>
          <w:b w:val="false"/>
          <w:color w:val="000000"/>
          <w:sz w:val="24"/>
        </w:rPr>
        <w:t>Except as specifically modified by the provisions of this Agreement, the Severance Agreement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2</w:t>
      </w:r>
      <w:r>
        <w:rPr>
          <w:rFonts w:ascii="Times New Roman;sans-serif" w:hAnsi="Times New Roman;sans-serif"/>
          <w:b/>
          <w:color w:val="000000"/>
          <w:sz w:val="24"/>
          <w:u w:val="single"/>
        </w:rPr>
        <w:t>2021 Annual Bonus.</w:t>
      </w:r>
    </w:p>
    <w:p>
      <w:pPr>
        <w:pStyle w:val="TextBody"/>
        <w:spacing w:lineRule="auto" w:line="240" w:before="0" w:after="0"/>
        <w:rPr/>
      </w:pPr>
      <w:r>
        <w:rPr>
          <w:rFonts w:ascii="Times New Roman;sans-serif" w:hAnsi="Times New Roman;sans-serif"/>
          <w:b w:val="false"/>
          <w:color w:val="000000"/>
          <w:sz w:val="24"/>
        </w:rPr>
        <w:t xml:space="preserve">The Compensation Committee of the Board previously set the Executive’s annual target bonus for fiscal year 2021 at an amount equal to forty percent (40%) of the Executive’s base salary (“2021 Annual Bonus”). As an incentive to continue Executive’s employment with the Company, subject to the terms of this Agreement, the Executive’s 2021 Annual Bonus shall be earned and paid as follows: (a) fifty percent (50%) of the 2021 Annual Bonus shall be earned on the date in January 2022 when the Company pays annual bonuses to its employees, and (b) fifty percent (50%) of the 2021 Annual Bonus shall be earned following the achievement of the 2021 Annual Bonus milestone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the second fifty percent (50%) of the 2021 Annual Bonus will not be earned earlier than April 1,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a portion of the 2021 Annual Bonus if the Executive voluntarily terminates his employment with the Company for any reason or the Company terminates his employment for Cause prior to the date that such portion of the 2021 Annual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Each portion of the 2021 Annual Bonus shall be paid in full, less applicable withholdings, as soon as practicable following the date on which it is earned. </w:t>
      </w:r>
    </w:p>
    <w:p>
      <w:pPr>
        <w:pStyle w:val="TextBody"/>
        <w:spacing w:lineRule="auto" w:line="240"/>
        <w:ind w:left="0" w:right="0" w:hanging="432"/>
        <w:rPr/>
      </w:pPr>
      <w:r>
        <w:rPr>
          <w:rFonts w:ascii="Times New Roman;sans-serif" w:hAnsi="Times New Roman;sans-serif"/>
          <w:b w:val="false"/>
          <w:color w:val="000000"/>
          <w:sz w:val="24"/>
        </w:rPr>
        <w:t>3</w:t>
      </w:r>
      <w:r>
        <w:rPr>
          <w:rFonts w:ascii="Times New Roman;sans-serif" w:hAnsi="Times New Roman;sans-serif"/>
          <w:b/>
          <w:color w:val="000000"/>
          <w:sz w:val="24"/>
          <w:u w:val="single"/>
        </w:rPr>
        <w:t>Restricted Stock Unit</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2100"/>
                <wp:effectExtent l="0" t="0" r="0" b="0"/>
                <wp:wrapNone/>
                <wp:docPr id="125" name="Frame12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On October 8, 2021, the Company granted the Executive 250,000 restricted stock units (“RSUs”). The Executive has been or will be provided with a Restricted Stock Unit Award Grant Notice (“Notice”) which sets forth the details of the RSUs and provides the terms and conditions of the grant. Subject to the provisions of this Agreement and the Notice, the RSUs will vest in full on the earliest of (a) June 1, 2022, (b) the closing of a Change in Control or (c) the date the Executive’s employment with the Company is terminated by the Company without Cause , in each case, subject to the Executive remaining an employee of the Company through such applicable vesting date.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spacing w:lineRule="auto" w:line="240" w:before="0" w:after="0"/>
        <w:ind w:left="0" w:right="0" w:hanging="432"/>
        <w:rPr/>
      </w:pPr>
      <w:r>
        <w:rPr>
          <w:rFonts w:ascii="Times New Roman;sans-serif" w:hAnsi="Times New Roman;sans-serif"/>
          <w:b w:val="false"/>
          <w:color w:val="000000"/>
          <w:sz w:val="24"/>
        </w:rPr>
        <w:t>4</w:t>
      </w:r>
      <w:r>
        <w:rPr>
          <w:rFonts w:ascii="Times New Roman;sans-serif" w:hAnsi="Times New Roman;sans-serif"/>
          <w:b/>
          <w:color w:val="000000"/>
          <w:sz w:val="24"/>
          <w:u w:val="single"/>
        </w:rPr>
        <w:t>Cash Bonus</w:t>
      </w:r>
    </w:p>
    <w:p>
      <w:pPr>
        <w:pStyle w:val="TextBody"/>
        <w:spacing w:lineRule="auto" w:line="240" w:before="0" w:after="0"/>
        <w:rPr/>
      </w:pPr>
      <w:r>
        <w:rPr>
          <w:rFonts w:ascii="Times New Roman;sans-serif" w:hAnsi="Times New Roman;sans-serif"/>
          <w:b w:val="false"/>
          <w:color w:val="000000"/>
          <w:sz w:val="24"/>
        </w:rPr>
        <w:t xml:space="preserve">The Executive shall earn a retention bonus in the aggregate amount of $250,000, subject to applicable tax withholding (“Cash Bonus”) on the earliest of (a) the date of the achievement of the Cash Bonus milestone set forth on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(b) the closing of a Change in Control or (c) the date the Executive’s employment with the Company is terminated by the Company without Cause, subject to the Executive’s continued employment with the Company through such earliest date.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the Cash Bonus if the Executive voluntarily terminates his employment with the Company or the Company terminates the Executive’s employment for Cause prior to the date that the Cash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Cash Bonus shall be paid in full, less applicable withholdings, as soon as practicable following the date on which it is earned. </w:t>
      </w:r>
    </w:p>
    <w:p>
      <w:pPr>
        <w:pStyle w:val="TextBody"/>
        <w:spacing w:lineRule="auto" w:line="240" w:before="0" w:after="0"/>
        <w:ind w:left="0" w:right="0" w:hanging="432"/>
        <w:rPr/>
      </w:pPr>
      <w:r>
        <w:rPr>
          <w:rFonts w:ascii="Times New Roman;sans-serif" w:hAnsi="Times New Roman;sans-serif"/>
          <w:b w:val="false"/>
          <w:color w:val="000000"/>
          <w:sz w:val="24"/>
        </w:rPr>
        <w:t>5</w:t>
      </w:r>
      <w:r>
        <w:rPr>
          <w:rFonts w:ascii="Times New Roman;sans-serif" w:hAnsi="Times New Roman;sans-serif"/>
          <w:b/>
          <w:color w:val="000000"/>
          <w:sz w:val="24"/>
          <w:u w:val="single"/>
        </w:rPr>
        <w:t>Nature of Agreement</w:t>
      </w:r>
      <w:r>
        <w:rPr>
          <w:color w:val="000000"/>
        </w:rPr>
        <w:t xml:space="preserve"> </w:t>
      </w:r>
      <w:r>
        <w:rPr>
          <w:rFonts w:ascii="Times New Roman;sans-serif" w:hAnsi="Times New Roman;sans-serif"/>
          <w:b w:val="false"/>
          <w:color w:val="000000"/>
          <w:sz w:val="24"/>
        </w:rPr>
        <w:t xml:space="preserve">This Agreement is not a contract of employment for any specified term. Nothing contained in this Agreement shall confer upon Executive any right to continue in the employ of the Company or interfere in any way with the at-will nature of Executive’s employment with the Company (it being understood and agreed that (so long as it is done in accordance with applicable law) the Company may terminate Executive’s employment at any time for any reason or for no reason and that Executive may terminate his/her employment with the Company at any time for any reason or for no reason). </w:t>
      </w:r>
    </w:p>
    <w:p>
      <w:pPr>
        <w:pStyle w:val="TextBody"/>
        <w:spacing w:lineRule="auto" w:line="240" w:before="0" w:after="0"/>
        <w:ind w:left="0" w:right="0" w:hanging="432"/>
        <w:rPr/>
      </w:pPr>
      <w:r>
        <w:rPr>
          <w:rFonts w:ascii="Times New Roman;sans-serif" w:hAnsi="Times New Roman;sans-serif"/>
          <w:b w:val="false"/>
          <w:color w:val="000000"/>
          <w:sz w:val="24"/>
        </w:rPr>
        <w:t>6</w:t>
      </w:r>
      <w:r>
        <w:rPr>
          <w:rFonts w:ascii="Times New Roman;sans-serif" w:hAnsi="Times New Roman;sans-serif"/>
          <w:b/>
          <w:color w:val="000000"/>
          <w:sz w:val="24"/>
          <w:u w:val="single"/>
        </w:rPr>
        <w:t>Full Agreement</w:t>
      </w:r>
      <w:r>
        <w:rPr>
          <w:color w:val="000000"/>
        </w:rPr>
        <w:t xml:space="preserve"> </w:t>
      </w:r>
      <w:r>
        <w:rPr>
          <w:rFonts w:ascii="Times New Roman;sans-serif" w:hAnsi="Times New Roman;sans-serif"/>
          <w:b w:val="false"/>
          <w:color w:val="000000"/>
          <w:sz w:val="24"/>
        </w:rPr>
        <w:t xml:space="preserve">This Agreement, together with the Notice and the Severance Agreement referenced herein constitutes the entire agreement of the parties with respect to the subject matter hereof, and supersedes all prior and contemporaneous discussions, negotiations, or understandings, written or oral, relating thereto. This Agreement may not be amended or modified except in a writing signed by both Executive and an authorized representative of the Company. </w:t>
      </w:r>
    </w:p>
    <w:p>
      <w:pPr>
        <w:pStyle w:val="TextBody"/>
        <w:spacing w:lineRule="auto" w:line="240" w:before="0" w:after="0"/>
        <w:ind w:left="0" w:right="0" w:hanging="432"/>
        <w:rPr/>
      </w:pPr>
      <w:r>
        <w:rPr>
          <w:rFonts w:ascii="Times New Roman;sans-serif" w:hAnsi="Times New Roman;sans-serif"/>
          <w:b w:val="false"/>
          <w:color w:val="000000"/>
          <w:sz w:val="24"/>
        </w:rPr>
        <w:t>7</w:t>
      </w:r>
      <w:r>
        <w:rPr>
          <w:rFonts w:ascii="Times New Roman;sans-serif" w:hAnsi="Times New Roman;sans-serif"/>
          <w:b/>
          <w:color w:val="000000"/>
          <w:sz w:val="24"/>
          <w:u w:val="single"/>
        </w:rPr>
        <w:t>Successors</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the Severance Agreement or which becomes bound by the terms of this Agreement by operation of law.</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67360"/>
                <wp:effectExtent l="0" t="0" r="0" b="0"/>
                <wp:wrapNone/>
                <wp:docPr id="126" name="Frame125"/>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lineRule="auto" w:line="240" w:before="0" w:after="0"/>
        <w:ind w:left="0" w:right="0" w:hanging="432"/>
        <w:rPr/>
      </w:pPr>
      <w:r>
        <w:rPr>
          <w:rFonts w:ascii="Times New Roman;sans-serif" w:hAnsi="Times New Roman;sans-serif"/>
          <w:b w:val="false"/>
          <w:color w:val="000000"/>
          <w:sz w:val="24"/>
        </w:rPr>
        <w:t>8</w:t>
      </w:r>
      <w:r>
        <w:rPr>
          <w:rFonts w:ascii="Times New Roman;sans-serif" w:hAnsi="Times New Roman;sans-serif"/>
          <w:b/>
          <w:color w:val="000000"/>
          <w:sz w:val="24"/>
          <w:u w:val="single"/>
        </w:rPr>
        <w:t>Choice of Law and Severability</w:t>
      </w:r>
      <w:r>
        <w:rPr>
          <w:color w:val="000000"/>
        </w:rPr>
        <w:t xml:space="preserve"> </w:t>
      </w:r>
      <w:r>
        <w:rPr>
          <w:rFonts w:ascii="Times New Roman;sans-serif" w:hAnsi="Times New Roman;sans-serif"/>
          <w:b w:val="false"/>
          <w:color w:val="000000"/>
          <w:sz w:val="24"/>
        </w:rPr>
        <w:t>The validity, interpretation, construction and performance of this Agreement shall be governed by the laws of the State of California. The invalidity or unenforceability of any provision or provisions of this Agreement shall not affect the validity or enforceability of any other provision hereof, which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9</w:t>
      </w:r>
      <w:r>
        <w:rPr>
          <w:rFonts w:ascii="Times New Roman;sans-serif" w:hAnsi="Times New Roman;sans-serif"/>
          <w:b/>
          <w:color w:val="000000"/>
          <w:sz w:val="24"/>
          <w:u w:val="single"/>
        </w:rPr>
        <w:t>Date of Signature</w:t>
      </w:r>
      <w:r>
        <w:rPr>
          <w:color w:val="000000"/>
        </w:rPr>
        <w:t xml:space="preserve"> </w:t>
      </w:r>
      <w:r>
        <w:rPr>
          <w:rFonts w:ascii="Times New Roman;sans-serif" w:hAnsi="Times New Roman;sans-serif"/>
          <w:b w:val="false"/>
          <w:color w:val="000000"/>
          <w:sz w:val="24"/>
        </w:rPr>
        <w:t xml:space="preserve">This Agreement shall be conveyed to Executive via DocuSign and in order to be effective, it must be signed by Executive and delivered to the Company no later than November 15, 2021. Executive may elect to electronically execute this Agreement using the DocuSign link provided, in which case this Agreement shall be automatically delivered to Kelli Shaa and Mishu Nitulescu in Human Resources upon execution. Alternatively, Executive may elect to manually sign this Agreement provided that such signature is delivered to Kelli Shaa in Human Resources no later than November 15, 2021. </w:t>
      </w:r>
    </w:p>
    <w:p>
      <w:pPr>
        <w:pStyle w:val="TextBody"/>
        <w:spacing w:before="0" w:after="240"/>
        <w:ind w:left="0" w:right="0" w:hanging="360"/>
        <w:rPr/>
      </w:pPr>
      <w:r>
        <w:rPr/>
      </w:r>
    </w:p>
    <w:tbl>
      <w:tblPr>
        <w:tblW w:w="7813" w:type="dxa"/>
        <w:jc w:val="left"/>
        <w:tblInd w:w="0" w:type="dxa"/>
        <w:tblCellMar>
          <w:top w:w="28" w:type="dxa"/>
          <w:left w:w="28" w:type="dxa"/>
          <w:bottom w:w="28" w:type="dxa"/>
          <w:right w:w="28" w:type="dxa"/>
        </w:tblCellMar>
      </w:tblPr>
      <w:tblGrid>
        <w:gridCol w:w="1430"/>
        <w:gridCol w:w="1262"/>
        <w:gridCol w:w="1267"/>
        <w:gridCol w:w="1128"/>
        <w:gridCol w:w="1128"/>
        <w:gridCol w:w="1598"/>
      </w:tblGrid>
      <w:tr>
        <w:trPr/>
        <w:tc>
          <w:tcPr>
            <w:tcW w:w="1430"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Executive</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Ardelyx, Inc.</w:t>
            </w:r>
          </w:p>
          <w:p>
            <w:pPr>
              <w:pStyle w:val="TableContents"/>
              <w:spacing w:before="0" w:after="0"/>
              <w:ind w:left="0" w:right="0" w:hanging="360"/>
              <w:jc w:val="left"/>
              <w:rPr/>
            </w:pPr>
            <w:r>
              <w:rPr/>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Dated:_____________________</w:t>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3854"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r>
    </w:tbl>
    <w:p>
      <w:pPr>
        <w:pStyle w:val="TextBody"/>
        <w:ind w:left="0" w:right="0" w:hanging="4"/>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4"/>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10.22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67360"/>
                <wp:effectExtent l="0" t="0" r="0" b="0"/>
                <wp:wrapNone/>
                <wp:docPr id="127" name="Frame126"/>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before="0" w:after="0"/>
        <w:ind w:left="0" w:right="0" w:hanging="4"/>
        <w:jc w:val="right"/>
        <w:rPr/>
      </w:pPr>
      <w:r>
        <w:rPr/>
      </w:r>
    </w:p>
    <w:p>
      <w:pPr>
        <w:pStyle w:val="TextBody"/>
        <w:spacing w:lineRule="auto" w:line="240" w:before="0" w:after="0"/>
        <w:ind w:left="0" w:right="0" w:hanging="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RETENTION AGREEMENT</w:t>
      </w:r>
    </w:p>
    <w:p>
      <w:pPr>
        <w:pStyle w:val="TextBody"/>
        <w:spacing w:before="0" w:after="0"/>
        <w:ind w:left="0" w:right="0" w:hanging="360"/>
        <w:jc w:val="center"/>
        <w:rPr/>
      </w:pPr>
      <w:r>
        <w:rPr/>
      </w:r>
    </w:p>
    <w:p>
      <w:pPr>
        <w:pStyle w:val="TextBody"/>
        <w:spacing w:before="0" w:after="0"/>
        <w:ind w:left="0" w:right="0" w:hanging="360"/>
        <w:jc w:val="center"/>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This Retention Agreement (“Agreement”) is made and entered into by and between Ardelyx, Inc. (“Company”) and _______________ (“Executive”), effective as of October 25, 2021 (“Effective Date”). </w:t>
      </w:r>
    </w:p>
    <w:p>
      <w:pPr>
        <w:pStyle w:val="TextBody"/>
        <w:spacing w:before="0" w:after="0"/>
        <w:ind w:left="0" w:right="0" w:firstLine="1440"/>
        <w:rPr/>
      </w:pPr>
      <w:r>
        <w:rPr/>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before="0" w:after="0"/>
        <w:jc w:val="center"/>
        <w:rPr/>
      </w:pPr>
      <w:r>
        <w:rPr/>
      </w:r>
    </w:p>
    <w:p>
      <w:pPr>
        <w:pStyle w:val="TextBody"/>
        <w:spacing w:lineRule="auto" w:line="240" w:before="0" w:after="0"/>
        <w:ind w:left="0" w:right="0" w:firstLine="1440"/>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Company and the Board of Directors of the Company (“Board”) has determined that it is in the best interests of the Company and its stockholders to execute a second reduction in force in order to reduce operating costs and better align the Company’s workforce with the needs of the business following the receipt of a complete response letter (“CRL”) from the U.S. Food and Drug Administration (“FDA”) on July 28, 2021. </w:t>
      </w:r>
    </w:p>
    <w:p>
      <w:pPr>
        <w:pStyle w:val="TextBody"/>
        <w:spacing w:lineRule="auto" w:line="240"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Board has determined that it is in the best interests of the Company and the stockholders to put in place arrangements designed to provide that the Company will have the continued dedication and commitment of Executive, notwithstanding the reduction in force, and to provide Executive with an incentive to continue Executive’s employment and further align Executive’s incentives to maximize the value of the Company for the benefit of its stockholders. </w:t>
      </w:r>
    </w:p>
    <w:p>
      <w:pPr>
        <w:pStyle w:val="TextBody"/>
        <w:spacing w:lineRule="auto" w:line="240"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Executive and the Company are parties to that certain __________________________________ (“Severance Agreement”). Capitalized terms not defined herein shall have the meaning assigned to them in the Severance Agreement. </w:t>
      </w:r>
    </w:p>
    <w:p>
      <w:pPr>
        <w:pStyle w:val="TextBody"/>
        <w:spacing w:before="0" w:after="0"/>
        <w:ind w:left="0" w:right="0" w:firstLine="1440"/>
        <w:rPr/>
      </w:pPr>
      <w:r>
        <w:rPr/>
      </w:r>
    </w:p>
    <w:p>
      <w:pPr>
        <w:pStyle w:val="TextBody"/>
        <w:spacing w:lineRule="auto" w:line="240" w:before="0" w:after="0"/>
        <w:ind w:left="0" w:right="0" w:firstLine="432"/>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spacing w:before="0" w:after="0"/>
        <w:ind w:left="0" w:right="0" w:firstLine="1440"/>
        <w:rPr/>
      </w:pPr>
      <w:r>
        <w:rPr/>
      </w:r>
    </w:p>
    <w:p>
      <w:pPr>
        <w:pStyle w:val="TextBody"/>
        <w:spacing w:lineRule="auto" w:line="240" w:before="0" w:after="0"/>
        <w:ind w:left="0" w:right="0" w:hanging="432"/>
        <w:rPr/>
      </w:pPr>
      <w:r>
        <w:rPr>
          <w:rFonts w:ascii="Times New Roman;sans-serif" w:hAnsi="Times New Roman;sans-serif"/>
          <w:b w:val="false"/>
          <w:color w:val="000000"/>
          <w:sz w:val="24"/>
        </w:rPr>
        <w:t>1</w:t>
      </w:r>
      <w:r>
        <w:rPr>
          <w:rFonts w:ascii="Times New Roman;sans-serif" w:hAnsi="Times New Roman;sans-serif"/>
          <w:b/>
          <w:color w:val="000000"/>
          <w:sz w:val="24"/>
          <w:u w:val="single"/>
        </w:rPr>
        <w:t>Severance Agreement.</w:t>
      </w:r>
      <w:r>
        <w:rPr>
          <w:color w:val="000000"/>
        </w:rPr>
        <w:t xml:space="preserve"> </w:t>
      </w:r>
      <w:r>
        <w:rPr>
          <w:rFonts w:ascii="Times New Roman;sans-serif" w:hAnsi="Times New Roman;sans-serif"/>
          <w:b w:val="false"/>
          <w:color w:val="000000"/>
          <w:sz w:val="24"/>
        </w:rPr>
        <w:t>Except as specifically modified by the provisions of this Agreement, the Severance Agreement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2</w:t>
      </w:r>
      <w:r>
        <w:rPr>
          <w:rFonts w:ascii="Times New Roman;sans-serif" w:hAnsi="Times New Roman;sans-serif"/>
          <w:b/>
          <w:color w:val="000000"/>
          <w:sz w:val="24"/>
          <w:u w:val="single"/>
        </w:rPr>
        <w:t>2021 Annual Bonus.</w:t>
      </w:r>
    </w:p>
    <w:p>
      <w:pPr>
        <w:pStyle w:val="TextBody"/>
        <w:spacing w:lineRule="auto" w:line="240" w:before="0" w:after="0"/>
        <w:rPr/>
      </w:pPr>
      <w:r>
        <w:rPr>
          <w:rFonts w:ascii="Times New Roman;sans-serif" w:hAnsi="Times New Roman;sans-serif"/>
          <w:b w:val="false"/>
          <w:color w:val="000000"/>
          <w:sz w:val="24"/>
        </w:rPr>
        <w:t xml:space="preserve">The Compensation Committee of the Board previously set the Executive’s annual target bonus for fiscal year 2021 at an amount equal to forty percent (40%) of the Executive’s base salary (“2021 Annual Bonus”). As an incentive to continue Executive’s employment with the Company, subject to the terms of this Agreement, the Executive’s 2021 Annual Bonus shall be earned and paid as follows: (a) fifty percent (50%) of the 2021 Annual Bonus shall be earned on the date in January 2022 when the Company pays annual bonuses to its employees, and (b) fifty percent (50%) of the 2021 Annual Bonus shall be earned following the achievement of the 2021 Annual Bonus milestone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the second fifty percent (50%) of the 2021 Annual Bonus will not be earned earlier than April 1,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a portion of the 2021 Annual Bonus if the Executive voluntarily terminates his employment with the Company for any reason or the Company terminates his employment for Cause prior to the date that such portion of the 2021 Annual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Each portion of the 2021 Annual Bonus shall be paid in full, less applicable withholdings, as soon as practicable following the date on which it is earned. </w:t>
      </w:r>
    </w:p>
    <w:p>
      <w:pPr>
        <w:pStyle w:val="TextBody"/>
        <w:spacing w:lineRule="auto" w:line="240"/>
        <w:ind w:left="0" w:right="0" w:hanging="432"/>
        <w:rPr/>
      </w:pPr>
      <w:r>
        <w:rPr>
          <w:rFonts w:ascii="Times New Roman;sans-serif" w:hAnsi="Times New Roman;sans-serif"/>
          <w:b w:val="false"/>
          <w:color w:val="000000"/>
          <w:sz w:val="24"/>
        </w:rPr>
        <w:t>3</w:t>
      </w:r>
      <w:r>
        <w:rPr>
          <w:rFonts w:ascii="Times New Roman;sans-serif" w:hAnsi="Times New Roman;sans-serif"/>
          <w:b/>
          <w:color w:val="000000"/>
          <w:sz w:val="24"/>
          <w:u w:val="single"/>
        </w:rPr>
        <w:t>Restricted Stock Unit</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2100"/>
                <wp:effectExtent l="0" t="0" r="0" b="0"/>
                <wp:wrapNone/>
                <wp:docPr id="128" name="Frame12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On October 8, 2021, the Company granted the Executive 150,000 restricted stock units (“RSUs”). The Executive has been or will be provided with a Restricted Stock Unit Award Grant Notice (“Notice”) which sets forth the details of the RSUs and provides the terms and conditions of the grant. Subject to the provisions of this Agreement and the Notice, the RSUs will vest in full on the earliest of (a) June 1, 2022, (b) the closing of a Change in Control or (c) the date the Executive’s employment with the Company is terminated by the Company without Cause , in each case, subject to the Executive remaining an employee of the Company through such applicable vesting date.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extBody"/>
        <w:spacing w:lineRule="auto" w:line="240" w:before="0" w:after="0"/>
        <w:ind w:left="0" w:right="0" w:hanging="432"/>
        <w:rPr/>
      </w:pPr>
      <w:r>
        <w:rPr>
          <w:rFonts w:ascii="Times New Roman;sans-serif" w:hAnsi="Times New Roman;sans-serif"/>
          <w:b w:val="false"/>
          <w:color w:val="000000"/>
          <w:sz w:val="24"/>
        </w:rPr>
        <w:t>4</w:t>
      </w:r>
      <w:r>
        <w:rPr>
          <w:rFonts w:ascii="Times New Roman;sans-serif" w:hAnsi="Times New Roman;sans-serif"/>
          <w:b/>
          <w:color w:val="000000"/>
          <w:sz w:val="24"/>
          <w:u w:val="single"/>
        </w:rPr>
        <w:t>Cash Bonus</w:t>
      </w:r>
    </w:p>
    <w:p>
      <w:pPr>
        <w:pStyle w:val="TextBody"/>
        <w:spacing w:lineRule="auto" w:line="240" w:before="0" w:after="0"/>
        <w:rPr/>
      </w:pPr>
      <w:r>
        <w:rPr>
          <w:rFonts w:ascii="Times New Roman;sans-serif" w:hAnsi="Times New Roman;sans-serif"/>
          <w:b w:val="false"/>
          <w:color w:val="000000"/>
          <w:sz w:val="24"/>
        </w:rPr>
        <w:t xml:space="preserve">The Executive shall earn a retention bonus in the aggregate amount of $150,000, subject to applicable tax withholding (“Cash Bonus”) on the earliest of (a) the date of the achievement of the Cash Bonus milestone set forth on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(b) the closing of a Change in Control or (c) the date the Executive’s employment with the Company is terminated by the Company without Cause, subject to the Executive’s continued employment with the Company through such earliest date.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not earn the Cash Bonus if the Executive voluntarily terminates his employment with the Company or the Company terminates the Executive’s employment for Cause prior to the date that the Cash Bonus is earned.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The Cash Bonus shall be paid in full, less applicable withholdings, as soon as practicable following the date on which it is earned. </w:t>
      </w:r>
    </w:p>
    <w:p>
      <w:pPr>
        <w:pStyle w:val="TextBody"/>
        <w:spacing w:lineRule="auto" w:line="240" w:before="0" w:after="0"/>
        <w:ind w:left="0" w:right="0" w:hanging="432"/>
        <w:rPr/>
      </w:pPr>
      <w:r>
        <w:rPr>
          <w:rFonts w:ascii="Times New Roman;sans-serif" w:hAnsi="Times New Roman;sans-serif"/>
          <w:b w:val="false"/>
          <w:color w:val="000000"/>
          <w:sz w:val="24"/>
        </w:rPr>
        <w:t>5</w:t>
      </w:r>
      <w:r>
        <w:rPr>
          <w:rFonts w:ascii="Times New Roman;sans-serif" w:hAnsi="Times New Roman;sans-serif"/>
          <w:b/>
          <w:color w:val="000000"/>
          <w:sz w:val="24"/>
          <w:u w:val="single"/>
        </w:rPr>
        <w:t>Nature of Agreement</w:t>
      </w:r>
      <w:r>
        <w:rPr>
          <w:color w:val="000000"/>
        </w:rPr>
        <w:t xml:space="preserve"> </w:t>
      </w:r>
      <w:r>
        <w:rPr>
          <w:rFonts w:ascii="Times New Roman;sans-serif" w:hAnsi="Times New Roman;sans-serif"/>
          <w:b w:val="false"/>
          <w:color w:val="000000"/>
          <w:sz w:val="24"/>
        </w:rPr>
        <w:t xml:space="preserve">This Agreement is not a contract of employment for any specified term. Nothing contained in this Agreement shall confer upon Executive any right to continue in the employ of the Company or interfere in any way with the at-will nature of Executive’s employment with the Company (it being understood and agreed that (so long as it is done in accordance with applicable law) the Company may terminate Executive’s employment at any time for any reason or for no reason and that Executive may terminate his/her employment with the Company at any time for any reason or for no reason). </w:t>
      </w:r>
    </w:p>
    <w:p>
      <w:pPr>
        <w:pStyle w:val="TextBody"/>
        <w:spacing w:lineRule="auto" w:line="240" w:before="0" w:after="0"/>
        <w:ind w:left="0" w:right="0" w:hanging="432"/>
        <w:rPr/>
      </w:pPr>
      <w:r>
        <w:rPr>
          <w:rFonts w:ascii="Times New Roman;sans-serif" w:hAnsi="Times New Roman;sans-serif"/>
          <w:b w:val="false"/>
          <w:color w:val="000000"/>
          <w:sz w:val="24"/>
        </w:rPr>
        <w:t>6</w:t>
      </w:r>
      <w:r>
        <w:rPr>
          <w:rFonts w:ascii="Times New Roman;sans-serif" w:hAnsi="Times New Roman;sans-serif"/>
          <w:b/>
          <w:color w:val="000000"/>
          <w:sz w:val="24"/>
          <w:u w:val="single"/>
        </w:rPr>
        <w:t>Full Agreement</w:t>
      </w:r>
      <w:r>
        <w:rPr>
          <w:color w:val="000000"/>
        </w:rPr>
        <w:t xml:space="preserve"> </w:t>
      </w:r>
      <w:r>
        <w:rPr>
          <w:rFonts w:ascii="Times New Roman;sans-serif" w:hAnsi="Times New Roman;sans-serif"/>
          <w:b w:val="false"/>
          <w:color w:val="000000"/>
          <w:sz w:val="24"/>
        </w:rPr>
        <w:t xml:space="preserve">This Agreement, together with the Notice and the Severance Agreement referenced herein constitutes the entire agreement of the parties with respect to the subject matter hereof, and supersedes all prior and contemporaneous discussions, negotiations, or understandings, written or oral, relating thereto. This Agreement may not be amended or modified except in a writing signed by both Executive and an authorized representative of the Company. </w:t>
      </w:r>
    </w:p>
    <w:p>
      <w:pPr>
        <w:pStyle w:val="TextBody"/>
        <w:spacing w:lineRule="auto" w:line="240" w:before="0" w:after="0"/>
        <w:ind w:left="0" w:right="0" w:hanging="432"/>
        <w:rPr/>
      </w:pPr>
      <w:r>
        <w:rPr>
          <w:rFonts w:ascii="Times New Roman;sans-serif" w:hAnsi="Times New Roman;sans-serif"/>
          <w:b w:val="false"/>
          <w:color w:val="000000"/>
          <w:sz w:val="24"/>
        </w:rPr>
        <w:t>7</w:t>
      </w:r>
      <w:r>
        <w:rPr>
          <w:rFonts w:ascii="Times New Roman;sans-serif" w:hAnsi="Times New Roman;sans-serif"/>
          <w:b/>
          <w:color w:val="000000"/>
          <w:sz w:val="24"/>
          <w:u w:val="single"/>
        </w:rPr>
        <w:t>Successors</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the Severance Agreement or which becomes bound by the terms of this Agreement by operation of law.</w:t>
      </w:r>
      <w:r>
        <w:br w:type="page"/>
      </w:r>
    </w:p>
    <w:p>
      <w:pPr>
        <w:pStyle w:val="TextBody"/>
        <w:spacing w:before="0" w:after="0"/>
        <w:ind w:left="0" w:right="0" w:hanging="4"/>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67360"/>
                <wp:effectExtent l="0" t="0" r="0" b="0"/>
                <wp:wrapNone/>
                <wp:docPr id="129" name="Frame128"/>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terms of this Agreement and all rights of Executive hereunder shall inure to the benefit of, and be enforceable by, Executive’s personal or legal representatives, executors, administrators, successors, heirs, distributees, devisees and legatees.</w:t>
      </w:r>
    </w:p>
    <w:p>
      <w:pPr>
        <w:pStyle w:val="TextBody"/>
        <w:spacing w:lineRule="auto" w:line="240" w:before="0" w:after="0"/>
        <w:ind w:left="0" w:right="0" w:hanging="432"/>
        <w:rPr/>
      </w:pPr>
      <w:r>
        <w:rPr>
          <w:rFonts w:ascii="Times New Roman;sans-serif" w:hAnsi="Times New Roman;sans-serif"/>
          <w:b w:val="false"/>
          <w:color w:val="000000"/>
          <w:sz w:val="24"/>
        </w:rPr>
        <w:t>8</w:t>
      </w:r>
      <w:r>
        <w:rPr>
          <w:rFonts w:ascii="Times New Roman;sans-serif" w:hAnsi="Times New Roman;sans-serif"/>
          <w:b/>
          <w:color w:val="000000"/>
          <w:sz w:val="24"/>
          <w:u w:val="single"/>
        </w:rPr>
        <w:t>Choice of Law and Severability</w:t>
      </w:r>
      <w:r>
        <w:rPr>
          <w:color w:val="000000"/>
        </w:rPr>
        <w:t xml:space="preserve"> </w:t>
      </w:r>
      <w:r>
        <w:rPr>
          <w:rFonts w:ascii="Times New Roman;sans-serif" w:hAnsi="Times New Roman;sans-serif"/>
          <w:b w:val="false"/>
          <w:color w:val="000000"/>
          <w:sz w:val="24"/>
        </w:rPr>
        <w:t>The validity, interpretation, construction and performance of this Agreement shall be governed by the laws of the State of California. The invalidity or unenforceability of any provision or provisions of this Agreement shall not affect the validity or enforceability of any other provision hereof, which shall remain in full force and effect.</w:t>
      </w:r>
    </w:p>
    <w:p>
      <w:pPr>
        <w:pStyle w:val="TextBody"/>
        <w:spacing w:lineRule="auto" w:line="240" w:before="0" w:after="0"/>
        <w:ind w:left="0" w:right="0" w:hanging="432"/>
        <w:rPr/>
      </w:pPr>
      <w:r>
        <w:rPr>
          <w:rFonts w:ascii="Times New Roman;sans-serif" w:hAnsi="Times New Roman;sans-serif"/>
          <w:b w:val="false"/>
          <w:color w:val="000000"/>
          <w:sz w:val="24"/>
        </w:rPr>
        <w:t>9</w:t>
      </w:r>
      <w:r>
        <w:rPr>
          <w:rFonts w:ascii="Times New Roman;sans-serif" w:hAnsi="Times New Roman;sans-serif"/>
          <w:b/>
          <w:color w:val="000000"/>
          <w:sz w:val="24"/>
          <w:u w:val="single"/>
        </w:rPr>
        <w:t>Date of Signature</w:t>
      </w:r>
      <w:r>
        <w:rPr>
          <w:color w:val="000000"/>
        </w:rPr>
        <w:t xml:space="preserve"> </w:t>
      </w:r>
      <w:r>
        <w:rPr>
          <w:rFonts w:ascii="Times New Roman;sans-serif" w:hAnsi="Times New Roman;sans-serif"/>
          <w:b w:val="false"/>
          <w:color w:val="000000"/>
          <w:sz w:val="24"/>
        </w:rPr>
        <w:t xml:space="preserve">This Agreement shall be conveyed to Executive via DocuSign and in order to be effective, it must be signed by Executive and delivered to the Company no later than November 15, 2021. Executive may elect to electronically execute this Agreement using the DocuSign link provided, in which case this Agreement shall be automatically delivered to Kelli Shaa and Mishu Nitulescu in Human Resources upon execution. Alternatively, Executive may elect to manually sign this Agreement provided that such signature is delivered to Kelli Shaa in Human Resources no later than November 15, 2021. </w:t>
      </w:r>
    </w:p>
    <w:p>
      <w:pPr>
        <w:pStyle w:val="TextBody"/>
        <w:spacing w:before="0" w:after="240"/>
        <w:ind w:left="0" w:right="0" w:hanging="360"/>
        <w:rPr/>
      </w:pPr>
      <w:r>
        <w:rPr/>
      </w:r>
    </w:p>
    <w:tbl>
      <w:tblPr>
        <w:tblW w:w="7813" w:type="dxa"/>
        <w:jc w:val="left"/>
        <w:tblInd w:w="0" w:type="dxa"/>
        <w:tblCellMar>
          <w:top w:w="28" w:type="dxa"/>
          <w:left w:w="28" w:type="dxa"/>
          <w:bottom w:w="28" w:type="dxa"/>
          <w:right w:w="28" w:type="dxa"/>
        </w:tblCellMar>
      </w:tblPr>
      <w:tblGrid>
        <w:gridCol w:w="1430"/>
        <w:gridCol w:w="1262"/>
        <w:gridCol w:w="1267"/>
        <w:gridCol w:w="1128"/>
        <w:gridCol w:w="1128"/>
        <w:gridCol w:w="1598"/>
      </w:tblGrid>
      <w:tr>
        <w:trPr/>
        <w:tc>
          <w:tcPr>
            <w:tcW w:w="1430"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Executive </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w:t>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Ardelyx, Inc.</w:t>
            </w:r>
          </w:p>
          <w:p>
            <w:pPr>
              <w:pStyle w:val="TableContents"/>
              <w:spacing w:before="0" w:after="0"/>
              <w:ind w:left="0" w:right="0" w:hanging="360"/>
              <w:jc w:val="left"/>
              <w:rPr/>
            </w:pPr>
            <w:r>
              <w:rPr/>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spacing w:before="0" w:after="0"/>
              <w:ind w:left="0" w:right="0" w:hanging="360"/>
              <w:jc w:val="left"/>
              <w:rPr/>
            </w:pPr>
            <w:r>
              <w:rPr/>
            </w:r>
          </w:p>
          <w:p>
            <w:pPr>
              <w:pStyle w:val="TableContents"/>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Dated:_____________________</w:t>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c>
          <w:tcPr>
            <w:tcW w:w="3854" w:type="dxa"/>
            <w:gridSpan w:val="3"/>
            <w:tcBorders/>
            <w:shd w:fill="auto" w:val="clear"/>
            <w:tcMar>
              <w:top w:w="0" w:type="dxa"/>
              <w:left w:w="0" w:type="dxa"/>
              <w:bottom w:w="0" w:type="dxa"/>
              <w:right w:w="0" w:type="dxa"/>
            </w:tcMar>
            <w:vAlign w:val="center"/>
          </w:tcPr>
          <w:p>
            <w:pPr>
              <w:pStyle w:val="TableContents"/>
              <w:spacing w:before="0" w:after="0"/>
              <w:ind w:left="0" w:right="0" w:hanging="360"/>
              <w:rPr/>
            </w:pPr>
            <w:r>
              <w:rPr/>
            </w:r>
          </w:p>
        </w:tc>
      </w:tr>
    </w:tbl>
    <w:p>
      <w:pPr>
        <w:pStyle w:val="TextBody"/>
        <w:spacing w:before="0" w:after="0"/>
        <w:ind w:left="0" w:right="0" w:hanging="4"/>
        <w:rPr/>
      </w:pPr>
      <w:r>
        <w:rPr/>
      </w:r>
    </w:p>
    <w:p>
      <w:pPr>
        <w:pStyle w:val="TextBody"/>
        <w:spacing w:before="0" w:after="0"/>
        <w:rPr/>
      </w:pPr>
      <w:r>
        <w:rPr/>
      </w:r>
    </w:p>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67360"/>
                <wp:effectExtent l="0" t="0" r="0" b="0"/>
                <wp:wrapNone/>
                <wp:docPr id="130" name="Frame129"/>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40" w:before="0" w:after="0"/>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on Form S-8 (No. 333-197408) pertaining to the 2008 Stock Incentive Plan, as amended, the 2014 Equity Incentive Award Plan and the 2014 Employee Stock Purchase Plan of Ardelyx,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Statements on Form S-8 (Nos. 333-202663 and 333-230156) pertaining to the 2014 Equity Incentive Award Plan and the 2014 Employee Stock Purchase Plan of Ardelyx,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Statements on Form S-3 (Nos. 333-205630, 333-213085 and 333-239764) of Ardelyx,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4.Registration Statements on Form S-8 (Nos. 333-210079, 333-216154, 333-223694 and 333-237057) pertaining to the 2014 Equity Incentive Award Plan of Ardelyx,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5.Registration Statement on Form S-8 (No. 333-214538) pertaining to the 2016 Employment Commencement Incentive Plan of Ardelyx,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6.Registration Statement on Form S-8 (No. 333-254187) pertaining to the 2014 Equity Incentive Award Plan, the 2014 Employee Stock Purchase Plan and the 2016 Employment Commencement Incentive Plan of Ardelyx, Inc.</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2022, with respect to the financial statements of Ardelyx, Inc. and the effectiveness of internal control over financial reporting of Ardelyx, Inc. included in this Annual Report (Form 10-K) of Ardelyx, Inc. for the year ended December 31,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Redwood City, California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Ardelyx,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55" w:type="dxa"/>
        <w:jc w:val="left"/>
        <w:tblInd w:w="0" w:type="dxa"/>
        <w:tblCellMar>
          <w:top w:w="28" w:type="dxa"/>
          <w:left w:w="28" w:type="dxa"/>
          <w:bottom w:w="28" w:type="dxa"/>
          <w:right w:w="28" w:type="dxa"/>
        </w:tblCellMar>
      </w:tblPr>
      <w:tblGrid>
        <w:gridCol w:w="754"/>
        <w:gridCol w:w="664"/>
        <w:gridCol w:w="667"/>
        <w:gridCol w:w="109"/>
        <w:gridCol w:w="109"/>
        <w:gridCol w:w="109"/>
        <w:gridCol w:w="134"/>
        <w:gridCol w:w="134"/>
        <w:gridCol w:w="136"/>
        <w:gridCol w:w="1210"/>
        <w:gridCol w:w="1210"/>
        <w:gridCol w:w="1719"/>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Ardelyx,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81" w:type="dxa"/>
        <w:jc w:val="left"/>
        <w:tblInd w:w="0" w:type="dxa"/>
        <w:tblCellMar>
          <w:top w:w="28" w:type="dxa"/>
          <w:left w:w="28" w:type="dxa"/>
          <w:bottom w:w="28" w:type="dxa"/>
          <w:right w:w="28" w:type="dxa"/>
        </w:tblCellMar>
      </w:tblPr>
      <w:tblGrid>
        <w:gridCol w:w="754"/>
        <w:gridCol w:w="664"/>
        <w:gridCol w:w="667"/>
        <w:gridCol w:w="109"/>
        <w:gridCol w:w="109"/>
        <w:gridCol w:w="109"/>
        <w:gridCol w:w="134"/>
        <w:gridCol w:w="134"/>
        <w:gridCol w:w="136"/>
        <w:gridCol w:w="750"/>
        <w:gridCol w:w="750"/>
        <w:gridCol w:w="106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Ardelyx, Inc. (the “Company”) on Form 10-K for the period ending December 31, 2020,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955" w:type="dxa"/>
        <w:jc w:val="left"/>
        <w:tblInd w:w="0" w:type="dxa"/>
        <w:tblCellMar>
          <w:top w:w="28" w:type="dxa"/>
          <w:left w:w="28" w:type="dxa"/>
          <w:bottom w:w="28" w:type="dxa"/>
          <w:right w:w="28" w:type="dxa"/>
        </w:tblCellMar>
      </w:tblPr>
      <w:tblGrid>
        <w:gridCol w:w="754"/>
        <w:gridCol w:w="664"/>
        <w:gridCol w:w="667"/>
        <w:gridCol w:w="109"/>
        <w:gridCol w:w="109"/>
        <w:gridCol w:w="109"/>
        <w:gridCol w:w="134"/>
        <w:gridCol w:w="134"/>
        <w:gridCol w:w="136"/>
        <w:gridCol w:w="1210"/>
        <w:gridCol w:w="1210"/>
        <w:gridCol w:w="1719"/>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5381" w:type="dxa"/>
        <w:jc w:val="left"/>
        <w:tblInd w:w="0" w:type="dxa"/>
        <w:tblCellMar>
          <w:top w:w="28" w:type="dxa"/>
          <w:left w:w="28" w:type="dxa"/>
          <w:bottom w:w="28" w:type="dxa"/>
          <w:right w:w="28" w:type="dxa"/>
        </w:tblCellMar>
      </w:tblPr>
      <w:tblGrid>
        <w:gridCol w:w="754"/>
        <w:gridCol w:w="664"/>
        <w:gridCol w:w="667"/>
        <w:gridCol w:w="109"/>
        <w:gridCol w:w="109"/>
        <w:gridCol w:w="109"/>
        <w:gridCol w:w="134"/>
        <w:gridCol w:w="134"/>
        <w:gridCol w:w="136"/>
        <w:gridCol w:w="750"/>
        <w:gridCol w:w="750"/>
        <w:gridCol w:w="106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Officer</w:t>
              <w:br/>
              <w:t>(Principal Financial Officer)</w:t>
            </w:r>
          </w:p>
        </w:tc>
      </w:tr>
    </w:tbl>
    <w:p>
      <w:pPr>
        <w:pStyle w:val="TextBody"/>
        <w:spacing w:before="20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37402/000119312514247380/d748616dex31.htm" TargetMode="External"/><Relationship Id="rId4" Type="http://schemas.openxmlformats.org/officeDocument/2006/relationships/hyperlink" Target="http://www.sec.gov/Archives/edgar/data/1437402/000119312514247380/d748616dex32.htm" TargetMode="External"/><Relationship Id="rId5" Type="http://schemas.openxmlformats.org/officeDocument/2006/relationships/hyperlink" Target="http://www.sec.gov/Archives/edgar/data/1437402/000119312514240520/d704770dex42.htm" TargetMode="External"/><Relationship Id="rId6" Type="http://schemas.openxmlformats.org/officeDocument/2006/relationships/hyperlink" Target="http://www.sec.gov/Archives/edgar/data/1437402/000155837021002500/ardx-20201231xex4d4.htm" TargetMode="External"/><Relationship Id="rId7" Type="http://schemas.openxmlformats.org/officeDocument/2006/relationships/hyperlink" Target="http://www.sec.gov/Archives/edgar/data/1437402/000155837021002500/ardx-20201231xex4d4.htm" TargetMode="External"/><Relationship Id="rId8" Type="http://schemas.openxmlformats.org/officeDocument/2006/relationships/hyperlink" Target="http://www.sec.gov/Archives/edgar/data/1437402/000155837021002500/ardx-20201231xex4d4.htm" TargetMode="External"/><Relationship Id="rId9" Type="http://schemas.openxmlformats.org/officeDocument/2006/relationships/hyperlink" Target="http://www.sec.gov/Archives/edgar/data/1437402/000155837021002500/ardx-20201231xex4d4.htm" TargetMode="External"/><Relationship Id="rId10" Type="http://schemas.openxmlformats.org/officeDocument/2006/relationships/hyperlink" Target="http://www.sec.gov/Archives/edgar/data/1437402/000155837021002500/ardx-20201231xex4d4.htm" TargetMode="External"/><Relationship Id="rId11" Type="http://schemas.openxmlformats.org/officeDocument/2006/relationships/hyperlink" Target="http://www.sec.gov/Archives/edgar/data/1437402/000155837021002500/ardx-20201231xex4d4.htm" TargetMode="External"/><Relationship Id="rId12" Type="http://schemas.openxmlformats.org/officeDocument/2006/relationships/hyperlink" Target="http://www.sec.gov/Archives/edgar/data/1437402/000155837021002500/ardx-20201231xex4d4.htm" TargetMode="External"/><Relationship Id="rId13" Type="http://schemas.openxmlformats.org/officeDocument/2006/relationships/hyperlink" Target="http://www.sec.gov/Archives/edgar/data/1437402/000119312515288082/d948397dex101.htm" TargetMode="External"/><Relationship Id="rId14" Type="http://schemas.openxmlformats.org/officeDocument/2006/relationships/hyperlink" Target="http://www.sec.gov/Archives/edgar/data/1437402/000119312516493375/d133887dex101d.htm" TargetMode="External"/><Relationship Id="rId15" Type="http://schemas.openxmlformats.org/officeDocument/2006/relationships/hyperlink" Target="http://www.sec.gov/Archives/edgar/data/1437402/000119312516493375/d133887dex101d.htm" TargetMode="External"/><Relationship Id="rId16" Type="http://schemas.openxmlformats.org/officeDocument/2006/relationships/hyperlink" Target="http://www.sec.gov/Archives/edgar/data/1437402/000119312516493375/d133887dex101d.htm" TargetMode="External"/><Relationship Id="rId17" Type="http://schemas.openxmlformats.org/officeDocument/2006/relationships/hyperlink" Target="http://www.sec.gov/Archives/edgar/data/1437402/000119312516493375/d133887dex101d.htm" TargetMode="External"/><Relationship Id="rId18" Type="http://schemas.openxmlformats.org/officeDocument/2006/relationships/hyperlink" Target="http://www.sec.gov/Archives/edgar/data/1437402/000119312516493375/d133887dex101d.htm" TargetMode="External"/><Relationship Id="rId19" Type="http://schemas.openxmlformats.org/officeDocument/2006/relationships/hyperlink" Target="http://www.sec.gov/Archives/edgar/data/1437402/000119312516493375/d133887dex101d.htm" TargetMode="External"/><Relationship Id="rId20" Type="http://schemas.openxmlformats.org/officeDocument/2006/relationships/hyperlink" Target="http://www.sec.gov/Archives/edgar/data/1437402/000119312516493375/d133887dex101d.htm" TargetMode="External"/><Relationship Id="rId21" Type="http://schemas.openxmlformats.org/officeDocument/2006/relationships/hyperlink" Target="http://www.sec.gov/Archives/edgar/data/1437402/000119312516493375/d133887dex101d.htm" TargetMode="External"/><Relationship Id="rId22" Type="http://schemas.openxmlformats.org/officeDocument/2006/relationships/hyperlink" Target="http://www.sec.gov/Archives/edgar/data/1437402/000119312514204985/d704770dex104a.htm" TargetMode="External"/><Relationship Id="rId23" Type="http://schemas.openxmlformats.org/officeDocument/2006/relationships/hyperlink" Target="http://www.sec.gov/Archives/edgar/data/1437402/000119312514204985/d704770dex104a.htm" TargetMode="External"/><Relationship Id="rId24" Type="http://schemas.openxmlformats.org/officeDocument/2006/relationships/hyperlink" Target="http://www.sec.gov/Archives/edgar/data/1437402/000119312514204985/d704770dex104a.htm" TargetMode="External"/><Relationship Id="rId25" Type="http://schemas.openxmlformats.org/officeDocument/2006/relationships/hyperlink" Target="http://www.sec.gov/Archives/edgar/data/1437402/000119312514204985/d704770dex104a.htm" TargetMode="External"/><Relationship Id="rId26" Type="http://schemas.openxmlformats.org/officeDocument/2006/relationships/hyperlink" Target="http://www.sec.gov/Archives/edgar/data/1437402/000119312514204985/d704770dex104a.htm" TargetMode="External"/><Relationship Id="rId27" Type="http://schemas.openxmlformats.org/officeDocument/2006/relationships/hyperlink" Target="http://www.sec.gov/Archives/edgar/data/1437402/000119312514204985/d704770dex104a.htm" TargetMode="External"/><Relationship Id="rId28" Type="http://schemas.openxmlformats.org/officeDocument/2006/relationships/hyperlink" Target="http://www.sec.gov/Archives/edgar/data/1437402/000119312514204985/d704770dex104b.htm" TargetMode="External"/><Relationship Id="rId29" Type="http://schemas.openxmlformats.org/officeDocument/2006/relationships/hyperlink" Target="http://www.sec.gov/Archives/edgar/data/1437402/000119312514204985/d704770dex104b.htm" TargetMode="External"/><Relationship Id="rId30" Type="http://schemas.openxmlformats.org/officeDocument/2006/relationships/hyperlink" Target="http://www.sec.gov/Archives/edgar/data/1437402/000119312514204985/d704770dex104b.htm" TargetMode="External"/><Relationship Id="rId31" Type="http://schemas.openxmlformats.org/officeDocument/2006/relationships/hyperlink" Target="http://www.sec.gov/Archives/edgar/data/1437402/000119312514204985/d704770dex104b.htm" TargetMode="External"/><Relationship Id="rId32" Type="http://schemas.openxmlformats.org/officeDocument/2006/relationships/hyperlink" Target="http://www.sec.gov/Archives/edgar/data/1437402/000119312514336840/d786507dex101.htm" TargetMode="External"/><Relationship Id="rId33" Type="http://schemas.openxmlformats.org/officeDocument/2006/relationships/hyperlink" Target="http://www.sec.gov/Archives/edgar/data/1437402/000119312514336840/d786507dex101.htm" TargetMode="External"/><Relationship Id="rId34" Type="http://schemas.openxmlformats.org/officeDocument/2006/relationships/hyperlink" Target="http://www.sec.gov/Archives/edgar/data/1437402/000119312514336840/d786507dex101.htm" TargetMode="External"/><Relationship Id="rId35" Type="http://schemas.openxmlformats.org/officeDocument/2006/relationships/hyperlink" Target="http://www.sec.gov/Archives/edgar/data/1437402/000119312514336840/d786507dex101.htm" TargetMode="External"/><Relationship Id="rId36" Type="http://schemas.openxmlformats.org/officeDocument/2006/relationships/hyperlink" Target="http://www.sec.gov/Archives/edgar/data/1437402/000119312514336840/d786507dex101.htm" TargetMode="External"/><Relationship Id="rId37" Type="http://schemas.openxmlformats.org/officeDocument/2006/relationships/hyperlink" Target="http://www.sec.gov/Archives/edgar/data/1437402/000119312514336840/d786507dex101.htm" TargetMode="External"/><Relationship Id="rId38" Type="http://schemas.openxmlformats.org/officeDocument/2006/relationships/hyperlink" Target="http://www.sec.gov/Archives/edgar/data/1437402/000119312516675135/d201246dex103.htm" TargetMode="External"/><Relationship Id="rId39" Type="http://schemas.openxmlformats.org/officeDocument/2006/relationships/hyperlink" Target="http://www.sec.gov/Archives/edgar/data/1437402/000119312516675135/d201246dex103.htm" TargetMode="External"/><Relationship Id="rId40" Type="http://schemas.openxmlformats.org/officeDocument/2006/relationships/hyperlink" Target="http://www.sec.gov/Archives/edgar/data/1437402/000119312516675135/d201246dex103.htm" TargetMode="External"/><Relationship Id="rId41" Type="http://schemas.openxmlformats.org/officeDocument/2006/relationships/hyperlink" Target="http://www.sec.gov/Archives/edgar/data/1437402/000119312516675135/d201246dex103.htm" TargetMode="External"/><Relationship Id="rId42" Type="http://schemas.openxmlformats.org/officeDocument/2006/relationships/hyperlink" Target="http://www.sec.gov/Archives/edgar/data/1437402/000162828021011446/ardenwoodleasefifthamendme.htm" TargetMode="External"/><Relationship Id="rId43" Type="http://schemas.openxmlformats.org/officeDocument/2006/relationships/hyperlink" Target="http://www.sec.gov/Archives/edgar/data/1437402/000162828021011446/ardenwoodleasefifthamendme.htm" TargetMode="External"/><Relationship Id="rId44" Type="http://schemas.openxmlformats.org/officeDocument/2006/relationships/hyperlink" Target="http://www.sec.gov/Archives/edgar/data/1437402/000162828021011446/ardenwoodleasefifthamendme.htm" TargetMode="External"/><Relationship Id="rId45" Type="http://schemas.openxmlformats.org/officeDocument/2006/relationships/hyperlink" Target="http://www.sec.gov/Archives/edgar/data/1437402/000162828021011446/ardenwoodleasefifthamendme.htm" TargetMode="External"/><Relationship Id="rId46" Type="http://schemas.openxmlformats.org/officeDocument/2006/relationships/hyperlink" Target="http://www.sec.gov/Archives/edgar/data/1437402/000119312514204985/d704770dex105a.htm" TargetMode="External"/><Relationship Id="rId47" Type="http://schemas.openxmlformats.org/officeDocument/2006/relationships/hyperlink" Target="http://www.sec.gov/Archives/edgar/data/1437402/000119312514204985/d704770dex105b.htm" TargetMode="External"/><Relationship Id="rId48" Type="http://schemas.openxmlformats.org/officeDocument/2006/relationships/hyperlink" Target="http://www.sec.gov/Archives/edgar/data/1437402/000119312514204985/d704770dex105c.htm" TargetMode="External"/><Relationship Id="rId49" Type="http://schemas.openxmlformats.org/officeDocument/2006/relationships/hyperlink" Target="https://www.sec.gov/Archives/edgar/data/1437402/000119312514267896/d758186dex993.htm" TargetMode="External"/><Relationship Id="rId50" Type="http://schemas.openxmlformats.org/officeDocument/2006/relationships/hyperlink" Target="http://www.sec.gov/Archives/edgar/data/1437402/000119312514229371/d704770dex106b.htm" TargetMode="External"/><Relationship Id="rId51" Type="http://schemas.openxmlformats.org/officeDocument/2006/relationships/hyperlink" Target="http://www.sec.gov/Archives/edgar/data/1437402/000119312514229371/d704770dex106c.htm" TargetMode="External"/><Relationship Id="rId52" Type="http://schemas.openxmlformats.org/officeDocument/2006/relationships/hyperlink" Target="http://www.sec.gov/Archives/edgar/data/1437402/000119312514229371/d704770dex107.htm" TargetMode="External"/><Relationship Id="rId53" Type="http://schemas.openxmlformats.org/officeDocument/2006/relationships/hyperlink" Target="http://www.sec.gov/Archives/edgar/data/1437402/000119312514229371/d704770dex108.htm" TargetMode="External"/><Relationship Id="rId54" Type="http://schemas.openxmlformats.org/officeDocument/2006/relationships/hyperlink" Target="http://www.sec.gov/Archives/edgar/data/1437402/000119312514229371/d704770dex1013.htm" TargetMode="External"/><Relationship Id="rId55" Type="http://schemas.openxmlformats.org/officeDocument/2006/relationships/hyperlink" Target="http://www.sec.gov/Archives/edgar/data/1437402/000119312514229371/d704770dex1013.htm" TargetMode="External"/><Relationship Id="rId56" Type="http://schemas.openxmlformats.org/officeDocument/2006/relationships/hyperlink" Target="http://www.sec.gov/Archives/edgar/data/1437402/000119312514229371/d704770dex1013.htm" TargetMode="External"/><Relationship Id="rId57" Type="http://schemas.openxmlformats.org/officeDocument/2006/relationships/hyperlink" Target="http://www.sec.gov/Archives/edgar/data/1437402/000119312514229371/d704770dex1013.htm" TargetMode="External"/><Relationship Id="rId58" Type="http://schemas.openxmlformats.org/officeDocument/2006/relationships/hyperlink" Target="http://www.sec.gov/Archives/edgar/data/1437402/000119312514229371/d704770dex1013.htm" TargetMode="External"/><Relationship Id="rId59" Type="http://schemas.openxmlformats.org/officeDocument/2006/relationships/hyperlink" Target="http://www.sec.gov/Archives/edgar/data/1437402/000155837018004307/ardx-20180331ex101b83033.htm" TargetMode="External"/><Relationship Id="rId60" Type="http://schemas.openxmlformats.org/officeDocument/2006/relationships/hyperlink" Target="http://www.sec.gov/Archives/edgar/data/1437402/000155837018004307/ardx-20180331ex101b83033.htm" TargetMode="External"/><Relationship Id="rId61" Type="http://schemas.openxmlformats.org/officeDocument/2006/relationships/hyperlink" Target="http://www.sec.gov/Archives/edgar/data/1437402/000155837018004307/ardx-20180331ex101b83033.htm" TargetMode="External"/><Relationship Id="rId62" Type="http://schemas.openxmlformats.org/officeDocument/2006/relationships/hyperlink" Target="http://www.sec.gov/Archives/edgar/data/1437402/000155837018004307/ardx-20180331ex101b83033.htm" TargetMode="External"/><Relationship Id="rId63" Type="http://schemas.openxmlformats.org/officeDocument/2006/relationships/hyperlink" Target="http://www.sec.gov/Archives/edgar/data/1437402/000155837018004307/ardx-20180331ex101b83033.htm" TargetMode="External"/><Relationship Id="rId64" Type="http://schemas.openxmlformats.org/officeDocument/2006/relationships/hyperlink" Target="http://www.sec.gov/Archives/edgar/data/1437402/000155837018004307/ardx-20180331ex101b83033.htm" TargetMode="External"/><Relationship Id="rId65" Type="http://schemas.openxmlformats.org/officeDocument/2006/relationships/hyperlink" Target="http://www.sec.gov/Archives/edgar/data/1437402/000119312514229371/d704770dex1014.htm" TargetMode="External"/><Relationship Id="rId66" Type="http://schemas.openxmlformats.org/officeDocument/2006/relationships/hyperlink" Target="http://www.sec.gov/Archives/edgar/data/1437402/000155837018004307/ardx-20180331ex100e97155.htm" TargetMode="External"/><Relationship Id="rId67" Type="http://schemas.openxmlformats.org/officeDocument/2006/relationships/hyperlink" Target="http://www.sec.gov/Archives/edgar/data/1437402/000155837018004307/ardx-20180331ex100e97155.htm" TargetMode="External"/><Relationship Id="rId68" Type="http://schemas.openxmlformats.org/officeDocument/2006/relationships/hyperlink" Target="http://www.sec.gov/Archives/edgar/data/1437402/000155837018004307/ardx-20180331ex100e97155.htm" TargetMode="External"/><Relationship Id="rId69" Type="http://schemas.openxmlformats.org/officeDocument/2006/relationships/hyperlink" Target="http://www.sec.gov/Archives/edgar/data/1437402/000155837018004307/ardx-20180331ex100e97155.htm" TargetMode="External"/><Relationship Id="rId70" Type="http://schemas.openxmlformats.org/officeDocument/2006/relationships/hyperlink" Target="http://www.sec.gov/Archives/edgar/data/1437402/000155837018004307/ardx-20180331ex100e97155.htm" TargetMode="External"/><Relationship Id="rId71" Type="http://schemas.openxmlformats.org/officeDocument/2006/relationships/hyperlink" Target="http://www.sec.gov/Archives/edgar/data/1437402/000155837020009636/ardx-20200630xex10d1.htm" TargetMode="External"/><Relationship Id="rId72" Type="http://schemas.openxmlformats.org/officeDocument/2006/relationships/hyperlink" Target="http://www.sec.gov/Archives/edgar/data/1437402/000155837020009636/ardx-20200630xex10d2.htm" TargetMode="External"/><Relationship Id="rId73" Type="http://schemas.openxmlformats.org/officeDocument/2006/relationships/hyperlink" Target="http://www.sec.gov/Archives/edgar/data/1437402/000155837020009636/ardx-20200630xex10d3.htm" TargetMode="External"/><Relationship Id="rId74" Type="http://schemas.openxmlformats.org/officeDocument/2006/relationships/hyperlink" Target="http://www.sec.gov/Archives/edgar/data/1437402/000155837020009636/ardx-20200630xex10d3.htm" TargetMode="External"/><Relationship Id="rId75" Type="http://schemas.openxmlformats.org/officeDocument/2006/relationships/hyperlink" Target="http://www.sec.gov/Archives/edgar/data/1437402/000155837020009636/ardx-20200630xex10d3.htm" TargetMode="External"/><Relationship Id="rId76" Type="http://schemas.openxmlformats.org/officeDocument/2006/relationships/hyperlink" Target="http://www.sec.gov/Archives/edgar/data/1437402/000155837020009636/ardx-20200630xex10d3.htm" TargetMode="External"/><Relationship Id="rId77" Type="http://schemas.openxmlformats.org/officeDocument/2006/relationships/hyperlink" Target="http://www.sec.gov/Archives/edgar/data/1437402/000155837020009636/ardx-20200630xex10d3.htm" TargetMode="External"/><Relationship Id="rId78" Type="http://schemas.openxmlformats.org/officeDocument/2006/relationships/hyperlink" Target="http://www.sec.gov/Archives/edgar/data/1437402/000155837020009636/ardx-20200630xex10d3.htm" TargetMode="External"/><Relationship Id="rId79" Type="http://schemas.openxmlformats.org/officeDocument/2006/relationships/hyperlink" Target="http://www.sec.gov/Archives/edgar/data/1437402/000155837020009636/ardx-20200630xex10d3.htm" TargetMode="External"/><Relationship Id="rId80" Type="http://schemas.openxmlformats.org/officeDocument/2006/relationships/hyperlink" Target="http://www.sec.gov/Archives/edgar/data/1437402/000155837020009636/ardx-20200630xex10d4.htm" TargetMode="External"/><Relationship Id="rId81" Type="http://schemas.openxmlformats.org/officeDocument/2006/relationships/hyperlink" Target="http://www.sec.gov/Archives/edgar/data/1437402/000155837020009636/ardx-20200630xex10d4.htm" TargetMode="External"/><Relationship Id="rId82" Type="http://schemas.openxmlformats.org/officeDocument/2006/relationships/hyperlink" Target="http://www.sec.gov/Archives/edgar/data/1437402/000155837020009636/ardx-20200630xex10d4.htm" TargetMode="External"/><Relationship Id="rId83" Type="http://schemas.openxmlformats.org/officeDocument/2006/relationships/hyperlink" Target="http://www.sec.gov/Archives/edgar/data/1437402/000155837020009636/ardx-20200630xex10d4.htm" TargetMode="External"/><Relationship Id="rId84" Type="http://schemas.openxmlformats.org/officeDocument/2006/relationships/hyperlink" Target="http://www.sec.gov/Archives/edgar/data/1437402/000155837020009636/ardx-20200630xex10d4.htm" TargetMode="External"/><Relationship Id="rId85" Type="http://schemas.openxmlformats.org/officeDocument/2006/relationships/hyperlink" Target="http://www.sec.gov/Archives/edgar/data/1437402/000119312514267896/d758186dex996.htm" TargetMode="External"/><Relationship Id="rId86" Type="http://schemas.openxmlformats.org/officeDocument/2006/relationships/hyperlink" Target="http://www.sec.gov/Archives/edgar/data/1437402/000119312514229371/d704770dex1021.htm" TargetMode="External"/><Relationship Id="rId87" Type="http://schemas.openxmlformats.org/officeDocument/2006/relationships/hyperlink" Target="http://www.sec.gov/Archives/edgar/data/1437402/000119312517077089/d133384d8k.htm" TargetMode="External"/><Relationship Id="rId88" Type="http://schemas.openxmlformats.org/officeDocument/2006/relationships/hyperlink" Target="http://www.sec.gov/Archives/edgar/data/1437402/000155837019004249/ardx-20190331ex101320fc2.htm" TargetMode="External"/><Relationship Id="rId89" Type="http://schemas.openxmlformats.org/officeDocument/2006/relationships/hyperlink" Target="http://www.sec.gov/Archives/edgar/data/1437402/000155837019004249/ardx-20190331ex101320fc2.htm" TargetMode="External"/><Relationship Id="rId90" Type="http://schemas.openxmlformats.org/officeDocument/2006/relationships/hyperlink" Target="http://www.sec.gov/Archives/edgar/data/1437402/000155837019004249/ardx-20190331ex101320fc2.htm" TargetMode="External"/><Relationship Id="rId91" Type="http://schemas.openxmlformats.org/officeDocument/2006/relationships/hyperlink" Target="http://www.sec.gov/Archives/edgar/data/1437402/000119312515250831/d44646dex991.htm" TargetMode="External"/><Relationship Id="rId92" Type="http://schemas.openxmlformats.org/officeDocument/2006/relationships/hyperlink" Target="http://www.sec.gov/Archives/edgar/data/1437402/000119312515250831/d44646dex991.htm" TargetMode="External"/><Relationship Id="rId93" Type="http://schemas.openxmlformats.org/officeDocument/2006/relationships/hyperlink" Target="http://www.sec.gov/Archives/edgar/data/1437402/000119312515250831/d44646dex991.htm" TargetMode="External"/><Relationship Id="rId94" Type="http://schemas.openxmlformats.org/officeDocument/2006/relationships/hyperlink" Target="http://www.sec.gov/Archives/edgar/data/1437402/000119312515250831/d44646dex991.htm" TargetMode="External"/><Relationship Id="rId95" Type="http://schemas.openxmlformats.org/officeDocument/2006/relationships/hyperlink" Target="http://www.sec.gov/Archives/edgar/data/1437402/000119312515250831/d44646dex991.htm" TargetMode="External"/><Relationship Id="rId96" Type="http://schemas.openxmlformats.org/officeDocument/2006/relationships/hyperlink" Target="http://www.sec.gov/Archives/edgar/data/1437402/000119312516675135/d201246dex102.htm" TargetMode="External"/><Relationship Id="rId97" Type="http://schemas.openxmlformats.org/officeDocument/2006/relationships/hyperlink" Target="http://www.sec.gov/Archives/edgar/data/1437402/000119312516675135/d201246dex102.htm" TargetMode="External"/><Relationship Id="rId98" Type="http://schemas.openxmlformats.org/officeDocument/2006/relationships/hyperlink" Target="http://www.sec.gov/Archives/edgar/data/1437402/000119312516675135/d201246dex102.htm" TargetMode="External"/><Relationship Id="rId99" Type="http://schemas.openxmlformats.org/officeDocument/2006/relationships/hyperlink" Target="http://www.sec.gov/Archives/edgar/data/1437402/000119312516675135/d201246dex102.htm" TargetMode="External"/><Relationship Id="rId100" Type="http://schemas.openxmlformats.org/officeDocument/2006/relationships/hyperlink" Target="http://www.sec.gov/Archives/edgar/data/1437402/000119312516675135/d201246dex102.htm" TargetMode="External"/><Relationship Id="rId101" Type="http://schemas.openxmlformats.org/officeDocument/2006/relationships/hyperlink" Target="http://www.sec.gov/Archives/edgar/data/1437402/000119312516675135/d201246dex102.htm" TargetMode="External"/><Relationship Id="rId102" Type="http://schemas.openxmlformats.org/officeDocument/2006/relationships/hyperlink" Target="http://www.sec.gov/Archives/edgar/data/1437402/000119312516764653/d276142dex991.htm" TargetMode="External"/><Relationship Id="rId103" Type="http://schemas.openxmlformats.org/officeDocument/2006/relationships/hyperlink" Target="http://www.sec.gov/Archives/edgar/data/1437402/000119312516764653/d276142dex992.htm" TargetMode="External"/><Relationship Id="rId104" Type="http://schemas.openxmlformats.org/officeDocument/2006/relationships/hyperlink" Target="http://www.sec.gov/Archives/edgar/data/1437402/000119312516764653/d276142dex992.htm" TargetMode="External"/><Relationship Id="rId105" Type="http://schemas.openxmlformats.org/officeDocument/2006/relationships/hyperlink" Target="http://www.sec.gov/Archives/edgar/data/1437402/000119312516764653/d276142dex992.htm" TargetMode="External"/><Relationship Id="rId106" Type="http://schemas.openxmlformats.org/officeDocument/2006/relationships/hyperlink" Target="http://www.sec.gov/Archives/edgar/data/1437402/000119312516764653/d276142dex993.htm" TargetMode="External"/><Relationship Id="rId107" Type="http://schemas.openxmlformats.org/officeDocument/2006/relationships/hyperlink" Target="http://www.sec.gov/Archives/edgar/data/1437402/000119312516764653/d276142dex993.htm" TargetMode="External"/><Relationship Id="rId108" Type="http://schemas.openxmlformats.org/officeDocument/2006/relationships/hyperlink" Target="http://www.sec.gov/Archives/edgar/data/1437402/000119312516764653/d276142dex993.htm" TargetMode="External"/><Relationship Id="rId109" Type="http://schemas.openxmlformats.org/officeDocument/2006/relationships/hyperlink" Target="http://www.sec.gov/Archives/edgar/data/1437402/000119312516764653/d276142dex994.htm" TargetMode="External"/><Relationship Id="rId110" Type="http://schemas.openxmlformats.org/officeDocument/2006/relationships/hyperlink" Target="http://www.sec.gov/Archives/edgar/data/1437402/000155837018002056/ardx-20171231ex10353fabf.htm" TargetMode="External"/><Relationship Id="rId111" Type="http://schemas.openxmlformats.org/officeDocument/2006/relationships/hyperlink" Target="http://www.sec.gov/Archives/edgar/data/1437402/000155837018002056/ardx-20171231ex10353fabf.htm" TargetMode="External"/><Relationship Id="rId112" Type="http://schemas.openxmlformats.org/officeDocument/2006/relationships/hyperlink" Target="http://www.sec.gov/Archives/edgar/data/1437402/000155837018002056/ardx-20171231ex10353fabf.htm" TargetMode="External"/><Relationship Id="rId113" Type="http://schemas.openxmlformats.org/officeDocument/2006/relationships/hyperlink" Target="http://www.sec.gov/Archives/edgar/data/1437402/000155837018002056/ardx-20171231ex10353fabf.htm" TargetMode="External"/><Relationship Id="rId114" Type="http://schemas.openxmlformats.org/officeDocument/2006/relationships/hyperlink" Target="http://www.sec.gov/Archives/edgar/data/1437402/000155837018002056/ardx-20171231ex10353fabf.htm" TargetMode="External"/><Relationship Id="rId115" Type="http://schemas.openxmlformats.org/officeDocument/2006/relationships/hyperlink" Target="http://www.sec.gov/Archives/edgar/data/1437402/000155837018002056/ardx-20171231ex10353fabf.htm" TargetMode="External"/><Relationship Id="rId116" Type="http://schemas.openxmlformats.org/officeDocument/2006/relationships/hyperlink" Target="http://www.sec.gov/Archives/edgar/data/1437402/000155837018002056/ardx-20171231ex10353fabf.htm" TargetMode="External"/><Relationship Id="rId117" Type="http://schemas.openxmlformats.org/officeDocument/2006/relationships/hyperlink" Target="http://www.sec.gov/Archives/edgar/data/1437402/000155837018002056/ardx-20171231ex103695c56.htm" TargetMode="External"/><Relationship Id="rId118" Type="http://schemas.openxmlformats.org/officeDocument/2006/relationships/hyperlink" Target="http://www.sec.gov/Archives/edgar/data/1437402/000155837018002056/ardx-20171231ex103695c56.htm" TargetMode="External"/><Relationship Id="rId119" Type="http://schemas.openxmlformats.org/officeDocument/2006/relationships/hyperlink" Target="http://www.sec.gov/Archives/edgar/data/1437402/000155837018002056/ardx-20171231ex103695c56.htm" TargetMode="External"/><Relationship Id="rId120" Type="http://schemas.openxmlformats.org/officeDocument/2006/relationships/hyperlink" Target="http://www.sec.gov/Archives/edgar/data/1437402/000155837018002056/ardx-20171231ex103695c56.htm" TargetMode="External"/><Relationship Id="rId121" Type="http://schemas.openxmlformats.org/officeDocument/2006/relationships/hyperlink" Target="http://www.sec.gov/Archives/edgar/data/1437402/000155837018002056/ardx-20171231ex103695c56.htm" TargetMode="External"/><Relationship Id="rId122" Type="http://schemas.openxmlformats.org/officeDocument/2006/relationships/hyperlink" Target="http://www.sec.gov/Archives/edgar/data/1437402/000155837018002056/ardx-20171231ex103695c56.htm" TargetMode="External"/><Relationship Id="rId123" Type="http://schemas.openxmlformats.org/officeDocument/2006/relationships/hyperlink" Target="http://www.sec.gov/Archives/edgar/data/1437402/000155837018002056/ardx-20171231ex103695c56.htm" TargetMode="External"/><Relationship Id="rId124" Type="http://schemas.openxmlformats.org/officeDocument/2006/relationships/hyperlink" Target="http://www.sec.gov/Archives/edgar/data/1437402/000155837018006606/ardx-20180630ex102467e2d.htm" TargetMode="External"/><Relationship Id="rId125" Type="http://schemas.openxmlformats.org/officeDocument/2006/relationships/hyperlink" Target="http://www.sec.gov/Archives/edgar/data/1437402/000155837018006606/ardx-20180630ex102467e2d.htm" TargetMode="External"/><Relationship Id="rId126" Type="http://schemas.openxmlformats.org/officeDocument/2006/relationships/hyperlink" Target="http://www.sec.gov/Archives/edgar/data/1437402/000155837018006606/ardx-20180630ex102467e2d.htm" TargetMode="External"/><Relationship Id="rId127" Type="http://schemas.openxmlformats.org/officeDocument/2006/relationships/hyperlink" Target="http://www.sec.gov/Archives/edgar/data/1437402/000155837018006606/ardx-20180630ex102467e2d.htm" TargetMode="External"/><Relationship Id="rId128" Type="http://schemas.openxmlformats.org/officeDocument/2006/relationships/hyperlink" Target="http://www.sec.gov/Archives/edgar/data/1437402/000155837018006606/ardx-20180630ex102467e2d.htm" TargetMode="External"/><Relationship Id="rId129" Type="http://schemas.openxmlformats.org/officeDocument/2006/relationships/hyperlink" Target="http://www.sec.gov/Archives/edgar/data/1437402/000155837018006606/ardx-20180630ex102467e2d.htm" TargetMode="External"/><Relationship Id="rId130" Type="http://schemas.openxmlformats.org/officeDocument/2006/relationships/hyperlink" Target="http://www.sec.gov/Archives/edgar/data/1437402/000155837018006606/ardx-20180630ex102467e2d.htm" TargetMode="External"/><Relationship Id="rId131" Type="http://schemas.openxmlformats.org/officeDocument/2006/relationships/hyperlink" Target="http://www.sec.gov/Archives/edgar/data/1437402/000155837020009636/ardx-20200630xex10d5.htm" TargetMode="External"/><Relationship Id="rId132" Type="http://schemas.openxmlformats.org/officeDocument/2006/relationships/hyperlink" Target="http://www.sec.gov/Archives/edgar/data/1437402/000155837020009636/ardx-20200630xex10d5.htm" TargetMode="External"/><Relationship Id="rId133" Type="http://schemas.openxmlformats.org/officeDocument/2006/relationships/hyperlink" Target="http://www.sec.gov/Archives/edgar/data/1437402/000155837020009636/ardx-20200630xex10d5.htm" TargetMode="External"/><Relationship Id="rId134" Type="http://schemas.openxmlformats.org/officeDocument/2006/relationships/hyperlink" Target="http://www.sec.gov/Archives/edgar/data/1437402/000155837020009636/ardx-20200630xex10d5.htm" TargetMode="External"/><Relationship Id="rId135" Type="http://schemas.openxmlformats.org/officeDocument/2006/relationships/hyperlink" Target="http://www.sec.gov/Archives/edgar/data/1437402/000155837020009636/ardx-20200630xex10d5.htm" TargetMode="External"/><Relationship Id="rId136" Type="http://schemas.openxmlformats.org/officeDocument/2006/relationships/hyperlink" Target="http://www.sec.gov/Archives/edgar/data/1437402/000155837020009636/ardx-20200630xex10d5.htm" TargetMode="External"/><Relationship Id="rId137" Type="http://schemas.openxmlformats.org/officeDocument/2006/relationships/hyperlink" Target="http://www.sec.gov/Archives/edgar/data/1437402/000155837021002500/ardx-20201231xex10d31.htm" TargetMode="External"/><Relationship Id="rId138" Type="http://schemas.openxmlformats.org/officeDocument/2006/relationships/hyperlink" Target="http://www.sec.gov/Archives/edgar/data/1437402/000162828021017192/salesagencyagreementaugust.htm" TargetMode="External"/><Relationship Id="rId139" Type="http://schemas.openxmlformats.org/officeDocument/2006/relationships/fontTable" Target="fontTable.xml"/><Relationship Id="rId1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83449</Words>
  <CharactersWithSpaces>542096</CharactersWithSpaces>
  <Paragraphs>4021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