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Rodriguez Susan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Chief Commercial Officer</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08/20/2021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630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44,673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5"/>
          <w:szCs w:val="15"/>
          <w:color w:val="0000FF"/>
        </w:rPr>
        <w:t>08/24/2021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2021-08-24T17:09:23Z</dcterms:created>
  <dcterms:modified xsi:type="dcterms:W3CDTF">2021-08-24T17:09:23Z</dcterms:modified>
</cp:coreProperties>
</file>