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vMerge w:val="restart"/>
          </w:tcPr>
          <w:p>
            <w:pPr>
              <w:spacing w:after="0"/>
              <w:rPr>
                <w:rFonts w:ascii="Arial" w:cs="Arial" w:eastAsia="Arial" w:hAnsi="Arial"/>
                <w:sz w:val="21"/>
                <w:szCs w:val="21"/>
                <w:color w:val="0000EE"/>
                <w:w w:val="92"/>
              </w:rPr>
            </w:pPr>
            <w:hyperlink r:id="rId12">
              <w:r>
                <w:rPr>
                  <w:rFonts w:ascii="Arial" w:cs="Arial" w:eastAsia="Arial" w:hAnsi="Arial"/>
                  <w:sz w:val="21"/>
                  <w:szCs w:val="21"/>
                  <w:color w:val="0000EE"/>
                  <w:w w:val="92"/>
                </w:rPr>
                <w:t>Lundberg Jan M</w:t>
              </w:r>
            </w:hyperlink>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60" w:type="dxa"/>
            <w:vAlign w:val="bottom"/>
            <w:gridSpan w:val="8"/>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tcBorders>
              <w:bottom w:val="single" w:sz="8" w:color="0000EE"/>
            </w:tcBorders>
            <w:gridSpan w:val="3"/>
            <w:vMerge w:val="continue"/>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C/O ARDELYX, INC.</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03/23/2018</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34175 ARDENWOOD BLVD, SUITE 200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FREMONT</w:t>
            </w:r>
          </w:p>
        </w:tc>
        <w:tc>
          <w:tcPr>
            <w:tcW w:w="1260" w:type="dxa"/>
            <w:vAlign w:val="bottom"/>
            <w:gridSpan w:val="2"/>
          </w:tcPr>
          <w:p>
            <w:pPr>
              <w:spacing w:after="0"/>
              <w:rPr>
                <w:sz w:val="20"/>
                <w:szCs w:val="20"/>
                <w:color w:val="auto"/>
              </w:rPr>
            </w:pPr>
            <w:r>
              <w:rPr>
                <w:rFonts w:ascii="Arial" w:cs="Arial" w:eastAsia="Arial" w:hAnsi="Arial"/>
                <w:sz w:val="17"/>
                <w:szCs w:val="17"/>
                <w:color w:val="0000FF"/>
              </w:rPr>
              <w:t>CA</w:t>
            </w:r>
          </w:p>
        </w:tc>
        <w:tc>
          <w:tcPr>
            <w:tcW w:w="1140" w:type="dxa"/>
            <w:vAlign w:val="bottom"/>
          </w:tcPr>
          <w:p>
            <w:pPr>
              <w:ind w:left="20"/>
              <w:spacing w:after="0"/>
              <w:rPr>
                <w:sz w:val="20"/>
                <w:szCs w:val="20"/>
                <w:color w:val="auto"/>
              </w:rPr>
            </w:pPr>
            <w:r>
              <w:rPr>
                <w:rFonts w:ascii="Arial" w:cs="Arial" w:eastAsia="Arial" w:hAnsi="Arial"/>
                <w:sz w:val="17"/>
                <w:szCs w:val="17"/>
                <w:color w:val="0000FF"/>
              </w:rPr>
              <w:t>94555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9"/>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9"/>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5.5</w:t>
            </w:r>
          </w:p>
        </w:tc>
        <w:tc>
          <w:tcPr>
            <w:tcW w:w="140" w:type="dxa"/>
            <w:vAlign w:val="bottom"/>
          </w:tcPr>
          <w:p>
            <w:pPr>
              <w:spacing w:after="0"/>
              <w:rPr>
                <w:sz w:val="17"/>
                <w:szCs w:val="17"/>
                <w:color w:val="auto"/>
              </w:rPr>
            </w:pPr>
          </w:p>
        </w:tc>
        <w:tc>
          <w:tcPr>
            <w:tcW w:w="1120" w:type="dxa"/>
            <w:vAlign w:val="bottom"/>
          </w:tcPr>
          <w:p>
            <w:pPr>
              <w:ind w:left="260"/>
              <w:spacing w:after="0"/>
              <w:rPr>
                <w:sz w:val="20"/>
                <w:szCs w:val="20"/>
                <w:color w:val="auto"/>
              </w:rPr>
            </w:pPr>
            <w:r>
              <w:rPr>
                <w:rFonts w:ascii="Arial" w:cs="Arial" w:eastAsia="Arial" w:hAnsi="Arial"/>
                <w:sz w:val="13"/>
                <w:szCs w:val="13"/>
                <w:color w:val="0000FF"/>
              </w:rPr>
              <w:t>03/23/2018</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30,000</w:t>
            </w:r>
          </w:p>
        </w:tc>
        <w:tc>
          <w:tcPr>
            <w:tcW w:w="340" w:type="dxa"/>
            <w:vAlign w:val="bottom"/>
          </w:tcPr>
          <w:p>
            <w:pPr>
              <w:spacing w:after="0"/>
              <w:rPr>
                <w:sz w:val="17"/>
                <w:szCs w:val="17"/>
                <w:color w:val="auto"/>
              </w:rPr>
            </w:pPr>
          </w:p>
        </w:tc>
        <w:tc>
          <w:tcPr>
            <w:tcW w:w="800" w:type="dxa"/>
            <w:vAlign w:val="bottom"/>
            <w:gridSpan w:val="3"/>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03/23/2028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30,000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30,000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62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and becomes exercisable with respect to 1/36th of the shares subject to the option on each monthly anniversary of March 23, 2018, subject to the Reporting Person's continued service relationship with the Issuer through each such vesting date.</w:t>
      </w:r>
    </w:p>
    <w:p>
      <w:pPr>
        <w:spacing w:after="0" w:line="39"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025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25525" cy="8255"/>
                    </a:xfrm>
                    <a:prstGeom prst="rect">
                      <a:avLst/>
                    </a:prstGeom>
                    <a:noFill/>
                  </pic:spPr>
                </pic:pic>
              </a:graphicData>
            </a:graphic>
          </wp:anchor>
        </w:drawing>
      </w:r>
    </w:p>
    <w:p>
      <w:pPr>
        <w:spacing w:after="0" w:line="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Jan M.</w:t>
      </w:r>
      <w:r>
        <w:rPr>
          <w:sz w:val="20"/>
          <w:szCs w:val="20"/>
          <w:color w:val="auto"/>
        </w:rPr>
        <w:tab/>
      </w:r>
      <w:r>
        <w:rPr>
          <w:rFonts w:ascii="Arial" w:cs="Arial" w:eastAsia="Arial" w:hAnsi="Arial"/>
          <w:sz w:val="15"/>
          <w:szCs w:val="15"/>
          <w:color w:val="0000FF"/>
        </w:rPr>
        <w:t>03/27/2018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Lundberg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428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5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80120"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2019-12-07T13:34:51Z</dcterms:created>
  <dcterms:modified xsi:type="dcterms:W3CDTF">2019-12-07T13:34:51Z</dcterms:modified>
</cp:coreProperties>
</file>