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ARDELYX,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26-1303944</w:t>
            </w:r>
          </w:p>
        </w:tc>
      </w:tr>
      <w:tr>
        <w:trPr>
          <w:trHeight w:val="216"/>
        </w:trPr>
        <w:tc>
          <w:tcPr>
            <w:tcW w:w="2120" w:type="dxa"/>
            <w:vAlign w:val="bottom"/>
          </w:tcPr>
          <w:p>
            <w:pPr>
              <w:jc w:val="center"/>
              <w:ind w:right="150"/>
              <w:spacing w:after="0"/>
              <w:rPr>
                <w:sz w:val="20"/>
                <w:szCs w:val="20"/>
                <w:color w:val="auto"/>
              </w:rPr>
            </w:pPr>
            <w:r>
              <w:rPr>
                <w:rFonts w:ascii="Arial" w:cs="Arial" w:eastAsia="Arial" w:hAnsi="Arial"/>
                <w:sz w:val="18"/>
                <w:szCs w:val="18"/>
                <w:color w:val="auto"/>
                <w:w w:val="91"/>
              </w:rPr>
              <w:t>(State or other jurisdiction</w:t>
            </w: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21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150"/>
              <w:spacing w:after="0"/>
              <w:rPr>
                <w:sz w:val="20"/>
                <w:szCs w:val="20"/>
                <w:color w:val="auto"/>
              </w:rPr>
            </w:pPr>
            <w:r>
              <w:rPr>
                <w:rFonts w:ascii="Arial" w:cs="Arial" w:eastAsia="Arial" w:hAnsi="Arial"/>
                <w:sz w:val="18"/>
                <w:szCs w:val="18"/>
                <w:color w:val="auto"/>
                <w:w w:val="95"/>
              </w:rPr>
              <w:t>of incorporation)</w:t>
            </w:r>
          </w:p>
        </w:tc>
        <w:tc>
          <w:tcPr>
            <w:tcW w:w="544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21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21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 Suite 200</w:t>
            </w:r>
          </w:p>
        </w:tc>
        <w:tc>
          <w:tcPr>
            <w:tcW w:w="196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1"/>
              </w:rPr>
              <w:t>Fremont, CA 94555</w:t>
            </w:r>
          </w:p>
        </w:tc>
        <w:tc>
          <w:tcPr>
            <w:tcW w:w="19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960" w:type="dxa"/>
            <w:vAlign w:val="bottom"/>
          </w:tcPr>
          <w:p>
            <w:pPr>
              <w:spacing w:after="0"/>
              <w:rPr>
                <w:sz w:val="20"/>
                <w:szCs w:val="20"/>
                <w:color w:val="auto"/>
              </w:rPr>
            </w:pPr>
          </w:p>
        </w:tc>
      </w:tr>
      <w:tr>
        <w:trPr>
          <w:trHeight w:val="432"/>
        </w:trPr>
        <w:tc>
          <w:tcPr>
            <w:tcW w:w="21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(510) 745-1700</w:t>
            </w:r>
          </w:p>
        </w:tc>
        <w:tc>
          <w:tcPr>
            <w:tcW w:w="19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On May 16, 2018 (the “Closing Date”), we entered into a loan and security agreement (the “Loan Agreement”) with Solar Capital Ltd., and Western Alliance Bank (collectively the “Lenders”). The Loan Agreement provides for a $50.0 million term loan facility with a maturity date of November 1, 2022 (the “Term Loan”). The full amount of the loan was funded on May 16, 2018.</w:t>
      </w:r>
    </w:p>
    <w:p>
      <w:pPr>
        <w:spacing w:after="0" w:line="181" w:lineRule="exact"/>
        <w:rPr>
          <w:sz w:val="24"/>
          <w:szCs w:val="24"/>
          <w:color w:val="auto"/>
        </w:rPr>
      </w:pPr>
    </w:p>
    <w:p>
      <w:pPr>
        <w:ind w:right="20"/>
        <w:spacing w:after="0" w:line="293" w:lineRule="auto"/>
        <w:rPr>
          <w:sz w:val="20"/>
          <w:szCs w:val="20"/>
          <w:color w:val="auto"/>
        </w:rPr>
      </w:pPr>
      <w:r>
        <w:rPr>
          <w:rFonts w:ascii="Arial" w:cs="Arial" w:eastAsia="Arial" w:hAnsi="Arial"/>
          <w:sz w:val="16"/>
          <w:szCs w:val="16"/>
          <w:color w:val="auto"/>
        </w:rPr>
        <w:t>Borrowings under the Term Loan bear interest at a floating per annum rate equal to 7.45% plus the one-month LIBOR. We are permitted to make interest-only payments on the Term Loan through December 1, 2020 if we achieve our primary endpoint in the Phase 3 study of tenapanor for the treatment of hyperphosphatemia in patients with end-stage renal disease (ESRD) who are on dialysis (the “Phase 3 Endpoint”), prior to June 1, 2020; otherwise, we are permitted to make interest-only payments on the Term Loan only through June 1, 2020. Accordingly, beginning on either June 1, 2020 or December 1, 2020, as applicable, through the maturity date, we will be required to make monthly payments of interest plus repay the Term Loan in consecutive equal monthly installments of principal. We were obligated to pay 1% of the Term Loan, or $0.5 million, upon the closing of the Term Loan. We are obligated to pay a fee</w:t>
      </w:r>
    </w:p>
    <w:p>
      <w:pPr>
        <w:sectPr>
          <w:pgSz w:w="11900" w:h="16880" w:orient="portrait"/>
          <w:cols w:equalWidth="0" w:num="1">
            <w:col w:w="11360"/>
          </w:cols>
          <w:pgMar w:left="240" w:top="544" w:right="299" w:bottom="0" w:gutter="0" w:footer="0" w:header="0"/>
        </w:sectPr>
      </w:pPr>
    </w:p>
    <w:bookmarkStart w:id="1" w:name="page2"/>
    <w:bookmarkEnd w:id="1"/>
    <w:p>
      <w:pPr>
        <w:ind w:right="60"/>
        <w:spacing w:after="0" w:line="284" w:lineRule="auto"/>
        <w:rPr>
          <w:sz w:val="20"/>
          <w:szCs w:val="20"/>
          <w:color w:val="auto"/>
        </w:rPr>
      </w:pPr>
      <w:r>
        <w:rPr>
          <w:rFonts w:ascii="Arial" w:cs="Arial" w:eastAsia="Arial" w:hAnsi="Arial"/>
          <w:sz w:val="16"/>
          <w:szCs w:val="16"/>
          <w:color w:val="auto"/>
        </w:rPr>
        <w:t>equal to 3.95% of the Term Loan upon the earliest to occur of the maturity date, the acceleration of the Term Loan, the prepayment or repayment of the Term Loan or the termination of the Loan Agreement. We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of our assets, except for our intellectual property and certain other customary exclusions. Additionally, in connection with the Term Loan, we entered into an Exit Fee Agreement, whereby we agreed to pay an exit fee in the amount 3% of the Term Loan (the “Exit Fee”) upon (y) any change of control transaction or</w:t>
      </w:r>
    </w:p>
    <w:p>
      <w:pPr>
        <w:spacing w:after="0" w:line="3" w:lineRule="exact"/>
        <w:rPr>
          <w:sz w:val="20"/>
          <w:szCs w:val="20"/>
          <w:color w:val="auto"/>
        </w:rPr>
      </w:pPr>
    </w:p>
    <w:p>
      <w:pPr>
        <w:ind w:right="120" w:firstLine="8"/>
        <w:spacing w:after="0" w:line="255"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FDA approval of tenapanor in the treatment of hyperphosphatemia in ESRD patients on dialysis and FDA approval of tenapanor for the treatment of patients with irritable bowel syndrome with constipation (IBS-C). Notwithstanding the prepayment or termination of the Term Loan, the Exit Fee will expire 10 years from the Closing Date.</w:t>
      </w:r>
    </w:p>
    <w:p>
      <w:pPr>
        <w:spacing w:after="0" w:line="19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unrestricted cash and cash equivalents to be less than the sum of (i) the principal payments due on interest-bearing liabilities for the upcoming seven fiscal months and (ii) seven times the average cash spent in respect of operations and capital expenditures per month (excluding principal payments made in respect of interest- bearing liabilities made in such period). The foregoing covenant shall no longer apply if after May 16, 2018, we have received at least $46.5 million in aggregate unrestricted net cash proceeds from the sale and issuance of stock pursuant to one or more bona fide equity financings. Additionally, if we elect to enter into an exclusive license agreement for the use of our intellectual property in the United States (other than for tenapanor for hyperphosphatemia or for our FXR and TGR5 agonist programs) and we have not obtained the written consent of the Lenders to enter into such license agreement, we have agreed to not allow our unrestricted cash and cash equivalents to be less than $50.0 million, until we achieve our Phase 3 Endpoint.</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the Loan Agreement contains customary events of default that entitle the Lender to cause our indebtedness under the Loan Agreement to become immediately due and payable, and to exercise remedies against us and the collateral securing the Term Loan, including our cash. Under the Loan Agreement, an event of default will occur if, among other things, we fail to make payments under the Loan Agreement, we breach any of our covenants under the Loan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4.0% per annum will apply to all obligations owed under the Loan Agreement.</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360" w:type="dxa"/>
            <w:vAlign w:val="bottom"/>
            <w:vMerge w:val="restart"/>
          </w:tcPr>
          <w:p>
            <w:pPr>
              <w:jc w:val="right"/>
              <w:ind w:right="4219"/>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3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9640" w:type="dxa"/>
            <w:vAlign w:val="bottom"/>
            <w:gridSpan w:val="3"/>
          </w:tcPr>
          <w:p>
            <w:pPr>
              <w:jc w:val="right"/>
              <w:ind w:right="8279"/>
              <w:spacing w:after="0"/>
              <w:rPr>
                <w:rFonts w:ascii="Arial" w:cs="Arial" w:eastAsia="Arial" w:hAnsi="Arial"/>
                <w:sz w:val="18"/>
                <w:szCs w:val="18"/>
                <w:color w:val="0000EE"/>
              </w:rPr>
            </w:pPr>
            <w:hyperlink w:anchor="page2">
              <w:r>
                <w:rPr>
                  <w:rFonts w:ascii="Arial" w:cs="Arial" w:eastAsia="Arial" w:hAnsi="Arial"/>
                  <w:sz w:val="18"/>
                  <w:szCs w:val="18"/>
                  <w:color w:val="0000EE"/>
                </w:rPr>
                <w:t>Risk Factors.</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8360" w:type="dxa"/>
            <w:vAlign w:val="bottom"/>
          </w:tcPr>
          <w:p>
            <w:pPr>
              <w:jc w:val="right"/>
              <w:ind w:right="5439"/>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3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21, 2018</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Mark Kaufmann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60"/>
          </w:cols>
          <w:pgMar w:left="240" w:top="125" w:right="199" w:bottom="1440"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invest in shares of our common stock, you should carefully consider the risks described below, and all other information contained in or incorporated by reference in our other filings with the United States Securities and Exchange Commission, or the SEC, before making an investment decision.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Limited Operating History,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contains restrictions that limit our flexibility in operating our business.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On May 14, 2018, we entered into a loan and security agreement, or the Loan Agreement, with Solar Capital Ltd. and Western Alliance Bank The Loan Agreement provides for a $50.0 million term loan facility with a maturity date of November 1, 2022. The Loan Agreement contains various covenants that limit our ability to engage in specified types of transactions without our lenders’ prior consent. These covenants limit our ability to, among other things:</w:t>
      </w:r>
    </w:p>
    <w:p>
      <w:pPr>
        <w:spacing w:after="0" w:line="147" w:lineRule="exact"/>
        <w:rPr>
          <w:sz w:val="20"/>
          <w:szCs w:val="20"/>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license our intellectual property;</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 transfer, lease or dispose of our assets;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incur or assume additional indebtedness;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encumber or permit liens on certain of our assets;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make restricted payments, including paying dividends on, repurchasing or making distributions with respect to our common stock;</w:t>
      </w:r>
    </w:p>
    <w:p>
      <w:pPr>
        <w:spacing w:after="0" w:line="236" w:lineRule="exact"/>
        <w:rPr>
          <w:rFonts w:ascii="Arial" w:cs="Arial" w:eastAsia="Arial" w:hAnsi="Arial"/>
          <w:sz w:val="17"/>
          <w:szCs w:val="17"/>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specified investments (including loans and advances);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the Loan Agreement contains a liquidity covenant which requires us to maintain a minimum of seven months of cash and certain cash equivalents; provided, that this minimum liquidity requirement ceases to apply if we complete one or more equity offerings with aggregate net proceeds of at least $46.5 million, including this offering.</w:t>
      </w:r>
    </w:p>
    <w:p>
      <w:pPr>
        <w:spacing w:after="0" w:line="18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covenants in the Loan Agreement limit our ability to take certain actions and, in the event that we breach one or more covenants, our lenders may choose to declare an event of default and require that we immediately repay all amounts outstanding of the aggregate principal amount of $50 million, plus exit fees, prepayment premiums, penalties and interest, and foreclose on the collateral granted to them to secure such indebtedness. Such repayment could have a material adverse effect on our business,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26"/>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2019-12-28T21:51:50Z</dcterms:created>
  <dcterms:modified xsi:type="dcterms:W3CDTF">2019-12-28T21:51:50Z</dcterms:modified>
</cp:coreProperties>
</file>