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132715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
        <w:spacing w:after="0"/>
        <w:rPr>
          <w:sz w:val="20"/>
          <w:szCs w:val="20"/>
          <w:color w:val="auto"/>
        </w:rPr>
      </w:pPr>
      <w:r>
        <w:rPr>
          <w:rFonts w:ascii="Arial" w:cs="Arial" w:eastAsia="Arial" w:hAnsi="Arial"/>
          <w:sz w:val="36"/>
          <w:szCs w:val="36"/>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27305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(Name of Issuer)</w:t>
      </w:r>
    </w:p>
    <w:p>
      <w:pPr>
        <w:spacing w:after="0" w:line="261"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(Title of Class of Securities)</w:t>
      </w:r>
    </w:p>
    <w:p>
      <w:pPr>
        <w:spacing w:after="0" w:line="274"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(CUSIP Number)</w:t>
      </w:r>
    </w:p>
    <w:p>
      <w:pPr>
        <w:spacing w:after="0" w:line="274"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Louis S. Citron, Esq.</w:t>
      </w:r>
    </w:p>
    <w:p>
      <w:pPr>
        <w:spacing w:after="0" w:line="27"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New Enterprise Associates</w:t>
      </w:r>
    </w:p>
    <w:p>
      <w:pPr>
        <w:spacing w:after="0" w:line="9"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1954 Greenspring Drive, Suite 600, Timonium, MD 21093</w:t>
      </w:r>
    </w:p>
    <w:p>
      <w:pPr>
        <w:spacing w:after="0" w:line="9"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(410) 842-4000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5715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Authorized to Receive Notices and Communications)</w:t>
      </w:r>
    </w:p>
    <w:p>
      <w:pPr>
        <w:spacing w:after="0" w:line="261"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December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2"/>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highlight w:val="lightGray"/>
        </w:rPr>
        <w:t>☐</w:t>
      </w:r>
    </w:p>
    <w:p>
      <w:pPr>
        <w:spacing w:after="0" w:line="178" w:lineRule="exact"/>
        <w:rPr>
          <w:sz w:val="24"/>
          <w:szCs w:val="24"/>
          <w:color w:val="auto"/>
        </w:rPr>
      </w:pPr>
    </w:p>
    <w:p>
      <w:pPr>
        <w:ind w:left="2"/>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206" w:lineRule="exact"/>
        <w:rPr>
          <w:sz w:val="24"/>
          <w:szCs w:val="24"/>
          <w:color w:val="auto"/>
        </w:rPr>
      </w:pPr>
    </w:p>
    <w:p>
      <w:pPr>
        <w:ind w:left="2" w:hanging="2"/>
        <w:spacing w:after="0" w:line="202" w:lineRule="auto"/>
        <w:tabs>
          <w:tab w:leader="none" w:pos="128" w:val="left"/>
        </w:tabs>
        <w:numPr>
          <w:ilvl w:val="0"/>
          <w:numId w:val="1"/>
        </w:numPr>
        <w:rPr>
          <w:rFonts w:ascii="Arial" w:cs="Arial" w:eastAsia="Arial" w:hAnsi="Arial"/>
          <w:sz w:val="29"/>
          <w:szCs w:val="29"/>
          <w:color w:val="auto"/>
          <w:vertAlign w:val="superscript"/>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3" w:lineRule="exact"/>
        <w:rPr>
          <w:sz w:val="24"/>
          <w:szCs w:val="24"/>
          <w:color w:val="auto"/>
        </w:rPr>
      </w:pPr>
    </w:p>
    <w:p>
      <w:pPr>
        <w:jc w:val="both"/>
        <w:ind w:left="2"/>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125730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142875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322"/>
          </w:cols>
          <w:pgMar w:left="778" w:top="693" w:right="7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039697107</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2 of 11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u w:val="single" w:color="auto"/>
          <w:color w:val="auto"/>
        </w:rPr>
        <w:t>Security and Issuer</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color w:val="auto"/>
        </w:rPr>
        <w:t>This Amendment No. 7 (“Amendment No. 7”) to Schedule 13D amends and restates the statement on Schedule 13D originally filed on July 1, 2014, Amendment No. 1 thereto filed on December 18, 2014, Amendment No. 2 thereto filed on June 15, 2015, Amendment No. 3 thereto filed on January 21, 2016, Amendment No. 4 thereto filed on July 28, 2016, Amendment No. 5 thereto filed on June 5, 2018 and Amendment No. 6 thereto filed on June 18, 2020 relating to the common stock, $.0001 par value (the “Common Stock”) of Ardelyx, Inc. (the “Issuer”) having its principal executive office at 400 Fifth Avenue, Suite 210, Waltham, Massachusetts, 02451.</w:t>
      </w:r>
    </w:p>
    <w:p>
      <w:pPr>
        <w:spacing w:after="0" w:line="188"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Certain terms used but not defined in this Amendment No. 7 have the meanings assigned thereto in the Schedule 13D (including Amendment No. 1, Amendment No. 2, Amendment No. 3, Amendment No. 4, Amendment No. 5 and Amendment No. 6 thereto). Except as specifically provided herein, this Amendment No. 7 does not modify any of the information previously reported on the Schedule 13D (including Amendment No. 1, Amendment No. 2, Amendment No. 3, Amendment No. 4, Amendment No. 5 and Amendment No. 6 thereto).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Identity and Background</w:t>
      </w:r>
      <w:r>
        <w:rPr>
          <w:rFonts w:ascii="Arial" w:cs="Arial" w:eastAsia="Arial" w:hAnsi="Arial"/>
          <w:sz w:val="16"/>
          <w:szCs w:val="16"/>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This statement is being filed by:</w:t>
      </w:r>
    </w:p>
    <w:p>
      <w:pPr>
        <w:spacing w:after="0" w:line="225" w:lineRule="exact"/>
        <w:rPr>
          <w:sz w:val="20"/>
          <w:szCs w:val="20"/>
          <w:color w:val="auto"/>
        </w:rPr>
      </w:pPr>
    </w:p>
    <w:p>
      <w:pPr>
        <w:ind w:right="20" w:firstLine="818"/>
        <w:spacing w:after="0" w:line="277" w:lineRule="auto"/>
        <w:tabs>
          <w:tab w:leader="none" w:pos="1062"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Enterprise Associates 12, Limited Partnership (“NEA 12”), New Enterprise Associates 15, L.P. (“NEA 15”) and NEA 15 Opportunity Fund, L.P. (“NEA 15-OF” and, collectively with NEA 12 and NEA 15, the “Funds”);</w:t>
      </w:r>
    </w:p>
    <w:p>
      <w:pPr>
        <w:spacing w:after="0" w:line="170" w:lineRule="exact"/>
        <w:rPr>
          <w:rFonts w:ascii="Arial" w:cs="Arial" w:eastAsia="Arial" w:hAnsi="Arial"/>
          <w:sz w:val="18"/>
          <w:szCs w:val="18"/>
          <w:color w:val="auto"/>
        </w:rPr>
      </w:pPr>
    </w:p>
    <w:p>
      <w:pPr>
        <w:jc w:val="both"/>
        <w:ind w:firstLine="818"/>
        <w:spacing w:after="0" w:line="257" w:lineRule="auto"/>
        <w:tabs>
          <w:tab w:leader="none" w:pos="1081" w:val="left"/>
        </w:tabs>
        <w:numPr>
          <w:ilvl w:val="0"/>
          <w:numId w:val="2"/>
        </w:numPr>
        <w:rPr>
          <w:rFonts w:ascii="Arial" w:cs="Arial" w:eastAsia="Arial" w:hAnsi="Arial"/>
          <w:sz w:val="18"/>
          <w:szCs w:val="18"/>
          <w:color w:val="auto"/>
        </w:rPr>
      </w:pPr>
      <w:r>
        <w:rPr>
          <w:rFonts w:ascii="Arial" w:cs="Arial" w:eastAsia="Arial" w:hAnsi="Arial"/>
          <w:sz w:val="18"/>
          <w:szCs w:val="18"/>
          <w:color w:val="auto"/>
        </w:rPr>
        <w:t>NEA Partners 12, Limited Partnership (“NEA Partners 12”), which is the sole general partner of NEA 12; NEA Partners 15, L.P. (“NEA Partners 15”), which is the sole general partner of NEA 15; NEA Partners 15-OF, L.P. (“NEA Partners 15-OF” and, collectively with NEA Partners 12 and NEA Partners 15, the “GPLPs”), which is the sole general partner of NEA 15-OF; NEA 12 GP, LLC (“NEA 12 LLC”), which is the sole general partner of NEA Partners 12; NEA 15 GP, LLC (“NEA 15 LLC” and, collectively with the GPLPs and NEA 12 LLC, the “Control Entities”), which is the sole general partner of NEA Partners 15 and NEA Partners 15-OF; and</w:t>
      </w:r>
    </w:p>
    <w:p>
      <w:pPr>
        <w:spacing w:after="0" w:line="187" w:lineRule="exact"/>
        <w:rPr>
          <w:rFonts w:ascii="Arial" w:cs="Arial" w:eastAsia="Arial" w:hAnsi="Arial"/>
          <w:sz w:val="18"/>
          <w:szCs w:val="18"/>
          <w:color w:val="auto"/>
        </w:rPr>
      </w:pPr>
    </w:p>
    <w:p>
      <w:pPr>
        <w:ind w:right="20" w:firstLine="818"/>
        <w:spacing w:after="0" w:line="277" w:lineRule="auto"/>
        <w:tabs>
          <w:tab w:leader="none" w:pos="106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Forest Baskett (“Baskett”), Anthony A. Florence, Jr. (“Florence”), Patrick J. Kerins (“Kerins”), Mohamad H. Makhzoumi (“Makhzoumi”), Scott D. Sandell (“Sandell”) and Peter W. Sonsini (“Sonsini”) (together, the “Managers”) and Joshua Makower (“Makower”).</w:t>
      </w:r>
    </w:p>
    <w:p>
      <w:pPr>
        <w:spacing w:after="0" w:line="170"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Baskett and Sandell (the “Dual Managers”) are managers of NEA 12 LLC and NEA 15 LLC. Kerins is a manager of NEA 12 LLC. Florence, Makhzoumi and Sonsini are managers of NEA 15 LLC.</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persons named in this Item 2 are referred to individually herein as a “Reporting Person” and collectively as the “Reporting Persons.”</w:t>
      </w:r>
    </w:p>
    <w:p>
      <w:pPr>
        <w:spacing w:after="0" w:line="237" w:lineRule="exact"/>
        <w:rPr>
          <w:sz w:val="20"/>
          <w:szCs w:val="20"/>
          <w:color w:val="auto"/>
        </w:rPr>
      </w:pPr>
    </w:p>
    <w:p>
      <w:pPr>
        <w:jc w:val="both"/>
        <w:ind w:firstLine="810"/>
        <w:spacing w:after="0" w:line="287" w:lineRule="auto"/>
        <w:rPr>
          <w:sz w:val="20"/>
          <w:szCs w:val="20"/>
          <w:color w:val="auto"/>
        </w:rPr>
      </w:pPr>
      <w:r>
        <w:rPr>
          <w:rFonts w:ascii="Arial" w:cs="Arial" w:eastAsia="Arial" w:hAnsi="Arial"/>
          <w:sz w:val="16"/>
          <w:szCs w:val="16"/>
          <w:color w:val="auto"/>
        </w:rPr>
        <w:t>The address of the principal business office of the Funds, each Control Entity and Sandell is New Enterprise Associates, 1954 Greenspring Drive, Suite 600, Timonium, MD 21093. The address of the principal business office of Kerins is New Enterprise Associates, 5425 Wisconsin Avenue, Suite 800, Chevy Chase, MD 20815. The address of the principal business office of Baskett, Makhzoumi and Sonsini is New Enterprise Associates, 2855</w:t>
      </w:r>
    </w:p>
    <w:p>
      <w:pPr>
        <w:spacing w:after="0" w:line="2" w:lineRule="exact"/>
        <w:rPr>
          <w:sz w:val="20"/>
          <w:szCs w:val="20"/>
          <w:color w:val="auto"/>
        </w:rPr>
      </w:pPr>
    </w:p>
    <w:p>
      <w:pPr>
        <w:jc w:val="both"/>
        <w:spacing w:after="0" w:line="182" w:lineRule="auto"/>
        <w:rPr>
          <w:sz w:val="20"/>
          <w:szCs w:val="20"/>
          <w:color w:val="auto"/>
        </w:rPr>
      </w:pPr>
      <w:r>
        <w:rPr>
          <w:rFonts w:ascii="Arial" w:cs="Arial" w:eastAsia="Arial" w:hAnsi="Arial"/>
          <w:sz w:val="17"/>
          <w:szCs w:val="17"/>
          <w:color w:val="auto"/>
        </w:rPr>
        <w:t>Sand Hill Road, Menlo Park, California 94025. The address of the principal business office of Florence is New Enterprise Associates, 104 5</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Avenue,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 New York, NY 10001.</w:t>
      </w:r>
    </w:p>
    <w:p>
      <w:pPr>
        <w:spacing w:after="0" w:line="203"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7"/>
          <w:szCs w:val="17"/>
          <w:color w:val="auto"/>
        </w:rPr>
        <w:t>The principal business of the Funds is to invest in and assist growth-oriented businesses located principally in the United States. The principal business of NEA Partners 12 is to act as the sole general partner of NEA 12. The principal business of NEA Partners 15 is to act as the sole general partner of NEA 15. The principal business of NEA Partners 15-OF is to act as the sole general partner of NEA 15-OF. The principal business of NEA 12 LLC is to act as the sole general partner of NEA Partners 12. The principal business of NEA 15 LLC is to act as the sole general partner of NEA Partners 15 and NEA Partners 15-OF. The principal business of each of the Dual Managers is to manage the Control Entities, the Funds and a number of affiliated partnerships with similar businesses. The principal business of Kerins is to manage NEA 12 LLC, NEA Partners 12, NEA 12 and a number of affiliated partnerships with similar businesses. The principal business of each of Florence, Makhzoumi and Sonsini is to manage NEA 15 LLC, NEA Partners 15, NEA Partners 15-OF, NEA 15, NEA 15-OF and a number of affiliated partnerships with similar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 w:name="page3"/>
    <w:bookmarkEnd w:id="2"/>
    <w:p>
      <w:pPr>
        <w:ind w:left="80"/>
        <w:spacing w:after="0"/>
        <w:tabs>
          <w:tab w:leader="none" w:pos="5460" w:val="left"/>
          <w:tab w:leader="none" w:pos="9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311785</wp:posOffset>
            </wp:positionV>
            <wp:extent cx="235712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236601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3 of 11 Pages</w:t>
      </w:r>
    </w:p>
    <w:p>
      <w:pPr>
        <w:sectPr>
          <w:pgSz w:w="11900" w:h="16838" w:orient="portrait"/>
          <w:cols w:equalWidth="0" w:num="1">
            <w:col w:w="11240"/>
          </w:cols>
          <w:pgMar w:left="320" w:top="5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810"/>
        <w:spacing w:after="0" w:line="263" w:lineRule="auto"/>
        <w:rPr>
          <w:sz w:val="20"/>
          <w:szCs w:val="20"/>
          <w:color w:val="auto"/>
        </w:rPr>
      </w:pPr>
      <w:r>
        <w:rPr>
          <w:rFonts w:ascii="Arial" w:cs="Arial" w:eastAsia="Arial" w:hAnsi="Arial"/>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4"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Each Fund and each GPLP is a limited partnership organized under the laws of the State of Delaware. NEA 12 LLC and NEA 15 LLC are limited liability companies organized under the laws of the State of Delaware. Each of the Managers is a United States citizen.</w:t>
      </w:r>
    </w:p>
    <w:p>
      <w:pPr>
        <w:spacing w:after="0" w:line="38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Source and Amount of Funds or Other Consideration</w:t>
      </w:r>
      <w:r>
        <w:rPr>
          <w:rFonts w:ascii="Arial" w:cs="Arial" w:eastAsia="Arial" w:hAnsi="Arial"/>
          <w:sz w:val="16"/>
          <w:szCs w:val="16"/>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8600"/>
        <w:spacing w:after="0"/>
        <w:tabs>
          <w:tab w:leader="none" w:pos="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Purpose of Transaction</w:t>
      </w:r>
      <w:r>
        <w:rPr>
          <w:rFonts w:ascii="Arial" w:cs="Arial" w:eastAsia="Arial" w:hAnsi="Arial"/>
          <w:sz w:val="15"/>
          <w:szCs w:val="15"/>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Interest in Securities of the Issuer</w:t>
      </w:r>
      <w:r>
        <w:rPr>
          <w:rFonts w:ascii="Arial" w:cs="Arial" w:eastAsia="Arial" w:hAnsi="Arial"/>
          <w:sz w:val="16"/>
          <w:szCs w:val="16"/>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Each of the Reporting Persons has ceased to own beneficially five percent (5%) or more of the Issuer’s Common Stock.</w:t>
      </w: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Contracts, Arrangements, Undertakings or Relationships with Respect to Securities of the Issuer</w:t>
      </w:r>
      <w:r>
        <w:rPr>
          <w:rFonts w:ascii="Arial" w:cs="Arial" w:eastAsia="Arial" w:hAnsi="Arial"/>
          <w:sz w:val="16"/>
          <w:szCs w:val="16"/>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Material to be Filed as Exhibits</w:t>
      </w:r>
      <w:r>
        <w:rPr>
          <w:rFonts w:ascii="Arial" w:cs="Arial" w:eastAsia="Arial" w:hAnsi="Arial"/>
          <w:sz w:val="16"/>
          <w:szCs w:val="16"/>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Exhibit 1 – Agreement regarding filing of joint Schedule 13D.</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Exhibit 2 – Power of Attorney regarding filings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1677670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039697107</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4 of 11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EXECUTED this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2021.</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NEW ENTERPRISE ASSOCIATES 12, Limited Partnership</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060" w:type="dxa"/>
            <w:vAlign w:val="bottom"/>
            <w:gridSpan w:val="6"/>
          </w:tcPr>
          <w:p>
            <w:pPr>
              <w:spacing w:after="0"/>
              <w:rPr>
                <w:sz w:val="20"/>
                <w:szCs w:val="20"/>
                <w:color w:val="auto"/>
              </w:rPr>
            </w:pPr>
            <w:r>
              <w:rPr>
                <w:rFonts w:ascii="Arial" w:cs="Arial" w:eastAsia="Arial" w:hAnsi="Arial"/>
                <w:sz w:val="18"/>
                <w:szCs w:val="18"/>
                <w:color w:val="auto"/>
                <w:w w:val="92"/>
              </w:rPr>
              <w:t>NEA PARTNERS 12, Limited Partnership</w:t>
            </w:r>
          </w:p>
        </w:tc>
      </w:tr>
      <w:tr>
        <w:trPr>
          <w:trHeight w:val="230"/>
        </w:trPr>
        <w:tc>
          <w:tcPr>
            <w:tcW w:w="600" w:type="dxa"/>
            <w:vAlign w:val="bottom"/>
          </w:tcPr>
          <w:p>
            <w:pPr>
              <w:spacing w:after="0"/>
              <w:rPr>
                <w:sz w:val="20"/>
                <w:szCs w:val="20"/>
                <w:color w:val="auto"/>
              </w:rPr>
            </w:pPr>
          </w:p>
        </w:tc>
        <w:tc>
          <w:tcPr>
            <w:tcW w:w="3060" w:type="dxa"/>
            <w:vAlign w:val="bottom"/>
            <w:gridSpan w:val="6"/>
          </w:tcPr>
          <w:p>
            <w:pPr>
              <w:ind w:left="220"/>
              <w:spacing w:after="0"/>
              <w:rPr>
                <w:sz w:val="20"/>
                <w:szCs w:val="20"/>
                <w:color w:val="auto"/>
              </w:rPr>
            </w:pPr>
            <w:r>
              <w:rPr>
                <w:rFonts w:ascii="Arial" w:cs="Arial" w:eastAsia="Arial" w:hAnsi="Arial"/>
                <w:sz w:val="18"/>
                <w:szCs w:val="18"/>
                <w:color w:val="auto"/>
              </w:rPr>
              <w:t>General Partner</w:t>
            </w:r>
          </w:p>
        </w:tc>
      </w:tr>
      <w:tr>
        <w:trPr>
          <w:trHeight w:val="418"/>
        </w:trPr>
        <w:tc>
          <w:tcPr>
            <w:tcW w:w="600" w:type="dxa"/>
            <w:vAlign w:val="bottom"/>
          </w:tcPr>
          <w:p>
            <w:pPr>
              <w:spacing w:after="0"/>
              <w:rPr>
                <w:sz w:val="24"/>
                <w:szCs w:val="24"/>
                <w:color w:val="auto"/>
              </w:rPr>
            </w:pPr>
          </w:p>
        </w:tc>
        <w:tc>
          <w:tcPr>
            <w:tcW w:w="3060" w:type="dxa"/>
            <w:vAlign w:val="bottom"/>
            <w:gridSpan w:val="6"/>
          </w:tcPr>
          <w:p>
            <w:pPr>
              <w:ind w:left="220"/>
              <w:spacing w:after="0"/>
              <w:rPr>
                <w:sz w:val="20"/>
                <w:szCs w:val="20"/>
                <w:color w:val="auto"/>
              </w:rPr>
            </w:pPr>
            <w:r>
              <w:rPr>
                <w:rFonts w:ascii="Arial" w:cs="Arial" w:eastAsia="Arial" w:hAnsi="Arial"/>
                <w:sz w:val="18"/>
                <w:szCs w:val="18"/>
                <w:color w:val="auto"/>
              </w:rPr>
              <w:t>By:  NEA 12 GP, LLC</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20" w:type="dxa"/>
            <w:vAlign w:val="bottom"/>
            <w:gridSpan w:val="5"/>
          </w:tcPr>
          <w:p>
            <w:pPr>
              <w:ind w:left="60"/>
              <w:spacing w:after="0"/>
              <w:rPr>
                <w:sz w:val="20"/>
                <w:szCs w:val="20"/>
                <w:color w:val="auto"/>
              </w:rPr>
            </w:pPr>
            <w:r>
              <w:rPr>
                <w:rFonts w:ascii="Arial" w:cs="Arial" w:eastAsia="Arial" w:hAnsi="Arial"/>
                <w:sz w:val="18"/>
                <w:szCs w:val="18"/>
                <w:color w:val="auto"/>
              </w:rPr>
              <w:t>General Partner</w:t>
            </w:r>
          </w:p>
        </w:tc>
      </w:tr>
      <w:tr>
        <w:trPr>
          <w:trHeight w:val="391"/>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rPr>
              <w:t>By:</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40" w:type="dxa"/>
            <w:vAlign w:val="bottom"/>
            <w:gridSpan w:val="3"/>
          </w:tcPr>
          <w:p>
            <w:pPr>
              <w:ind w:left="20"/>
              <w:spacing w:after="0"/>
              <w:rPr>
                <w:sz w:val="20"/>
                <w:szCs w:val="20"/>
                <w:color w:val="auto"/>
              </w:rPr>
            </w:pPr>
            <w:r>
              <w:rPr>
                <w:rFonts w:ascii="Arial" w:cs="Arial" w:eastAsia="Arial" w:hAnsi="Arial"/>
                <w:sz w:val="18"/>
                <w:szCs w:val="18"/>
                <w:color w:val="auto"/>
              </w:rPr>
              <w:t>Scott D. Sandell</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40" w:type="dxa"/>
            <w:vAlign w:val="bottom"/>
            <w:gridSpan w:val="3"/>
          </w:tcPr>
          <w:p>
            <w:pPr>
              <w:ind w:left="20"/>
              <w:spacing w:after="0"/>
              <w:rPr>
                <w:sz w:val="20"/>
                <w:szCs w:val="20"/>
                <w:color w:val="auto"/>
              </w:rPr>
            </w:pPr>
            <w:r>
              <w:rPr>
                <w:rFonts w:ascii="Arial" w:cs="Arial" w:eastAsia="Arial" w:hAnsi="Arial"/>
                <w:sz w:val="18"/>
                <w:szCs w:val="18"/>
                <w:color w:val="auto"/>
              </w:rPr>
              <w:t>Manager</w:t>
            </w:r>
          </w:p>
        </w:tc>
      </w:tr>
      <w:tr>
        <w:trPr>
          <w:trHeight w:val="648"/>
        </w:trPr>
        <w:tc>
          <w:tcPr>
            <w:tcW w:w="3660" w:type="dxa"/>
            <w:vAlign w:val="bottom"/>
            <w:gridSpan w:val="7"/>
          </w:tcPr>
          <w:p>
            <w:pPr>
              <w:spacing w:after="0"/>
              <w:rPr>
                <w:sz w:val="20"/>
                <w:szCs w:val="20"/>
                <w:color w:val="auto"/>
              </w:rPr>
            </w:pPr>
            <w:r>
              <w:rPr>
                <w:rFonts w:ascii="Arial" w:cs="Arial" w:eastAsia="Arial" w:hAnsi="Arial"/>
                <w:sz w:val="18"/>
                <w:szCs w:val="18"/>
                <w:color w:val="auto"/>
              </w:rPr>
              <w:t>NEA PARTNERS 12, Limited Partnership</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060" w:type="dxa"/>
            <w:vAlign w:val="bottom"/>
            <w:gridSpan w:val="6"/>
          </w:tcPr>
          <w:p>
            <w:pPr>
              <w:ind w:left="220"/>
              <w:spacing w:after="0"/>
              <w:rPr>
                <w:sz w:val="20"/>
                <w:szCs w:val="20"/>
                <w:color w:val="auto"/>
              </w:rPr>
            </w:pPr>
            <w:r>
              <w:rPr>
                <w:rFonts w:ascii="Arial" w:cs="Arial" w:eastAsia="Arial" w:hAnsi="Arial"/>
                <w:sz w:val="18"/>
                <w:szCs w:val="18"/>
                <w:color w:val="auto"/>
              </w:rPr>
              <w:t>NEA 12 GP, LLC</w:t>
            </w:r>
          </w:p>
        </w:tc>
      </w:tr>
      <w:tr>
        <w:trPr>
          <w:trHeight w:val="230"/>
        </w:trPr>
        <w:tc>
          <w:tcPr>
            <w:tcW w:w="600" w:type="dxa"/>
            <w:vAlign w:val="bottom"/>
          </w:tcPr>
          <w:p>
            <w:pPr>
              <w:spacing w:after="0"/>
              <w:rPr>
                <w:sz w:val="20"/>
                <w:szCs w:val="20"/>
                <w:color w:val="auto"/>
              </w:rPr>
            </w:pPr>
          </w:p>
        </w:tc>
        <w:tc>
          <w:tcPr>
            <w:tcW w:w="3060" w:type="dxa"/>
            <w:vAlign w:val="bottom"/>
            <w:gridSpan w:val="6"/>
          </w:tcPr>
          <w:p>
            <w:pPr>
              <w:ind w:left="220"/>
              <w:spacing w:after="0"/>
              <w:rPr>
                <w:sz w:val="20"/>
                <w:szCs w:val="20"/>
                <w:color w:val="auto"/>
              </w:rPr>
            </w:pPr>
            <w:r>
              <w:rPr>
                <w:rFonts w:ascii="Arial" w:cs="Arial" w:eastAsia="Arial" w:hAnsi="Arial"/>
                <w:sz w:val="18"/>
                <w:szCs w:val="18"/>
                <w:color w:val="auto"/>
              </w:rPr>
              <w:t>General Partner</w:t>
            </w:r>
          </w:p>
        </w:tc>
      </w:tr>
      <w:tr>
        <w:trPr>
          <w:trHeight w:val="392"/>
        </w:trPr>
        <w:tc>
          <w:tcPr>
            <w:tcW w:w="60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By:</w:t>
            </w: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8"/>
                <w:szCs w:val="18"/>
                <w:color w:val="auto"/>
              </w:rPr>
              <w:t>Scott D. Sandell</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20" w:type="dxa"/>
            <w:vAlign w:val="bottom"/>
            <w:gridSpan w:val="5"/>
          </w:tcPr>
          <w:p>
            <w:pPr>
              <w:ind w:left="60"/>
              <w:spacing w:after="0"/>
              <w:rPr>
                <w:sz w:val="20"/>
                <w:szCs w:val="20"/>
                <w:color w:val="auto"/>
              </w:rPr>
            </w:pPr>
            <w:r>
              <w:rPr>
                <w:rFonts w:ascii="Arial" w:cs="Arial" w:eastAsia="Arial" w:hAnsi="Arial"/>
                <w:sz w:val="18"/>
                <w:szCs w:val="18"/>
                <w:color w:val="auto"/>
              </w:rPr>
              <w:t>Manager</w:t>
            </w:r>
          </w:p>
        </w:tc>
      </w:tr>
      <w:tr>
        <w:trPr>
          <w:trHeight w:val="648"/>
        </w:trPr>
        <w:tc>
          <w:tcPr>
            <w:tcW w:w="1680" w:type="dxa"/>
            <w:vAlign w:val="bottom"/>
            <w:gridSpan w:val="3"/>
          </w:tcPr>
          <w:p>
            <w:pPr>
              <w:spacing w:after="0"/>
              <w:rPr>
                <w:sz w:val="20"/>
                <w:szCs w:val="20"/>
                <w:color w:val="auto"/>
              </w:rPr>
            </w:pPr>
            <w:r>
              <w:rPr>
                <w:rFonts w:ascii="Arial" w:cs="Arial" w:eastAsia="Arial" w:hAnsi="Arial"/>
                <w:sz w:val="18"/>
                <w:szCs w:val="18"/>
                <w:color w:val="auto"/>
              </w:rPr>
              <w:t>NEA 12 GP, LLC</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1"/>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6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6"/>
        </w:trPr>
        <w:tc>
          <w:tcPr>
            <w:tcW w:w="600" w:type="dxa"/>
            <w:vAlign w:val="bottom"/>
          </w:tcPr>
          <w:p>
            <w:pPr>
              <w:spacing w:after="0"/>
              <w:rPr>
                <w:sz w:val="20"/>
                <w:szCs w:val="20"/>
                <w:color w:val="auto"/>
              </w:rPr>
            </w:pPr>
          </w:p>
        </w:tc>
        <w:tc>
          <w:tcPr>
            <w:tcW w:w="3060" w:type="dxa"/>
            <w:vAlign w:val="bottom"/>
            <w:gridSpan w:val="6"/>
          </w:tcPr>
          <w:p>
            <w:pPr>
              <w:ind w:left="140"/>
              <w:spacing w:after="0"/>
              <w:rPr>
                <w:sz w:val="20"/>
                <w:szCs w:val="20"/>
                <w:color w:val="auto"/>
              </w:rPr>
            </w:pPr>
            <w:r>
              <w:rPr>
                <w:rFonts w:ascii="Arial" w:cs="Arial" w:eastAsia="Arial" w:hAnsi="Arial"/>
                <w:sz w:val="18"/>
                <w:szCs w:val="18"/>
                <w:color w:val="auto"/>
              </w:rPr>
              <w:t>Scott D. Sandell</w:t>
            </w:r>
          </w:p>
        </w:tc>
      </w:tr>
      <w:tr>
        <w:trPr>
          <w:trHeight w:val="230"/>
        </w:trPr>
        <w:tc>
          <w:tcPr>
            <w:tcW w:w="60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Manager</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51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Patrick J. Kerins</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51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 w:name="page5"/>
    <w:bookmarkEnd w:id="4"/>
    <w:p>
      <w:pPr>
        <w:ind w:left="80"/>
        <w:spacing w:after="0"/>
        <w:tabs>
          <w:tab w:leader="none" w:pos="5460" w:val="left"/>
          <w:tab w:leader="none" w:pos="9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311785</wp:posOffset>
            </wp:positionV>
            <wp:extent cx="235712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236601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5 of 11 Pages</w:t>
      </w:r>
    </w:p>
    <w:p>
      <w:pPr>
        <w:sectPr>
          <w:pgSz w:w="11900" w:h="16838" w:orient="portrait"/>
          <w:cols w:equalWidth="0" w:num="1">
            <w:col w:w="10980"/>
          </w:cols>
          <w:pgMar w:left="320" w:top="54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NEW ENTERPRISE ASSOCIATES 15, L.P.</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18"/>
                <w:szCs w:val="18"/>
                <w:color w:val="auto"/>
              </w:rPr>
            </w:pPr>
          </w:p>
        </w:tc>
        <w:tc>
          <w:tcPr>
            <w:tcW w:w="2600" w:type="dxa"/>
            <w:vAlign w:val="bottom"/>
            <w:gridSpan w:val="6"/>
          </w:tcPr>
          <w:p>
            <w:pPr>
              <w:spacing w:after="0"/>
              <w:rPr>
                <w:sz w:val="20"/>
                <w:szCs w:val="20"/>
                <w:color w:val="auto"/>
              </w:rPr>
            </w:pPr>
            <w:r>
              <w:rPr>
                <w:rFonts w:ascii="Arial" w:cs="Arial" w:eastAsia="Arial" w:hAnsi="Arial"/>
                <w:sz w:val="18"/>
                <w:szCs w:val="18"/>
                <w:color w:val="auto"/>
              </w:rPr>
              <w:t>NEA PARTNERS 15, L.P.</w:t>
            </w:r>
          </w:p>
        </w:tc>
      </w:tr>
      <w:tr>
        <w:trPr>
          <w:trHeight w:val="230"/>
        </w:trPr>
        <w:tc>
          <w:tcPr>
            <w:tcW w:w="360" w:type="dxa"/>
            <w:vAlign w:val="bottom"/>
          </w:tcPr>
          <w:p>
            <w:pPr>
              <w:spacing w:after="0"/>
              <w:rPr>
                <w:sz w:val="20"/>
                <w:szCs w:val="20"/>
                <w:color w:val="auto"/>
              </w:rPr>
            </w:pPr>
          </w:p>
        </w:tc>
        <w:tc>
          <w:tcPr>
            <w:tcW w:w="1920" w:type="dxa"/>
            <w:vAlign w:val="bottom"/>
            <w:gridSpan w:val="5"/>
          </w:tcPr>
          <w:p>
            <w:pPr>
              <w:ind w:left="140"/>
              <w:spacing w:after="0"/>
              <w:rPr>
                <w:sz w:val="20"/>
                <w:szCs w:val="20"/>
                <w:color w:val="auto"/>
              </w:rPr>
            </w:pPr>
            <w:r>
              <w:rPr>
                <w:rFonts w:ascii="Arial" w:cs="Arial" w:eastAsia="Arial" w:hAnsi="Arial"/>
                <w:sz w:val="18"/>
                <w:szCs w:val="18"/>
                <w:color w:val="auto"/>
              </w:rPr>
              <w:t>General Partner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1"/>
        </w:trPr>
        <w:tc>
          <w:tcPr>
            <w:tcW w:w="360" w:type="dxa"/>
            <w:vAlign w:val="bottom"/>
          </w:tcPr>
          <w:p>
            <w:pPr>
              <w:spacing w:after="0"/>
              <w:rPr>
                <w:sz w:val="24"/>
                <w:szCs w:val="24"/>
                <w:color w:val="auto"/>
              </w:rPr>
            </w:pPr>
          </w:p>
        </w:tc>
        <w:tc>
          <w:tcPr>
            <w:tcW w:w="1920" w:type="dxa"/>
            <w:vAlign w:val="bottom"/>
            <w:gridSpan w:val="5"/>
          </w:tcPr>
          <w:p>
            <w:pPr>
              <w:ind w:left="140"/>
              <w:spacing w:after="0"/>
              <w:rPr>
                <w:sz w:val="20"/>
                <w:szCs w:val="20"/>
                <w:color w:val="auto"/>
              </w:rPr>
            </w:pPr>
            <w:r>
              <w:rPr>
                <w:rFonts w:ascii="Arial" w:cs="Arial" w:eastAsia="Arial" w:hAnsi="Arial"/>
                <w:sz w:val="18"/>
                <w:szCs w:val="18"/>
                <w:color w:val="auto"/>
              </w:rPr>
              <w:t>By:  NEA 15 GP, LLC</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4"/>
          </w:tcPr>
          <w:p>
            <w:pPr>
              <w:ind w:left="200"/>
              <w:spacing w:after="0"/>
              <w:rPr>
                <w:sz w:val="20"/>
                <w:szCs w:val="20"/>
                <w:color w:val="auto"/>
              </w:rPr>
            </w:pPr>
            <w:r>
              <w:rPr>
                <w:rFonts w:ascii="Arial" w:cs="Arial" w:eastAsia="Arial" w:hAnsi="Arial"/>
                <w:sz w:val="18"/>
                <w:szCs w:val="18"/>
                <w:color w:val="auto"/>
              </w:rPr>
              <w:t>General Partner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07"/>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rPr>
              <w:t>By:</w:t>
            </w:r>
          </w:p>
        </w:tc>
        <w:tc>
          <w:tcPr>
            <w:tcW w:w="600" w:type="dxa"/>
            <w:vAlign w:val="bottom"/>
            <w:tcBorders>
              <w:bottom w:val="single" w:sz="8" w:color="auto"/>
            </w:tcBorders>
            <w:gridSpan w:val="3"/>
          </w:tcPr>
          <w:p>
            <w:pPr>
              <w:spacing w:after="0"/>
              <w:rPr>
                <w:sz w:val="24"/>
                <w:szCs w:val="24"/>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r>
      <w:tr>
        <w:trPr>
          <w:trHeight w:val="236"/>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ind w:left="1080"/>
              <w:spacing w:after="0"/>
              <w:rPr>
                <w:sz w:val="20"/>
                <w:szCs w:val="20"/>
                <w:color w:val="auto"/>
              </w:rPr>
            </w:pPr>
            <w:r>
              <w:rPr>
                <w:rFonts w:ascii="Arial" w:cs="Arial" w:eastAsia="Arial" w:hAnsi="Arial"/>
                <w:sz w:val="18"/>
                <w:szCs w:val="18"/>
                <w:color w:val="auto"/>
              </w:rPr>
              <w:t>Louis S. Citron</w:t>
            </w: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ind w:left="1060"/>
              <w:spacing w:after="0"/>
              <w:rPr>
                <w:sz w:val="20"/>
                <w:szCs w:val="20"/>
                <w:color w:val="auto"/>
              </w:rPr>
            </w:pPr>
            <w:r>
              <w:rPr>
                <w:rFonts w:ascii="Arial" w:cs="Arial" w:eastAsia="Arial" w:hAnsi="Arial"/>
                <w:sz w:val="18"/>
                <w:szCs w:val="18"/>
                <w:color w:val="auto"/>
              </w:rPr>
              <w:t>Chief Legal Officer</w:t>
            </w:r>
          </w:p>
        </w:tc>
      </w:tr>
      <w:tr>
        <w:trPr>
          <w:trHeight w:val="648"/>
        </w:trPr>
        <w:tc>
          <w:tcPr>
            <w:tcW w:w="2280" w:type="dxa"/>
            <w:vAlign w:val="bottom"/>
            <w:gridSpan w:val="6"/>
          </w:tcPr>
          <w:p>
            <w:pPr>
              <w:spacing w:after="0"/>
              <w:rPr>
                <w:sz w:val="20"/>
                <w:szCs w:val="20"/>
                <w:color w:val="auto"/>
              </w:rPr>
            </w:pPr>
            <w:r>
              <w:rPr>
                <w:rFonts w:ascii="Arial" w:cs="Arial" w:eastAsia="Arial" w:hAnsi="Arial"/>
                <w:sz w:val="18"/>
                <w:szCs w:val="18"/>
                <w:color w:val="auto"/>
              </w:rPr>
              <w:t>NEA PARTNERS 15, L.P.</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1"/>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gridSpan w:val="5"/>
          </w:tcPr>
          <w:p>
            <w:pPr>
              <w:jc w:val="right"/>
              <w:ind w:right="420"/>
              <w:spacing w:after="0"/>
              <w:rPr>
                <w:sz w:val="20"/>
                <w:szCs w:val="20"/>
                <w:color w:val="auto"/>
              </w:rPr>
            </w:pPr>
            <w:r>
              <w:rPr>
                <w:rFonts w:ascii="Arial" w:cs="Arial" w:eastAsia="Arial" w:hAnsi="Arial"/>
                <w:sz w:val="18"/>
                <w:szCs w:val="18"/>
                <w:color w:val="auto"/>
              </w:rPr>
              <w:t>NEA 15 GP, LLC</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1920" w:type="dxa"/>
            <w:vAlign w:val="bottom"/>
            <w:gridSpan w:val="5"/>
          </w:tcPr>
          <w:p>
            <w:pPr>
              <w:ind w:left="100"/>
              <w:spacing w:after="0"/>
              <w:rPr>
                <w:sz w:val="20"/>
                <w:szCs w:val="20"/>
                <w:color w:val="auto"/>
              </w:rPr>
            </w:pPr>
            <w:r>
              <w:rPr>
                <w:rFonts w:ascii="Arial" w:cs="Arial" w:eastAsia="Arial" w:hAnsi="Arial"/>
                <w:sz w:val="18"/>
                <w:szCs w:val="18"/>
                <w:color w:val="auto"/>
              </w:rPr>
              <w:t>General Partner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0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6"/>
        </w:trPr>
        <w:tc>
          <w:tcPr>
            <w:tcW w:w="360" w:type="dxa"/>
            <w:vAlign w:val="bottom"/>
          </w:tcPr>
          <w:p>
            <w:pPr>
              <w:spacing w:after="0"/>
              <w:rPr>
                <w:sz w:val="20"/>
                <w:szCs w:val="20"/>
                <w:color w:val="auto"/>
              </w:rPr>
            </w:pPr>
          </w:p>
        </w:tc>
        <w:tc>
          <w:tcPr>
            <w:tcW w:w="1920" w:type="dxa"/>
            <w:vAlign w:val="bottom"/>
            <w:gridSpan w:val="5"/>
          </w:tcPr>
          <w:p>
            <w:pPr>
              <w:ind w:left="240"/>
              <w:spacing w:after="0"/>
              <w:rPr>
                <w:sz w:val="20"/>
                <w:szCs w:val="20"/>
                <w:color w:val="auto"/>
              </w:rPr>
            </w:pPr>
            <w:r>
              <w:rPr>
                <w:rFonts w:ascii="Arial" w:cs="Arial" w:eastAsia="Arial" w:hAnsi="Arial"/>
                <w:sz w:val="18"/>
                <w:szCs w:val="18"/>
                <w:color w:val="auto"/>
              </w:rPr>
              <w:t>Louis S. Citron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color w:val="auto"/>
              </w:rPr>
              <w:t>Chief Legal Officer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864"/>
        </w:trPr>
        <w:tc>
          <w:tcPr>
            <w:tcW w:w="3200" w:type="dxa"/>
            <w:vAlign w:val="bottom"/>
            <w:gridSpan w:val="8"/>
          </w:tcPr>
          <w:p>
            <w:pPr>
              <w:spacing w:after="0"/>
              <w:rPr>
                <w:sz w:val="20"/>
                <w:szCs w:val="20"/>
                <w:color w:val="auto"/>
              </w:rPr>
            </w:pPr>
            <w:r>
              <w:rPr>
                <w:rFonts w:ascii="Arial" w:cs="Arial" w:eastAsia="Arial" w:hAnsi="Arial"/>
                <w:sz w:val="18"/>
                <w:szCs w:val="18"/>
                <w:color w:val="auto"/>
              </w:rPr>
              <w:t>NEA 15 OPPORTUNITY FUND, L.P.</w:t>
            </w:r>
          </w:p>
        </w:tc>
      </w:tr>
      <w:tr>
        <w:trPr>
          <w:trHeight w:val="431"/>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gridSpan w:val="7"/>
          </w:tcPr>
          <w:p>
            <w:pPr>
              <w:ind w:left="220"/>
              <w:spacing w:after="0"/>
              <w:rPr>
                <w:sz w:val="20"/>
                <w:szCs w:val="20"/>
                <w:color w:val="auto"/>
              </w:rPr>
            </w:pPr>
            <w:r>
              <w:rPr>
                <w:rFonts w:ascii="Arial" w:cs="Arial" w:eastAsia="Arial" w:hAnsi="Arial"/>
                <w:sz w:val="18"/>
                <w:szCs w:val="18"/>
                <w:color w:val="auto"/>
              </w:rPr>
              <w:t>NEA PARTNERS 15-OF, L.P.</w:t>
            </w:r>
          </w:p>
        </w:tc>
      </w:tr>
      <w:tr>
        <w:trPr>
          <w:trHeight w:val="230"/>
        </w:trPr>
        <w:tc>
          <w:tcPr>
            <w:tcW w:w="360" w:type="dxa"/>
            <w:vAlign w:val="bottom"/>
          </w:tcPr>
          <w:p>
            <w:pPr>
              <w:spacing w:after="0"/>
              <w:rPr>
                <w:sz w:val="20"/>
                <w:szCs w:val="20"/>
                <w:color w:val="auto"/>
              </w:rPr>
            </w:pPr>
          </w:p>
        </w:tc>
        <w:tc>
          <w:tcPr>
            <w:tcW w:w="1920" w:type="dxa"/>
            <w:vAlign w:val="bottom"/>
            <w:gridSpan w:val="5"/>
          </w:tcPr>
          <w:p>
            <w:pPr>
              <w:ind w:left="100"/>
              <w:spacing w:after="0"/>
              <w:rPr>
                <w:sz w:val="20"/>
                <w:szCs w:val="20"/>
                <w:color w:val="auto"/>
              </w:rPr>
            </w:pPr>
            <w:r>
              <w:rPr>
                <w:rFonts w:ascii="Arial" w:cs="Arial" w:eastAsia="Arial" w:hAnsi="Arial"/>
                <w:sz w:val="18"/>
                <w:szCs w:val="18"/>
                <w:color w:val="auto"/>
              </w:rPr>
              <w:t>General Partner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1"/>
        </w:trPr>
        <w:tc>
          <w:tcPr>
            <w:tcW w:w="360" w:type="dxa"/>
            <w:vAlign w:val="bottom"/>
          </w:tcPr>
          <w:p>
            <w:pPr>
              <w:spacing w:after="0"/>
              <w:rPr>
                <w:sz w:val="24"/>
                <w:szCs w:val="24"/>
                <w:color w:val="auto"/>
              </w:rPr>
            </w:pPr>
          </w:p>
        </w:tc>
        <w:tc>
          <w:tcPr>
            <w:tcW w:w="1920" w:type="dxa"/>
            <w:vAlign w:val="bottom"/>
            <w:gridSpan w:val="5"/>
          </w:tcPr>
          <w:p>
            <w:pPr>
              <w:ind w:left="100"/>
              <w:spacing w:after="0"/>
              <w:rPr>
                <w:sz w:val="20"/>
                <w:szCs w:val="20"/>
                <w:color w:val="auto"/>
              </w:rPr>
            </w:pPr>
            <w:r>
              <w:rPr>
                <w:rFonts w:ascii="Arial" w:cs="Arial" w:eastAsia="Arial" w:hAnsi="Arial"/>
                <w:sz w:val="18"/>
                <w:szCs w:val="18"/>
                <w:color w:val="auto"/>
              </w:rPr>
              <w:t>By:  NEA 15 GP, LLC</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8"/>
                <w:szCs w:val="18"/>
                <w:color w:val="auto"/>
                <w:w w:val="96"/>
              </w:rPr>
              <w:t>General Partner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07"/>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By:</w:t>
            </w:r>
          </w:p>
        </w:tc>
        <w:tc>
          <w:tcPr>
            <w:tcW w:w="580" w:type="dxa"/>
            <w:vAlign w:val="bottom"/>
            <w:tcBorders>
              <w:bottom w:val="single" w:sz="8" w:color="auto"/>
            </w:tcBorders>
            <w:gridSpan w:val="2"/>
          </w:tcPr>
          <w:p>
            <w:pPr>
              <w:spacing w:after="0"/>
              <w:rPr>
                <w:sz w:val="24"/>
                <w:szCs w:val="24"/>
                <w:color w:val="auto"/>
              </w:rPr>
            </w:pPr>
          </w:p>
        </w:tc>
        <w:tc>
          <w:tcPr>
            <w:tcW w:w="8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r>
      <w:tr>
        <w:trPr>
          <w:trHeight w:val="222"/>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6"/>
          </w:tcPr>
          <w:p>
            <w:pPr>
              <w:ind w:left="1060"/>
              <w:spacing w:after="0"/>
              <w:rPr>
                <w:sz w:val="20"/>
                <w:szCs w:val="20"/>
                <w:color w:val="auto"/>
              </w:rPr>
            </w:pPr>
            <w:r>
              <w:rPr>
                <w:rFonts w:ascii="Arial" w:cs="Arial" w:eastAsia="Arial" w:hAnsi="Arial"/>
                <w:sz w:val="18"/>
                <w:szCs w:val="18"/>
                <w:color w:val="auto"/>
              </w:rPr>
              <w:t>Louis S. Citron</w:t>
            </w: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ind w:left="1060"/>
              <w:spacing w:after="0"/>
              <w:rPr>
                <w:sz w:val="20"/>
                <w:szCs w:val="20"/>
                <w:color w:val="auto"/>
              </w:rPr>
            </w:pPr>
            <w:r>
              <w:rPr>
                <w:rFonts w:ascii="Arial" w:cs="Arial" w:eastAsia="Arial" w:hAnsi="Arial"/>
                <w:sz w:val="18"/>
                <w:szCs w:val="18"/>
                <w:color w:val="auto"/>
              </w:rPr>
              <w:t>Chief Legal Officer</w:t>
            </w:r>
          </w:p>
        </w:tc>
      </w:tr>
      <w:tr>
        <w:trPr>
          <w:trHeight w:val="864"/>
        </w:trPr>
        <w:tc>
          <w:tcPr>
            <w:tcW w:w="2280" w:type="dxa"/>
            <w:vAlign w:val="bottom"/>
            <w:gridSpan w:val="6"/>
          </w:tcPr>
          <w:p>
            <w:pPr>
              <w:spacing w:after="0"/>
              <w:rPr>
                <w:sz w:val="20"/>
                <w:szCs w:val="20"/>
                <w:color w:val="auto"/>
              </w:rPr>
            </w:pPr>
            <w:r>
              <w:rPr>
                <w:rFonts w:ascii="Arial" w:cs="Arial" w:eastAsia="Arial" w:hAnsi="Arial"/>
                <w:sz w:val="18"/>
                <w:szCs w:val="18"/>
                <w:color w:val="auto"/>
                <w:w w:val="94"/>
              </w:rPr>
              <w:t>NEA PARTNERS 15-OF, L.P.</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1"/>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gridSpan w:val="5"/>
          </w:tcPr>
          <w:p>
            <w:pPr>
              <w:ind w:left="220"/>
              <w:spacing w:after="0"/>
              <w:rPr>
                <w:sz w:val="20"/>
                <w:szCs w:val="20"/>
                <w:color w:val="auto"/>
              </w:rPr>
            </w:pPr>
            <w:r>
              <w:rPr>
                <w:rFonts w:ascii="Arial" w:cs="Arial" w:eastAsia="Arial" w:hAnsi="Arial"/>
                <w:sz w:val="18"/>
                <w:szCs w:val="18"/>
                <w:color w:val="auto"/>
              </w:rPr>
              <w:t>NEA 15 GP, LLC</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1920" w:type="dxa"/>
            <w:vAlign w:val="bottom"/>
            <w:gridSpan w:val="5"/>
          </w:tcPr>
          <w:p>
            <w:pPr>
              <w:ind w:left="100"/>
              <w:spacing w:after="0"/>
              <w:rPr>
                <w:sz w:val="20"/>
                <w:szCs w:val="20"/>
                <w:color w:val="auto"/>
              </w:rPr>
            </w:pPr>
            <w:r>
              <w:rPr>
                <w:rFonts w:ascii="Arial" w:cs="Arial" w:eastAsia="Arial" w:hAnsi="Arial"/>
                <w:sz w:val="18"/>
                <w:szCs w:val="18"/>
                <w:color w:val="auto"/>
              </w:rPr>
              <w:t>General Partner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07"/>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6"/>
        </w:trPr>
        <w:tc>
          <w:tcPr>
            <w:tcW w:w="360" w:type="dxa"/>
            <w:vAlign w:val="bottom"/>
          </w:tcPr>
          <w:p>
            <w:pPr>
              <w:spacing w:after="0"/>
              <w:rPr>
                <w:sz w:val="20"/>
                <w:szCs w:val="20"/>
                <w:color w:val="auto"/>
              </w:rPr>
            </w:pPr>
          </w:p>
        </w:tc>
        <w:tc>
          <w:tcPr>
            <w:tcW w:w="1920" w:type="dxa"/>
            <w:vAlign w:val="bottom"/>
            <w:gridSpan w:val="5"/>
          </w:tcPr>
          <w:p>
            <w:pPr>
              <w:ind w:left="240"/>
              <w:spacing w:after="0"/>
              <w:rPr>
                <w:sz w:val="20"/>
                <w:szCs w:val="20"/>
                <w:color w:val="auto"/>
              </w:rPr>
            </w:pPr>
            <w:r>
              <w:rPr>
                <w:rFonts w:ascii="Arial" w:cs="Arial" w:eastAsia="Arial" w:hAnsi="Arial"/>
                <w:sz w:val="18"/>
                <w:szCs w:val="18"/>
                <w:color w:val="auto"/>
              </w:rPr>
              <w:t>Louis S. Citron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color w:val="auto"/>
              </w:rPr>
              <w:t>Chief Legal Officer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891"/>
        </w:trPr>
        <w:tc>
          <w:tcPr>
            <w:tcW w:w="2280" w:type="dxa"/>
            <w:vAlign w:val="bottom"/>
            <w:gridSpan w:val="6"/>
          </w:tcPr>
          <w:p>
            <w:pPr>
              <w:spacing w:after="0"/>
              <w:rPr>
                <w:sz w:val="20"/>
                <w:szCs w:val="20"/>
                <w:color w:val="auto"/>
              </w:rPr>
            </w:pPr>
            <w:r>
              <w:rPr>
                <w:rFonts w:ascii="Arial" w:cs="Arial" w:eastAsia="Arial" w:hAnsi="Arial"/>
                <w:sz w:val="18"/>
                <w:szCs w:val="18"/>
                <w:color w:val="auto"/>
              </w:rPr>
              <w:t>NEA 15 GP, LLC</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6"/>
        </w:trPr>
        <w:tc>
          <w:tcPr>
            <w:tcW w:w="360" w:type="dxa"/>
            <w:vAlign w:val="bottom"/>
          </w:tcPr>
          <w:p>
            <w:pPr>
              <w:spacing w:after="0"/>
              <w:rPr>
                <w:sz w:val="20"/>
                <w:szCs w:val="20"/>
                <w:color w:val="auto"/>
              </w:rPr>
            </w:pPr>
          </w:p>
        </w:tc>
        <w:tc>
          <w:tcPr>
            <w:tcW w:w="1920" w:type="dxa"/>
            <w:vAlign w:val="bottom"/>
            <w:gridSpan w:val="5"/>
          </w:tcPr>
          <w:p>
            <w:pPr>
              <w:ind w:left="240"/>
              <w:spacing w:after="0"/>
              <w:rPr>
                <w:sz w:val="20"/>
                <w:szCs w:val="20"/>
                <w:color w:val="auto"/>
              </w:rPr>
            </w:pPr>
            <w:r>
              <w:rPr>
                <w:rFonts w:ascii="Arial" w:cs="Arial" w:eastAsia="Arial" w:hAnsi="Arial"/>
                <w:sz w:val="18"/>
                <w:szCs w:val="18"/>
                <w:color w:val="auto"/>
              </w:rPr>
              <w:t>Louis S. Citron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color w:val="auto"/>
              </w:rPr>
              <w:t>Chief Legal Officer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540" w:right="599" w:bottom="1440" w:gutter="0" w:footer="0" w:header="0"/>
          <w:type w:val="continuous"/>
        </w:sectPr>
      </w:pPr>
    </w:p>
    <w:bookmarkStart w:id="5" w:name="page6"/>
    <w:bookmarkEnd w:id="5"/>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236601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7"/>
          <w:szCs w:val="17"/>
          <w:b w:val="1"/>
          <w:bCs w:val="1"/>
          <w:color w:val="auto"/>
        </w:rPr>
        <w:t>CUSIP No. 039697107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Anthony A. Florence, Jr.</w:t>
      </w:r>
    </w:p>
    <w:p>
      <w:pPr>
        <w:spacing w:after="0" w:line="200" w:lineRule="exact"/>
        <w:rPr>
          <w:sz w:val="20"/>
          <w:szCs w:val="20"/>
          <w:color w:val="auto"/>
        </w:rPr>
      </w:pP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Mohamad H. Makhzoumi</w:t>
      </w: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Joshua Makower</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D. Sandell</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Peter W. Sonsini</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80" w:type="dxa"/>
        <w:tblCellMar>
          <w:top w:w="0" w:type="dxa"/>
          <w:left w:w="0" w:type="dxa"/>
          <w:bottom w:w="0" w:type="dxa"/>
          <w:right w:w="0" w:type="dxa"/>
        </w:tblCellMar>
      </w:tblPr>
      <w:tr>
        <w:trPr>
          <w:trHeight w:val="297"/>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6 of 11 Pages</w:t>
            </w:r>
          </w:p>
        </w:tc>
      </w:tr>
      <w:tr>
        <w:trPr>
          <w:trHeight w:val="68"/>
        </w:trPr>
        <w:tc>
          <w:tcPr>
            <w:tcW w:w="206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Sasha O.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89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Sasha O. Keough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attorney-in-fact</w:t>
      </w:r>
    </w:p>
    <w:p>
      <w:pPr>
        <w:spacing w:after="0" w:line="200" w:lineRule="exact"/>
        <w:rPr>
          <w:sz w:val="20"/>
          <w:szCs w:val="20"/>
          <w:color w:val="auto"/>
        </w:rPr>
      </w:pPr>
    </w:p>
    <w:p>
      <w:pPr>
        <w:sectPr>
          <w:pgSz w:w="11900" w:h="16838" w:orient="portrait"/>
          <w:cols w:equalWidth="0" w:num="2">
            <w:col w:w="3980" w:space="720"/>
            <w:col w:w="6540"/>
          </w:cols>
          <w:pgMar w:left="320" w:top="471" w:right="339" w:bottom="1440" w:gutter="0" w:footer="0" w:header="0"/>
        </w:sectPr>
      </w:pPr>
    </w:p>
    <w:p>
      <w:pPr>
        <w:spacing w:after="0" w:line="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Amendment No. 7 to Schedule 13D was executed by Sasha O. Keough on behalf of the individuals listed above pursuant to a Power of Attorney a copy of which is attached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039697107</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7 of 11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right="20" w:firstLine="810"/>
        <w:spacing w:after="0" w:line="342" w:lineRule="auto"/>
        <w:rPr>
          <w:sz w:val="20"/>
          <w:szCs w:val="20"/>
          <w:color w:val="auto"/>
        </w:rPr>
      </w:pPr>
      <w:r>
        <w:rPr>
          <w:rFonts w:ascii="Arial" w:cs="Arial" w:eastAsia="Arial" w:hAnsi="Arial"/>
          <w:sz w:val="16"/>
          <w:szCs w:val="16"/>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Ardelyx, Inc.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EXECUTED this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2021.</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NEW ENTERPRISE ASSOCIATES 12, Limited Partnership</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060" w:type="dxa"/>
            <w:vAlign w:val="bottom"/>
            <w:gridSpan w:val="5"/>
          </w:tcPr>
          <w:p>
            <w:pPr>
              <w:spacing w:after="0"/>
              <w:rPr>
                <w:sz w:val="20"/>
                <w:szCs w:val="20"/>
                <w:color w:val="auto"/>
              </w:rPr>
            </w:pPr>
            <w:r>
              <w:rPr>
                <w:rFonts w:ascii="Arial" w:cs="Arial" w:eastAsia="Arial" w:hAnsi="Arial"/>
                <w:sz w:val="18"/>
                <w:szCs w:val="18"/>
                <w:color w:val="auto"/>
                <w:w w:val="92"/>
              </w:rPr>
              <w:t>NEA PARTNERS 12, Limited Partnership</w:t>
            </w:r>
          </w:p>
        </w:tc>
      </w:tr>
      <w:tr>
        <w:trPr>
          <w:trHeight w:val="230"/>
        </w:trPr>
        <w:tc>
          <w:tcPr>
            <w:tcW w:w="600" w:type="dxa"/>
            <w:vAlign w:val="bottom"/>
          </w:tcPr>
          <w:p>
            <w:pPr>
              <w:spacing w:after="0"/>
              <w:rPr>
                <w:sz w:val="20"/>
                <w:szCs w:val="20"/>
                <w:color w:val="auto"/>
              </w:rPr>
            </w:pP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600" w:type="dxa"/>
            <w:vAlign w:val="bottom"/>
          </w:tcPr>
          <w:p>
            <w:pPr>
              <w:spacing w:after="0"/>
              <w:rPr>
                <w:sz w:val="24"/>
                <w:szCs w:val="24"/>
                <w:color w:val="auto"/>
              </w:rPr>
            </w:pPr>
          </w:p>
        </w:tc>
        <w:tc>
          <w:tcPr>
            <w:tcW w:w="3060" w:type="dxa"/>
            <w:vAlign w:val="bottom"/>
            <w:gridSpan w:val="5"/>
          </w:tcPr>
          <w:p>
            <w:pPr>
              <w:ind w:left="220"/>
              <w:spacing w:after="0"/>
              <w:rPr>
                <w:sz w:val="20"/>
                <w:szCs w:val="20"/>
                <w:color w:val="auto"/>
              </w:rPr>
            </w:pPr>
            <w:r>
              <w:rPr>
                <w:rFonts w:ascii="Arial" w:cs="Arial" w:eastAsia="Arial" w:hAnsi="Arial"/>
                <w:sz w:val="18"/>
                <w:szCs w:val="18"/>
                <w:color w:val="auto"/>
              </w:rPr>
              <w:t>By:  NEA 12 GP, LLC</w:t>
            </w:r>
          </w:p>
        </w:tc>
      </w:tr>
      <w:tr>
        <w:trPr>
          <w:trHeight w:val="230"/>
        </w:trPr>
        <w:tc>
          <w:tcPr>
            <w:tcW w:w="600" w:type="dxa"/>
            <w:vAlign w:val="bottom"/>
          </w:tcPr>
          <w:p>
            <w:pPr>
              <w:spacing w:after="0"/>
              <w:rPr>
                <w:sz w:val="20"/>
                <w:szCs w:val="20"/>
                <w:color w:val="auto"/>
              </w:rPr>
            </w:pPr>
          </w:p>
        </w:tc>
        <w:tc>
          <w:tcPr>
            <w:tcW w:w="3060" w:type="dxa"/>
            <w:vAlign w:val="bottom"/>
            <w:gridSpan w:val="5"/>
          </w:tcPr>
          <w:p>
            <w:pPr>
              <w:ind w:left="700"/>
              <w:spacing w:after="0"/>
              <w:rPr>
                <w:sz w:val="20"/>
                <w:szCs w:val="20"/>
                <w:color w:val="auto"/>
              </w:rPr>
            </w:pPr>
            <w:r>
              <w:rPr>
                <w:rFonts w:ascii="Arial" w:cs="Arial" w:eastAsia="Arial" w:hAnsi="Arial"/>
                <w:sz w:val="18"/>
                <w:szCs w:val="18"/>
                <w:color w:val="auto"/>
              </w:rPr>
              <w:t>General Partner</w:t>
            </w:r>
          </w:p>
        </w:tc>
      </w:tr>
      <w:tr>
        <w:trPr>
          <w:trHeight w:val="392"/>
        </w:trPr>
        <w:tc>
          <w:tcPr>
            <w:tcW w:w="600" w:type="dxa"/>
            <w:vAlign w:val="bottom"/>
          </w:tcPr>
          <w:p>
            <w:pPr>
              <w:spacing w:after="0"/>
              <w:rPr>
                <w:sz w:val="24"/>
                <w:szCs w:val="24"/>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gridSpan w:val="2"/>
          </w:tcPr>
          <w:p>
            <w:pPr>
              <w:spacing w:after="0"/>
              <w:rPr>
                <w:sz w:val="24"/>
                <w:szCs w:val="24"/>
                <w:color w:val="auto"/>
              </w:rPr>
            </w:pPr>
          </w:p>
        </w:tc>
        <w:tc>
          <w:tcPr>
            <w:tcW w:w="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40" w:type="dxa"/>
            <w:vAlign w:val="bottom"/>
            <w:gridSpan w:val="3"/>
          </w:tcPr>
          <w:p>
            <w:pPr>
              <w:ind w:left="20"/>
              <w:spacing w:after="0"/>
              <w:rPr>
                <w:sz w:val="20"/>
                <w:szCs w:val="20"/>
                <w:color w:val="auto"/>
              </w:rPr>
            </w:pPr>
            <w:r>
              <w:rPr>
                <w:rFonts w:ascii="Arial" w:cs="Arial" w:eastAsia="Arial" w:hAnsi="Arial"/>
                <w:sz w:val="18"/>
                <w:szCs w:val="18"/>
                <w:color w:val="auto"/>
              </w:rPr>
              <w:t>Scott D. Sandell</w:t>
            </w:r>
          </w:p>
        </w:tc>
      </w:tr>
      <w:tr>
        <w:trPr>
          <w:trHeight w:val="230"/>
        </w:trPr>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40" w:type="dxa"/>
            <w:vAlign w:val="bottom"/>
            <w:gridSpan w:val="3"/>
          </w:tcPr>
          <w:p>
            <w:pPr>
              <w:ind w:left="20"/>
              <w:spacing w:after="0"/>
              <w:rPr>
                <w:sz w:val="20"/>
                <w:szCs w:val="20"/>
                <w:color w:val="auto"/>
              </w:rPr>
            </w:pPr>
            <w:r>
              <w:rPr>
                <w:rFonts w:ascii="Arial" w:cs="Arial" w:eastAsia="Arial" w:hAnsi="Arial"/>
                <w:sz w:val="18"/>
                <w:szCs w:val="18"/>
                <w:color w:val="auto"/>
              </w:rPr>
              <w:t>Manager</w:t>
            </w:r>
          </w:p>
        </w:tc>
      </w:tr>
      <w:tr>
        <w:trPr>
          <w:trHeight w:val="648"/>
        </w:trPr>
        <w:tc>
          <w:tcPr>
            <w:tcW w:w="3660" w:type="dxa"/>
            <w:vAlign w:val="bottom"/>
            <w:gridSpan w:val="6"/>
          </w:tcPr>
          <w:p>
            <w:pPr>
              <w:spacing w:after="0"/>
              <w:rPr>
                <w:sz w:val="20"/>
                <w:szCs w:val="20"/>
                <w:color w:val="auto"/>
              </w:rPr>
            </w:pPr>
            <w:r>
              <w:rPr>
                <w:rFonts w:ascii="Arial" w:cs="Arial" w:eastAsia="Arial" w:hAnsi="Arial"/>
                <w:sz w:val="18"/>
                <w:szCs w:val="18"/>
                <w:color w:val="auto"/>
              </w:rPr>
              <w:t>NEA PARTNERS 12, Limited Partnership</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95"/>
              </w:rPr>
              <w:t>NEA 12 GP, LLC</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600" w:type="dxa"/>
            <w:vAlign w:val="bottom"/>
          </w:tcPr>
          <w:p>
            <w:pPr>
              <w:spacing w:after="0"/>
              <w:rPr>
                <w:sz w:val="20"/>
                <w:szCs w:val="20"/>
                <w:color w:val="auto"/>
              </w:rPr>
            </w:pP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91"/>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6"/>
        </w:trPr>
        <w:tc>
          <w:tcPr>
            <w:tcW w:w="600" w:type="dxa"/>
            <w:vAlign w:val="bottom"/>
          </w:tcPr>
          <w:p>
            <w:pPr>
              <w:spacing w:after="0"/>
              <w:rPr>
                <w:sz w:val="20"/>
                <w:szCs w:val="20"/>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Scott D. Sandell</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600" w:type="dxa"/>
            <w:vAlign w:val="bottom"/>
          </w:tcPr>
          <w:p>
            <w:pPr>
              <w:spacing w:after="0"/>
              <w:rPr>
                <w:sz w:val="20"/>
                <w:szCs w:val="20"/>
                <w:color w:val="auto"/>
              </w:rPr>
            </w:pPr>
          </w:p>
        </w:tc>
        <w:tc>
          <w:tcPr>
            <w:tcW w:w="1540" w:type="dxa"/>
            <w:vAlign w:val="bottom"/>
            <w:gridSpan w:val="3"/>
          </w:tcPr>
          <w:p>
            <w:pPr>
              <w:ind w:left="160"/>
              <w:spacing w:after="0"/>
              <w:rPr>
                <w:sz w:val="20"/>
                <w:szCs w:val="20"/>
                <w:color w:val="auto"/>
              </w:rPr>
            </w:pPr>
            <w:r>
              <w:rPr>
                <w:rFonts w:ascii="Arial" w:cs="Arial" w:eastAsia="Arial" w:hAnsi="Arial"/>
                <w:sz w:val="18"/>
                <w:szCs w:val="18"/>
                <w:color w:val="auto"/>
              </w:rPr>
              <w:t>Manager</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48"/>
        </w:trPr>
        <w:tc>
          <w:tcPr>
            <w:tcW w:w="2140" w:type="dxa"/>
            <w:vAlign w:val="bottom"/>
            <w:gridSpan w:val="4"/>
          </w:tcPr>
          <w:p>
            <w:pPr>
              <w:spacing w:after="0"/>
              <w:rPr>
                <w:sz w:val="20"/>
                <w:szCs w:val="20"/>
                <w:color w:val="auto"/>
              </w:rPr>
            </w:pPr>
            <w:r>
              <w:rPr>
                <w:rFonts w:ascii="Arial" w:cs="Arial" w:eastAsia="Arial" w:hAnsi="Arial"/>
                <w:sz w:val="18"/>
                <w:szCs w:val="18"/>
                <w:color w:val="auto"/>
              </w:rPr>
              <w:t>NEA 12 GP, LLC</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6"/>
        </w:trPr>
        <w:tc>
          <w:tcPr>
            <w:tcW w:w="600" w:type="dxa"/>
            <w:vAlign w:val="bottom"/>
          </w:tcPr>
          <w:p>
            <w:pPr>
              <w:spacing w:after="0"/>
              <w:rPr>
                <w:sz w:val="20"/>
                <w:szCs w:val="20"/>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Scott D. Sandell</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600" w:type="dxa"/>
            <w:vAlign w:val="bottom"/>
          </w:tcPr>
          <w:p>
            <w:pPr>
              <w:spacing w:after="0"/>
              <w:rPr>
                <w:sz w:val="20"/>
                <w:szCs w:val="20"/>
                <w:color w:val="auto"/>
              </w:rPr>
            </w:pPr>
          </w:p>
        </w:tc>
        <w:tc>
          <w:tcPr>
            <w:tcW w:w="1540" w:type="dxa"/>
            <w:vAlign w:val="bottom"/>
            <w:gridSpan w:val="3"/>
          </w:tcPr>
          <w:p>
            <w:pPr>
              <w:ind w:left="160"/>
              <w:spacing w:after="0"/>
              <w:rPr>
                <w:sz w:val="20"/>
                <w:szCs w:val="20"/>
                <w:color w:val="auto"/>
              </w:rPr>
            </w:pPr>
            <w:r>
              <w:rPr>
                <w:rFonts w:ascii="Arial" w:cs="Arial" w:eastAsia="Arial" w:hAnsi="Arial"/>
                <w:sz w:val="18"/>
                <w:szCs w:val="18"/>
                <w:color w:val="auto"/>
              </w:rPr>
              <w:t>Manager</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51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Patrick J. Kerins</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51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7" w:name="page8"/>
    <w:bookmarkEnd w:id="7"/>
    <w:p>
      <w:pPr>
        <w:ind w:left="80"/>
        <w:spacing w:after="0"/>
        <w:tabs>
          <w:tab w:leader="none" w:pos="5460" w:val="left"/>
          <w:tab w:leader="none" w:pos="9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311785</wp:posOffset>
            </wp:positionV>
            <wp:extent cx="235712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236601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8 of 11 Pages</w:t>
      </w:r>
    </w:p>
    <w:p>
      <w:pPr>
        <w:sectPr>
          <w:pgSz w:w="11900" w:h="16838" w:orient="portrait"/>
          <w:cols w:equalWidth="0" w:num="1">
            <w:col w:w="11240"/>
          </w:cols>
          <w:pgMar w:left="320" w:top="540" w:right="339"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NEW ENTERPRISE ASSOCIATES 15, L.P.</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10880" w:type="dxa"/>
            <w:vAlign w:val="bottom"/>
            <w:gridSpan w:val="8"/>
          </w:tcPr>
          <w:p>
            <w:pPr>
              <w:ind w:left="220"/>
              <w:spacing w:after="0"/>
              <w:rPr>
                <w:sz w:val="20"/>
                <w:szCs w:val="20"/>
                <w:color w:val="auto"/>
              </w:rPr>
            </w:pPr>
            <w:r>
              <w:rPr>
                <w:rFonts w:ascii="Arial" w:cs="Arial" w:eastAsia="Arial" w:hAnsi="Arial"/>
                <w:sz w:val="18"/>
                <w:szCs w:val="18"/>
                <w:color w:val="auto"/>
              </w:rPr>
              <w:t>NEA PARTNERS 15, L.P.</w:t>
            </w:r>
          </w:p>
        </w:tc>
      </w:tr>
      <w:tr>
        <w:trPr>
          <w:trHeight w:val="230"/>
        </w:trPr>
        <w:tc>
          <w:tcPr>
            <w:tcW w:w="360" w:type="dxa"/>
            <w:vAlign w:val="bottom"/>
          </w:tcPr>
          <w:p>
            <w:pPr>
              <w:spacing w:after="0"/>
              <w:rPr>
                <w:sz w:val="20"/>
                <w:szCs w:val="20"/>
                <w:color w:val="auto"/>
              </w:rPr>
            </w:pPr>
          </w:p>
        </w:tc>
        <w:tc>
          <w:tcPr>
            <w:tcW w:w="1920" w:type="dxa"/>
            <w:vAlign w:val="bottom"/>
            <w:gridSpan w:val="5"/>
          </w:tcPr>
          <w:p>
            <w:pPr>
              <w:ind w:left="100"/>
              <w:spacing w:after="0"/>
              <w:rPr>
                <w:sz w:val="20"/>
                <w:szCs w:val="20"/>
                <w:color w:val="auto"/>
              </w:rPr>
            </w:pPr>
            <w:r>
              <w:rPr>
                <w:rFonts w:ascii="Arial" w:cs="Arial" w:eastAsia="Arial" w:hAnsi="Arial"/>
                <w:sz w:val="18"/>
                <w:szCs w:val="18"/>
                <w:color w:val="auto"/>
              </w:rPr>
              <w:t>General Partner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431"/>
        </w:trPr>
        <w:tc>
          <w:tcPr>
            <w:tcW w:w="360" w:type="dxa"/>
            <w:vAlign w:val="bottom"/>
          </w:tcPr>
          <w:p>
            <w:pPr>
              <w:spacing w:after="0"/>
              <w:rPr>
                <w:sz w:val="24"/>
                <w:szCs w:val="24"/>
                <w:color w:val="auto"/>
              </w:rPr>
            </w:pPr>
          </w:p>
        </w:tc>
        <w:tc>
          <w:tcPr>
            <w:tcW w:w="1920" w:type="dxa"/>
            <w:vAlign w:val="bottom"/>
            <w:gridSpan w:val="5"/>
          </w:tcPr>
          <w:p>
            <w:pPr>
              <w:ind w:left="140"/>
              <w:spacing w:after="0"/>
              <w:rPr>
                <w:sz w:val="20"/>
                <w:szCs w:val="20"/>
                <w:color w:val="auto"/>
              </w:rPr>
            </w:pPr>
            <w:r>
              <w:rPr>
                <w:rFonts w:ascii="Arial" w:cs="Arial" w:eastAsia="Arial" w:hAnsi="Arial"/>
                <w:sz w:val="18"/>
                <w:szCs w:val="18"/>
                <w:color w:val="auto"/>
              </w:rPr>
              <w:t>By:  NEA 15 GP, LLC</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8"/>
                <w:szCs w:val="18"/>
                <w:color w:val="auto"/>
                <w:w w:val="96"/>
              </w:rPr>
              <w:t>General Partner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608"/>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rPr>
              <w:t>By:</w:t>
            </w:r>
          </w:p>
        </w:tc>
        <w:tc>
          <w:tcPr>
            <w:tcW w:w="600" w:type="dxa"/>
            <w:vAlign w:val="bottom"/>
            <w:tcBorders>
              <w:bottom w:val="single" w:sz="8" w:color="auto"/>
            </w:tcBorders>
            <w:gridSpan w:val="3"/>
          </w:tcPr>
          <w:p>
            <w:pPr>
              <w:spacing w:after="0"/>
              <w:rPr>
                <w:sz w:val="24"/>
                <w:szCs w:val="24"/>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8040" w:type="dxa"/>
            <w:vAlign w:val="bottom"/>
          </w:tcPr>
          <w:p>
            <w:pPr>
              <w:spacing w:after="0"/>
              <w:rPr>
                <w:sz w:val="24"/>
                <w:szCs w:val="24"/>
                <w:color w:val="auto"/>
              </w:rPr>
            </w:pPr>
          </w:p>
        </w:tc>
      </w:tr>
      <w:tr>
        <w:trPr>
          <w:trHeight w:val="236"/>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40" w:type="dxa"/>
            <w:vAlign w:val="bottom"/>
            <w:gridSpan w:val="7"/>
          </w:tcPr>
          <w:p>
            <w:pPr>
              <w:ind w:left="1080"/>
              <w:spacing w:after="0"/>
              <w:rPr>
                <w:sz w:val="20"/>
                <w:szCs w:val="20"/>
                <w:color w:val="auto"/>
              </w:rPr>
            </w:pPr>
            <w:r>
              <w:rPr>
                <w:rFonts w:ascii="Arial" w:cs="Arial" w:eastAsia="Arial" w:hAnsi="Arial"/>
                <w:sz w:val="18"/>
                <w:szCs w:val="18"/>
                <w:color w:val="auto"/>
              </w:rPr>
              <w:t>Louis S. Citron</w:t>
            </w: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40" w:type="dxa"/>
            <w:vAlign w:val="bottom"/>
            <w:gridSpan w:val="7"/>
          </w:tcPr>
          <w:p>
            <w:pPr>
              <w:ind w:left="1060"/>
              <w:spacing w:after="0"/>
              <w:rPr>
                <w:sz w:val="20"/>
                <w:szCs w:val="20"/>
                <w:color w:val="auto"/>
              </w:rPr>
            </w:pPr>
            <w:r>
              <w:rPr>
                <w:rFonts w:ascii="Arial" w:cs="Arial" w:eastAsia="Arial" w:hAnsi="Arial"/>
                <w:sz w:val="18"/>
                <w:szCs w:val="18"/>
                <w:color w:val="auto"/>
              </w:rPr>
              <w:t>Chief Legal Officer</w:t>
            </w:r>
          </w:p>
        </w:tc>
      </w:tr>
      <w:tr>
        <w:trPr>
          <w:trHeight w:val="648"/>
        </w:trPr>
        <w:tc>
          <w:tcPr>
            <w:tcW w:w="2280" w:type="dxa"/>
            <w:vAlign w:val="bottom"/>
            <w:gridSpan w:val="6"/>
          </w:tcPr>
          <w:p>
            <w:pPr>
              <w:spacing w:after="0"/>
              <w:rPr>
                <w:sz w:val="20"/>
                <w:szCs w:val="20"/>
                <w:color w:val="auto"/>
              </w:rPr>
            </w:pPr>
            <w:r>
              <w:rPr>
                <w:rFonts w:ascii="Arial" w:cs="Arial" w:eastAsia="Arial" w:hAnsi="Arial"/>
                <w:sz w:val="18"/>
                <w:szCs w:val="18"/>
                <w:color w:val="auto"/>
              </w:rPr>
              <w:t>NEA PARTNERS 15, L.P.</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31"/>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gridSpan w:val="5"/>
          </w:tcPr>
          <w:p>
            <w:pPr>
              <w:jc w:val="right"/>
              <w:ind w:right="420"/>
              <w:spacing w:after="0"/>
              <w:rPr>
                <w:sz w:val="20"/>
                <w:szCs w:val="20"/>
                <w:color w:val="auto"/>
              </w:rPr>
            </w:pPr>
            <w:r>
              <w:rPr>
                <w:rFonts w:ascii="Arial" w:cs="Arial" w:eastAsia="Arial" w:hAnsi="Arial"/>
                <w:sz w:val="18"/>
                <w:szCs w:val="18"/>
                <w:color w:val="auto"/>
              </w:rPr>
              <w:t>NEA 15 GP, LLC</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1920" w:type="dxa"/>
            <w:vAlign w:val="bottom"/>
            <w:gridSpan w:val="5"/>
          </w:tcPr>
          <w:p>
            <w:pPr>
              <w:ind w:left="100"/>
              <w:spacing w:after="0"/>
              <w:rPr>
                <w:sz w:val="20"/>
                <w:szCs w:val="20"/>
                <w:color w:val="auto"/>
              </w:rPr>
            </w:pPr>
            <w:r>
              <w:rPr>
                <w:rFonts w:ascii="Arial" w:cs="Arial" w:eastAsia="Arial" w:hAnsi="Arial"/>
                <w:sz w:val="18"/>
                <w:szCs w:val="18"/>
                <w:color w:val="auto"/>
              </w:rPr>
              <w:t>General Partner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60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236"/>
        </w:trPr>
        <w:tc>
          <w:tcPr>
            <w:tcW w:w="360" w:type="dxa"/>
            <w:vAlign w:val="bottom"/>
          </w:tcPr>
          <w:p>
            <w:pPr>
              <w:spacing w:after="0"/>
              <w:rPr>
                <w:sz w:val="20"/>
                <w:szCs w:val="20"/>
                <w:color w:val="auto"/>
              </w:rPr>
            </w:pPr>
          </w:p>
        </w:tc>
        <w:tc>
          <w:tcPr>
            <w:tcW w:w="1920" w:type="dxa"/>
            <w:vAlign w:val="bottom"/>
            <w:gridSpan w:val="5"/>
          </w:tcPr>
          <w:p>
            <w:pPr>
              <w:ind w:left="240"/>
              <w:spacing w:after="0"/>
              <w:rPr>
                <w:sz w:val="20"/>
                <w:szCs w:val="20"/>
                <w:color w:val="auto"/>
              </w:rPr>
            </w:pPr>
            <w:r>
              <w:rPr>
                <w:rFonts w:ascii="Arial" w:cs="Arial" w:eastAsia="Arial" w:hAnsi="Arial"/>
                <w:sz w:val="18"/>
                <w:szCs w:val="18"/>
                <w:color w:val="auto"/>
              </w:rPr>
              <w:t>Louis S. Citron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color w:val="auto"/>
              </w:rPr>
              <w:t>Chief Legal Officer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864"/>
        </w:trPr>
        <w:tc>
          <w:tcPr>
            <w:tcW w:w="11240" w:type="dxa"/>
            <w:vAlign w:val="bottom"/>
            <w:gridSpan w:val="9"/>
          </w:tcPr>
          <w:p>
            <w:pPr>
              <w:spacing w:after="0"/>
              <w:rPr>
                <w:sz w:val="20"/>
                <w:szCs w:val="20"/>
                <w:color w:val="auto"/>
              </w:rPr>
            </w:pPr>
            <w:r>
              <w:rPr>
                <w:rFonts w:ascii="Arial" w:cs="Arial" w:eastAsia="Arial" w:hAnsi="Arial"/>
                <w:sz w:val="18"/>
                <w:szCs w:val="18"/>
                <w:color w:val="auto"/>
              </w:rPr>
              <w:t>NEA 15 OPPORTUNITY FUND, L.P.</w:t>
            </w:r>
          </w:p>
        </w:tc>
      </w:tr>
      <w:tr>
        <w:trPr>
          <w:trHeight w:val="431"/>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10880" w:type="dxa"/>
            <w:vAlign w:val="bottom"/>
            <w:gridSpan w:val="8"/>
          </w:tcPr>
          <w:p>
            <w:pPr>
              <w:ind w:left="220"/>
              <w:spacing w:after="0"/>
              <w:rPr>
                <w:sz w:val="20"/>
                <w:szCs w:val="20"/>
                <w:color w:val="auto"/>
              </w:rPr>
            </w:pPr>
            <w:r>
              <w:rPr>
                <w:rFonts w:ascii="Arial" w:cs="Arial" w:eastAsia="Arial" w:hAnsi="Arial"/>
                <w:sz w:val="18"/>
                <w:szCs w:val="18"/>
                <w:color w:val="auto"/>
              </w:rPr>
              <w:t>NEA PARTNERS 15-OF, L.P.</w:t>
            </w:r>
          </w:p>
        </w:tc>
      </w:tr>
      <w:tr>
        <w:trPr>
          <w:trHeight w:val="230"/>
        </w:trPr>
        <w:tc>
          <w:tcPr>
            <w:tcW w:w="360" w:type="dxa"/>
            <w:vAlign w:val="bottom"/>
          </w:tcPr>
          <w:p>
            <w:pPr>
              <w:spacing w:after="0"/>
              <w:rPr>
                <w:sz w:val="20"/>
                <w:szCs w:val="20"/>
                <w:color w:val="auto"/>
              </w:rPr>
            </w:pPr>
          </w:p>
        </w:tc>
        <w:tc>
          <w:tcPr>
            <w:tcW w:w="1920" w:type="dxa"/>
            <w:vAlign w:val="bottom"/>
            <w:gridSpan w:val="5"/>
          </w:tcPr>
          <w:p>
            <w:pPr>
              <w:ind w:left="100"/>
              <w:spacing w:after="0"/>
              <w:rPr>
                <w:sz w:val="20"/>
                <w:szCs w:val="20"/>
                <w:color w:val="auto"/>
              </w:rPr>
            </w:pPr>
            <w:r>
              <w:rPr>
                <w:rFonts w:ascii="Arial" w:cs="Arial" w:eastAsia="Arial" w:hAnsi="Arial"/>
                <w:sz w:val="18"/>
                <w:szCs w:val="18"/>
                <w:color w:val="auto"/>
              </w:rPr>
              <w:t>General Partner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431"/>
        </w:trPr>
        <w:tc>
          <w:tcPr>
            <w:tcW w:w="360" w:type="dxa"/>
            <w:vAlign w:val="bottom"/>
          </w:tcPr>
          <w:p>
            <w:pPr>
              <w:spacing w:after="0"/>
              <w:rPr>
                <w:sz w:val="24"/>
                <w:szCs w:val="24"/>
                <w:color w:val="auto"/>
              </w:rPr>
            </w:pPr>
          </w:p>
        </w:tc>
        <w:tc>
          <w:tcPr>
            <w:tcW w:w="1920" w:type="dxa"/>
            <w:vAlign w:val="bottom"/>
            <w:gridSpan w:val="5"/>
          </w:tcPr>
          <w:p>
            <w:pPr>
              <w:ind w:left="100"/>
              <w:spacing w:after="0"/>
              <w:rPr>
                <w:sz w:val="20"/>
                <w:szCs w:val="20"/>
                <w:color w:val="auto"/>
              </w:rPr>
            </w:pPr>
            <w:r>
              <w:rPr>
                <w:rFonts w:ascii="Arial" w:cs="Arial" w:eastAsia="Arial" w:hAnsi="Arial"/>
                <w:sz w:val="18"/>
                <w:szCs w:val="18"/>
                <w:color w:val="auto"/>
              </w:rPr>
              <w:t>By:  NEA 15 GP, LLC</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8"/>
                <w:szCs w:val="18"/>
                <w:color w:val="auto"/>
                <w:w w:val="96"/>
              </w:rPr>
              <w:t>General Partner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608"/>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By:</w:t>
            </w:r>
          </w:p>
        </w:tc>
        <w:tc>
          <w:tcPr>
            <w:tcW w:w="580" w:type="dxa"/>
            <w:vAlign w:val="bottom"/>
            <w:tcBorders>
              <w:bottom w:val="single" w:sz="8" w:color="auto"/>
            </w:tcBorders>
            <w:gridSpan w:val="2"/>
          </w:tcPr>
          <w:p>
            <w:pPr>
              <w:spacing w:after="0"/>
              <w:rPr>
                <w:sz w:val="24"/>
                <w:szCs w:val="24"/>
                <w:color w:val="auto"/>
              </w:rPr>
            </w:pPr>
          </w:p>
        </w:tc>
        <w:tc>
          <w:tcPr>
            <w:tcW w:w="8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222"/>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40" w:type="dxa"/>
            <w:vAlign w:val="bottom"/>
            <w:gridSpan w:val="7"/>
          </w:tcPr>
          <w:p>
            <w:pPr>
              <w:ind w:left="1060"/>
              <w:spacing w:after="0"/>
              <w:rPr>
                <w:sz w:val="20"/>
                <w:szCs w:val="20"/>
                <w:color w:val="auto"/>
              </w:rPr>
            </w:pPr>
            <w:r>
              <w:rPr>
                <w:rFonts w:ascii="Arial" w:cs="Arial" w:eastAsia="Arial" w:hAnsi="Arial"/>
                <w:sz w:val="18"/>
                <w:szCs w:val="18"/>
                <w:color w:val="auto"/>
              </w:rPr>
              <w:t>Louis S. Citron</w:t>
            </w: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40" w:type="dxa"/>
            <w:vAlign w:val="bottom"/>
            <w:gridSpan w:val="7"/>
          </w:tcPr>
          <w:p>
            <w:pPr>
              <w:ind w:left="1060"/>
              <w:spacing w:after="0"/>
              <w:rPr>
                <w:sz w:val="20"/>
                <w:szCs w:val="20"/>
                <w:color w:val="auto"/>
              </w:rPr>
            </w:pPr>
            <w:r>
              <w:rPr>
                <w:rFonts w:ascii="Arial" w:cs="Arial" w:eastAsia="Arial" w:hAnsi="Arial"/>
                <w:sz w:val="18"/>
                <w:szCs w:val="18"/>
                <w:color w:val="auto"/>
              </w:rPr>
              <w:t>Chief Legal Officer</w:t>
            </w:r>
          </w:p>
        </w:tc>
      </w:tr>
      <w:tr>
        <w:trPr>
          <w:trHeight w:val="864"/>
        </w:trPr>
        <w:tc>
          <w:tcPr>
            <w:tcW w:w="2280" w:type="dxa"/>
            <w:vAlign w:val="bottom"/>
            <w:gridSpan w:val="6"/>
          </w:tcPr>
          <w:p>
            <w:pPr>
              <w:spacing w:after="0"/>
              <w:rPr>
                <w:sz w:val="20"/>
                <w:szCs w:val="20"/>
                <w:color w:val="auto"/>
              </w:rPr>
            </w:pPr>
            <w:r>
              <w:rPr>
                <w:rFonts w:ascii="Arial" w:cs="Arial" w:eastAsia="Arial" w:hAnsi="Arial"/>
                <w:sz w:val="18"/>
                <w:szCs w:val="18"/>
                <w:color w:val="auto"/>
                <w:w w:val="94"/>
              </w:rPr>
              <w:t>NEA PARTNERS 15-OF, L.P.</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31"/>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NEA 15 GP, LLC</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1920" w:type="dxa"/>
            <w:vAlign w:val="bottom"/>
            <w:gridSpan w:val="5"/>
          </w:tcPr>
          <w:p>
            <w:pPr>
              <w:ind w:left="100"/>
              <w:spacing w:after="0"/>
              <w:rPr>
                <w:sz w:val="20"/>
                <w:szCs w:val="20"/>
                <w:color w:val="auto"/>
              </w:rPr>
            </w:pPr>
            <w:r>
              <w:rPr>
                <w:rFonts w:ascii="Arial" w:cs="Arial" w:eastAsia="Arial" w:hAnsi="Arial"/>
                <w:sz w:val="18"/>
                <w:szCs w:val="18"/>
                <w:color w:val="auto"/>
              </w:rPr>
              <w:t>General Partner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607"/>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236"/>
        </w:trPr>
        <w:tc>
          <w:tcPr>
            <w:tcW w:w="360" w:type="dxa"/>
            <w:vAlign w:val="bottom"/>
          </w:tcPr>
          <w:p>
            <w:pPr>
              <w:spacing w:after="0"/>
              <w:rPr>
                <w:sz w:val="20"/>
                <w:szCs w:val="20"/>
                <w:color w:val="auto"/>
              </w:rPr>
            </w:pPr>
          </w:p>
        </w:tc>
        <w:tc>
          <w:tcPr>
            <w:tcW w:w="1920" w:type="dxa"/>
            <w:vAlign w:val="bottom"/>
            <w:gridSpan w:val="5"/>
          </w:tcPr>
          <w:p>
            <w:pPr>
              <w:ind w:left="240"/>
              <w:spacing w:after="0"/>
              <w:rPr>
                <w:sz w:val="20"/>
                <w:szCs w:val="20"/>
                <w:color w:val="auto"/>
              </w:rPr>
            </w:pPr>
            <w:r>
              <w:rPr>
                <w:rFonts w:ascii="Arial" w:cs="Arial" w:eastAsia="Arial" w:hAnsi="Arial"/>
                <w:sz w:val="18"/>
                <w:szCs w:val="18"/>
                <w:color w:val="auto"/>
              </w:rPr>
              <w:t>Louis S. Citron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color w:val="auto"/>
              </w:rPr>
              <w:t>Chief Legal Officer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891"/>
        </w:trPr>
        <w:tc>
          <w:tcPr>
            <w:tcW w:w="2280" w:type="dxa"/>
            <w:vAlign w:val="bottom"/>
            <w:gridSpan w:val="6"/>
          </w:tcPr>
          <w:p>
            <w:pPr>
              <w:spacing w:after="0"/>
              <w:rPr>
                <w:sz w:val="20"/>
                <w:szCs w:val="20"/>
                <w:color w:val="auto"/>
              </w:rPr>
            </w:pPr>
            <w:r>
              <w:rPr>
                <w:rFonts w:ascii="Arial" w:cs="Arial" w:eastAsia="Arial" w:hAnsi="Arial"/>
                <w:sz w:val="18"/>
                <w:szCs w:val="18"/>
                <w:color w:val="auto"/>
              </w:rPr>
              <w:t>NEA 15 GP, LLC</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391"/>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236"/>
        </w:trPr>
        <w:tc>
          <w:tcPr>
            <w:tcW w:w="360" w:type="dxa"/>
            <w:vAlign w:val="bottom"/>
          </w:tcPr>
          <w:p>
            <w:pPr>
              <w:spacing w:after="0"/>
              <w:rPr>
                <w:sz w:val="20"/>
                <w:szCs w:val="20"/>
                <w:color w:val="auto"/>
              </w:rPr>
            </w:pPr>
          </w:p>
        </w:tc>
        <w:tc>
          <w:tcPr>
            <w:tcW w:w="1920" w:type="dxa"/>
            <w:vAlign w:val="bottom"/>
            <w:gridSpan w:val="5"/>
          </w:tcPr>
          <w:p>
            <w:pPr>
              <w:ind w:left="240"/>
              <w:spacing w:after="0"/>
              <w:rPr>
                <w:sz w:val="20"/>
                <w:szCs w:val="20"/>
                <w:color w:val="auto"/>
              </w:rPr>
            </w:pPr>
            <w:r>
              <w:rPr>
                <w:rFonts w:ascii="Arial" w:cs="Arial" w:eastAsia="Arial" w:hAnsi="Arial"/>
                <w:sz w:val="18"/>
                <w:szCs w:val="18"/>
                <w:color w:val="auto"/>
              </w:rPr>
              <w:t>Louis S. Citron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color w:val="auto"/>
              </w:rPr>
              <w:t>Chief Legal Officer</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675"/>
        </w:trPr>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149" w:gutter="0" w:footer="0" w:header="0"/>
          <w:type w:val="continuous"/>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039697107</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9 of 11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Anthony A. Florence, Jr.</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Mohamad H. Makhzoumi</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Joshua Makower</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51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D. Sandell</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51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51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Peter W. Sonsini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 Sasha O.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-10160</wp:posOffset>
            </wp:positionV>
            <wp:extent cx="11899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8999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Sasha O. Keough</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As attorney-in-fact</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This Agreement relating to Schedule 13D was executed by Sasha O. Keough on behalf of the individuals listed above pursuant to a Power of Attorney a copy of which is attached hereto as </w:t>
      </w:r>
      <w:r>
        <w:rPr>
          <w:rFonts w:ascii="Arial" w:cs="Arial" w:eastAsia="Arial" w:hAnsi="Arial"/>
          <w:sz w:val="18"/>
          <w:szCs w:val="18"/>
          <w:u w:val="single" w:color="auto"/>
          <w:color w:val="auto"/>
        </w:rPr>
        <w:t>Exhibit 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039697107</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60"/>
              <w:spacing w:after="0"/>
              <w:rPr>
                <w:sz w:val="20"/>
                <w:szCs w:val="20"/>
                <w:color w:val="auto"/>
              </w:rPr>
            </w:pPr>
            <w:r>
              <w:rPr>
                <w:rFonts w:ascii="Arial" w:cs="Arial" w:eastAsia="Arial" w:hAnsi="Arial"/>
                <w:sz w:val="18"/>
                <w:szCs w:val="18"/>
                <w:b w:val="1"/>
                <w:bCs w:val="1"/>
                <w:color w:val="auto"/>
                <w:w w:val="98"/>
              </w:rPr>
              <w:t>Page 10 of 11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90" w:lineRule="exact"/>
        <w:rPr>
          <w:sz w:val="20"/>
          <w:szCs w:val="20"/>
          <w:color w:val="auto"/>
        </w:rPr>
      </w:pPr>
    </w:p>
    <w:p>
      <w:pPr>
        <w:ind w:left="10340"/>
        <w:spacing w:after="0"/>
        <w:rPr>
          <w:sz w:val="20"/>
          <w:szCs w:val="20"/>
          <w:color w:val="auto"/>
        </w:rPr>
      </w:pPr>
      <w:r>
        <w:rPr>
          <w:rFonts w:ascii="Arial" w:cs="Arial" w:eastAsia="Arial" w:hAnsi="Arial"/>
          <w:sz w:val="18"/>
          <w:szCs w:val="18"/>
          <w:b w:val="1"/>
          <w:bCs w:val="1"/>
          <w:u w:val="single" w:color="auto"/>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KNOW ALL MEN BY THESE PRESENTS, that the undersigned hereby constitutes and appoints Louis S. Citron, Timothy Schaller, Sasha Keough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Power of Attorney has been signed as of the 13th day of March, 2017.</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M. James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630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 James Barrett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376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Peter J. Barris</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503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Forest Baskett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78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Ali Behbahani</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Colin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725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Colin Bryant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534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Carmen Chang</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Anthony A. Florence, Jr.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Anthony A. Florence, Jr.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Carol G.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94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Carol G. Gallagher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Dayna Grayson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7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88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Dayna Grayson</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Patrick J. Kerins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661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Patrick J. Kerins</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503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 w:name="page11"/>
    <w:bookmarkEnd w:id="10"/>
    <w:p>
      <w:pPr>
        <w:spacing w:after="0"/>
        <w:tabs>
          <w:tab w:leader="none" w:pos="5380" w:val="left"/>
          <w:tab w:leader="none" w:pos="9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11 of 11 Pages</w:t>
      </w:r>
    </w:p>
    <w:p>
      <w:pPr>
        <w:sectPr>
          <w:pgSz w:w="11900" w:h="16838" w:orient="portrait"/>
          <w:cols w:equalWidth="0" w:num="1">
            <w:col w:w="10900"/>
          </w:cols>
          <w:pgMar w:left="400" w:top="648"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255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Vanessa Larco</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Joshua Makower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852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Joshua Makower</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6"/>
          <w:szCs w:val="16"/>
          <w:u w:val="single" w:color="auto"/>
          <w:color w:val="auto"/>
        </w:rPr>
        <w:t>/s/ Mohamad H. Makhzoumi</w:t>
      </w:r>
    </w:p>
    <w:p>
      <w:pPr>
        <w:spacing w:after="0" w:line="4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Mohamad H. Makhzoumi</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700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Edward T. Mathers</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David M. 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820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David M. Mott</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Sara M. Nayeem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503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Sara M. Nayeem</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Jason R. Nunn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63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Jason R. Nunn</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/s/ 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-3175</wp:posOffset>
            </wp:positionV>
            <wp:extent cx="1301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1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Gregory Papadopoulos</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Chetan Puttagunta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63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Chetan Puttagunta</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Jon Sakoda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598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Jon Sakoda</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820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Scott D. Sandell</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820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 Brooke Seawell</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Peter W.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687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Peter W. Sonsini</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Melissa Taunton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642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Melissa Taunton</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Frank M. Torti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680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Frank M. Torti</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Ravi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846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Ravi Viswanathan</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503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Paul E. Walker</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452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Rick Yang</w:t>
      </w:r>
    </w:p>
    <w:sectPr>
      <w:pgSz w:w="11900" w:h="16838" w:orient="portrait"/>
      <w:cols w:equalWidth="0" w:num="1">
        <w:col w:w="10900"/>
      </w:cols>
      <w:pgMar w:left="400" w:top="648"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2021-12-29T16:31:52Z</dcterms:created>
  <dcterms:modified xsi:type="dcterms:W3CDTF">2021-12-29T16:31:52Z</dcterms:modified>
</cp:coreProperties>
</file>