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947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4728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MOTT DAVID M</w:t>
              </w:r>
            </w:hyperlink>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9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31,163</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2,928,034</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41,551</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2,969,585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54,059</w:t>
            </w:r>
            <w:r>
              <w:rPr>
                <w:rFonts w:ascii="Times New Roman" w:cs="Times New Roman" w:eastAsia="Times New Roman" w:hAnsi="Times New Roman"/>
                <w:sz w:val="21"/>
                <w:szCs w:val="21"/>
                <w:color w:val="008000"/>
                <w:vertAlign w:val="superscript"/>
              </w:rPr>
              <w:t>(4)</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06/18/2035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54,059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54,059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41"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20" w:lineRule="exact"/>
        <w:rPr>
          <w:rFonts w:ascii="Times New Roman" w:cs="Times New Roman" w:eastAsia="Times New Roman" w:hAnsi="Times New Roman"/>
          <w:sz w:val="13"/>
          <w:szCs w:val="13"/>
          <w:color w:val="008000"/>
        </w:rPr>
      </w:pPr>
    </w:p>
    <w:p>
      <w:pPr>
        <w:ind w:left="40" w:right="2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 The RSUs were issued pursuant to the Issuer's Non-Employee Director Compensation Program.</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0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4470"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2025-06-23T19:48:55Z</dcterms:created>
  <dcterms:modified xsi:type="dcterms:W3CDTF">2025-06-23T19:48:55Z</dcterms:modified>
</cp:coreProperties>
</file>