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8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8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9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4" w:lineRule="exact"/>
        <w:rPr>
          <w:rFonts w:ascii="MS PGothic" w:cs="MS PGothic" w:eastAsia="MS PGothic" w:hAnsi="MS PGothic"/>
          <w:sz w:val="18"/>
          <w:szCs w:val="18"/>
          <w:color w:val="auto"/>
          <w:highlight w:val="black"/>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43"/>
          <w:szCs w:val="43"/>
          <w:b w:val="1"/>
          <w:bCs w:val="1"/>
          <w:color w:val="auto"/>
        </w:rPr>
        <w:t>Ardelyx, Inc.</w:t>
      </w:r>
    </w:p>
    <w:p>
      <w:pPr>
        <w:spacing w:after="0" w:line="5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400" w:hanging="396"/>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8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87" w:lineRule="exact"/>
        <w:rPr>
          <w:rFonts w:ascii="MS PGothic" w:cs="MS PGothic" w:eastAsia="MS PGothic" w:hAnsi="MS PGothic"/>
          <w:sz w:val="18"/>
          <w:szCs w:val="18"/>
          <w:color w:val="auto"/>
        </w:rPr>
      </w:pPr>
    </w:p>
    <w:p>
      <w:pPr>
        <w:ind w:left="400" w:hanging="392"/>
        <w:spacing w:after="0"/>
        <w:tabs>
          <w:tab w:leader="none" w:pos="40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393065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204470</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264795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93345</wp:posOffset>
            </wp:positionV>
            <wp:extent cx="685800"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 Fifth Avenue, Suite 210, Waltham, MA 02451</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15, 2022</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Stockholders of Ardelyx, Inc.:</w:t>
      </w:r>
    </w:p>
    <w:p>
      <w:pPr>
        <w:spacing w:after="0" w:line="11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2022 Annual Meeting of Stockholders, or the 2022 Annual Meeting, of Ardelyx, Inc., a Delaware corporation, or the Company, will be held on June 15, 2022 at 11:30 a.m. Eastern Time. The 2022 Annual Meeting will be held entirely online. You will be able to attend the meeting online where you will be able to listen to the meeting live and vote. The 2022 Annual Meeting will be held for the following purposes:</w:t>
      </w:r>
    </w:p>
    <w:p>
      <w:pPr>
        <w:spacing w:after="0" w:line="72" w:lineRule="exact"/>
        <w:rPr>
          <w:sz w:val="20"/>
          <w:szCs w:val="20"/>
          <w:color w:val="auto"/>
        </w:rPr>
      </w:pPr>
    </w:p>
    <w:p>
      <w:pPr>
        <w:ind w:left="1000" w:right="6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hold office until the 2025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1-for 10, if our Board of Directors deems it within our best interests;</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 as disclosed in the proxy statement accompanying this notice pursuant to the compensation disclosure rules of the Securities and Exchange Commission (“Say-on-Pay”);</w:t>
      </w:r>
    </w:p>
    <w:p>
      <w:pPr>
        <w:spacing w:after="0" w:line="67"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our Board of Directors, of Ernst &amp; Young LLP as the independent registered public accounting firm of the Company for the fiscal year ending December 31, 2022; and</w:t>
      </w:r>
    </w:p>
    <w:p>
      <w:pPr>
        <w:spacing w:after="0" w:line="67" w:lineRule="exact"/>
        <w:rPr>
          <w:rFonts w:ascii="Times New Roman" w:cs="Times New Roman" w:eastAsia="Times New Roman" w:hAnsi="Times New Roman"/>
          <w:sz w:val="18"/>
          <w:szCs w:val="18"/>
          <w:color w:val="auto"/>
        </w:rPr>
      </w:pPr>
    </w:p>
    <w:p>
      <w:pPr>
        <w:ind w:left="1000" w:right="12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2022 Annual Meeting or any adjournment or postponement thereof.</w:t>
      </w:r>
    </w:p>
    <w:p>
      <w:pPr>
        <w:spacing w:after="0" w:line="54" w:lineRule="exact"/>
        <w:rPr>
          <w:sz w:val="20"/>
          <w:szCs w:val="20"/>
          <w:color w:val="auto"/>
        </w:rPr>
      </w:pPr>
    </w:p>
    <w:p>
      <w:pPr>
        <w:jc w:val="both"/>
        <w:ind w:left="300" w:right="819"/>
        <w:spacing w:after="0" w:line="266"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 Only stockholders who owned the Company’s common stock at the close of business on April 25, 2022 may vote at the 2022 Annual Meeting or any adjournments that take place.</w:t>
      </w:r>
    </w:p>
    <w:p>
      <w:pPr>
        <w:spacing w:after="0" w:line="68"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 xml:space="preserve">You are cordially invited to attend the virtual 2022 Annual Meeting online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Whether or not you plan to attend the 2022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please vote as soon as possible. You may vote over the internet, by a toll-free telephone number, or by mailing a complete, signed and dated proxy card or voting instruction card in the envelope provided. Please note that any stockholder attending the 2022 Annual Meeting may vote online at the 2022 Annual Meeting, even if the stockholder has already voted over the internet or by phone or returned a proxy card or voting instruction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director nominees named in Proposal</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 1 of the proxy statement,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amendment to our Amended and Restated Certificate of Incorporation to</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effect a reverse stock split as described in Proposal No. 2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binding, advisory basis, of the Say-On-Pay proposal as described in Proposal No. 3 of the proxy statement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ratification of the appointment of Ernst &amp; Young LLP as our independent registered public accounting</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firm as described in Proposal No. 4 of the proxy statement.</w:t>
      </w:r>
    </w:p>
    <w:p>
      <w:pPr>
        <w:spacing w:after="0" w:line="18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3"/>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 REGARDING THE PROXY MATERIALS AND THE VOTING</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92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PROCESS</w:t>
            </w:r>
          </w:p>
        </w:tc>
        <w:tc>
          <w:tcPr>
            <w:tcW w:w="1020" w:type="dxa"/>
            <w:vAlign w:val="bottom"/>
            <w:tcBorders>
              <w:top w:val="single" w:sz="8" w:color="CCEEFF"/>
            </w:tcBorders>
            <w:gridSpan w:val="5"/>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66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PROPOSAL NO. 2 TO GRANT THE BOARD AUTHORITY TO EFFECT A REVERSE STOCK SPLIT</w:t>
            </w: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100" w:type="dxa"/>
            <w:vAlign w:val="bottom"/>
            <w:tcBorders>
              <w:bottom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OUR AUTHORIZED COMMON STOCK AND ISSUED AND OUTSTANDING COMMON</w:t>
            </w:r>
          </w:p>
        </w:tc>
        <w:tc>
          <w:tcPr>
            <w:tcW w:w="84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940" w:type="dxa"/>
            <w:vAlign w:val="bottom"/>
            <w:gridSpan w:val="2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 BY AMENDING OUR AMENDED AND RESTATED CERTIFICATE OF INCORPORATION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560" w:type="dxa"/>
            <w:vAlign w:val="bottom"/>
            <w:tcBorders>
              <w:top w:val="single" w:sz="8" w:color="0000EE"/>
            </w:tcBorders>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BY SEPTEMBER 15, 2022 AND WITHIN A RANGE OF NOT LESS THAN 1-FOR-2 AND NOT</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MORE THAN 1-FOR-10, IF THE BOARD DEEMS IT WITHIN THE COMPANY’S BEST</w:t>
            </w:r>
          </w:p>
        </w:tc>
        <w:tc>
          <w:tcPr>
            <w:tcW w:w="72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70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INTERESTS</w:t>
            </w:r>
          </w:p>
        </w:tc>
        <w:tc>
          <w:tcPr>
            <w:tcW w:w="1240" w:type="dxa"/>
            <w:vAlign w:val="bottom"/>
            <w:tcBorders>
              <w:top w:val="single" w:sz="8" w:color="CCEEFF"/>
            </w:tcBorders>
            <w:gridSpan w:val="6"/>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10</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5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PROPOSAL NO. 3 ADVISORY VOTE TO APPROVE NAMED EXECUTIVE OFFICER</w:t>
            </w:r>
          </w:p>
        </w:tc>
        <w:tc>
          <w:tcPr>
            <w:tcW w:w="1540" w:type="dxa"/>
            <w:vAlign w:val="bottom"/>
            <w:gridSpan w:val="8"/>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3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17</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4. RATIFICATION OF SELECTION OF INDEPENDENT REGISTERED PUBLIC</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7220" w:type="dxa"/>
            <w:vAlign w:val="bottom"/>
            <w:tcBorders>
              <w:top w:val="single" w:sz="8" w:color="0000EE"/>
            </w:tcBorders>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72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18</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REPORT OF THE AUDIT COMMITTEE OF THE BOARD OF DIRECTORS</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3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25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NON-EMPLOYEE DIRECTOR COMPENSATION</w:t>
            </w:r>
          </w:p>
        </w:tc>
        <w:tc>
          <w:tcPr>
            <w:tcW w:w="3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28</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3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30</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43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16(a) BENEFICIAL OWNERSHIP REPORTING COMPLIANCE</w:t>
            </w:r>
          </w:p>
        </w:tc>
        <w:tc>
          <w:tcPr>
            <w:tcW w:w="3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2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44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A</w:t>
            </w:r>
          </w:p>
        </w:tc>
        <w:tc>
          <w:tcPr>
            <w:tcW w:w="30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2"/>
              </w:rPr>
              <w:t>A-1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2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-4319905</wp:posOffset>
            </wp:positionV>
            <wp:extent cx="111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400 Fifth Avenue, Suite 210</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15,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JUNE 15, 2022</w:t>
      </w:r>
    </w:p>
    <w:p>
      <w:pPr>
        <w:spacing w:after="0" w:line="9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 xml:space="preserve">This proxy statement and our 2021 Annual Report to Stockholders, which includes our Annual Report on Form 10-K for the fiscal year ended December 31, 2021 are available on our website at www.ardelyx.com and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proxy statement the terms “Ardelyx,” “we,” “us,” “our” and “the Company” refer to Ardelyx, Inc.</w:t>
      </w:r>
    </w:p>
    <w:p>
      <w:pPr>
        <w:spacing w:after="0" w:line="158" w:lineRule="exact"/>
        <w:rPr>
          <w:sz w:val="20"/>
          <w:szCs w:val="20"/>
          <w:color w:val="auto"/>
        </w:rPr>
      </w:pPr>
    </w:p>
    <w:p>
      <w:pPr>
        <w:ind w:left="300" w:right="399"/>
        <w:spacing w:after="0" w:line="393" w:lineRule="auto"/>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 Why am I receiving these proxy materials?</w:t>
      </w:r>
    </w:p>
    <w:p>
      <w:pPr>
        <w:spacing w:after="0" w:line="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We have delivered paper proxy materials to you, because the board of directors of Ardelyx is soliciting your proxy to vote at the 2022 Annual Meeting of Stockholders, or the 2022 Annual Meeting, or any adjournments that take place. The 2022 Annual Meeting will be held online on June 15, 2022 at 11:30 a.m. Eastern Time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As a stockholder, you are invited to attend the 2022 Annual Meeting online and are requested to vote on the proposals described in this proxy statement. However, you do not need to attend the 2022 Annual Meeting to vote.</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which includes information regarding the proposals to be voted on at the</w:t>
      </w:r>
    </w:p>
    <w:p>
      <w:pPr>
        <w:spacing w:after="0" w:line="27" w:lineRule="exact"/>
        <w:rPr>
          <w:rFonts w:ascii="Times New Roman" w:cs="Times New Roman" w:eastAsia="Times New Roman" w:hAnsi="Times New Roman"/>
          <w:sz w:val="18"/>
          <w:szCs w:val="18"/>
          <w:color w:val="auto"/>
        </w:rPr>
      </w:pPr>
    </w:p>
    <w:p>
      <w:pPr>
        <w:ind w:left="1000" w:right="5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Annual Meeting, the voting process, corporate governance, the compensation of our directors and certain executive officers, and other required information;</w:t>
      </w:r>
    </w:p>
    <w:p>
      <w:pPr>
        <w:spacing w:after="0" w:line="7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2021 Annual Report to Stockholders, which includes our Annual Report on Form 10-K for the fiscal year ended December 31, 2021;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or a voting instruction card for the 2022 Annual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materials are being mailed on or about May 5, 2022, and are available at www.ardelyx.com.</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2022 Annual Meeting?</w:t>
      </w:r>
    </w:p>
    <w:p>
      <w:pPr>
        <w:spacing w:after="0" w:line="121" w:lineRule="exact"/>
        <w:rPr>
          <w:sz w:val="20"/>
          <w:szCs w:val="20"/>
          <w:color w:val="auto"/>
        </w:rPr>
      </w:pPr>
    </w:p>
    <w:p>
      <w:pPr>
        <w:ind w:left="300" w:right="599"/>
        <w:spacing w:after="0" w:line="312" w:lineRule="auto"/>
        <w:rPr>
          <w:sz w:val="20"/>
          <w:szCs w:val="20"/>
          <w:color w:val="auto"/>
        </w:rPr>
      </w:pPr>
      <w:r>
        <w:rPr>
          <w:rFonts w:ascii="Times New Roman" w:cs="Times New Roman" w:eastAsia="Times New Roman" w:hAnsi="Times New Roman"/>
          <w:sz w:val="17"/>
          <w:szCs w:val="17"/>
          <w:color w:val="auto"/>
        </w:rPr>
        <w:t>Only stockholders of record at the close of business on April 25, 2022 will be entitled to vote at the 2022 Annual Meeting. On this record date, there were 144,122,828 shares of common stock outstanding and entitled to vote.</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at the close of business on April 25, 2022, your shares were registered directly in your name with our transfer agent, American Stock Transfer &amp; Trust Company, LLC, then you are a stockholder of record. As a stockholder of record, you may vote online at the 2022 Annual Meeting or vote by proxy. Whether or not you plan to attend the 2022 Annual Meeting, please vote as soon as possible by internet, telephone or by mail as instructed below to ensure your vote is counted.</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or Bank</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If, at the close of business on April 25, 2022,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holding your account is considered to be the stockholder of record for purposes of voting at the 2022 Annual Meeting. As a beneficial owner, you have the right to direct your broker or other agent how to vote the shares in your account. 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 Alternatively, you may vote by internet or telephone as instructed by your broker or other agent. To vote online at the 2022 Annual Meeting, you must obtain a valid proxy from your broker or other agent. Follow the instructions from your broker or other agent included with these proxy materials, or contact your broker or bank to request a proxy form. In order to login to the online 2022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proposals are scheduled for a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four proposals scheduled for a vote at the 2022 Annual Meeting:</w:t>
      </w:r>
    </w:p>
    <w:p>
      <w:pPr>
        <w:spacing w:after="0" w:line="117" w:lineRule="exact"/>
        <w:rPr>
          <w:sz w:val="20"/>
          <w:szCs w:val="20"/>
          <w:color w:val="auto"/>
        </w:rPr>
      </w:pPr>
    </w:p>
    <w:p>
      <w:pPr>
        <w:ind w:left="1000" w:right="10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three Class II directors to hold office until the 2025 Annual Meeting of Stockholders and until their successors are elected and qualified;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approve the amendment to our Amended and Restated Certificate of Incorporation to effect a reverse stock split;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 To approve, on a non-binding, advisory basis, the compensation of our named executive officers as disclosed in this proxy statement pursuant to the compensation disclosure rules of the Securities and Exchange Commission (“Say-on-Pay”);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ratify the selection, by the Audit Committee of our Board of Directors, of Ernst &amp; Young LLP as the independent registered public accounting firm of the Company for the fiscal year ending December 31, 2022.</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17"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color w:val="auto"/>
        </w:rPr>
        <w:t>For Proposal No. 1,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all nominees to the board of directors or you may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your vote for any nominee you specify. For Proposals No. 2, No. 3 and No. 4, you may either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you may abstain from voting.</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at the virtual 2022 Annual Meeting or vote by internet, telephone or by mail. Whether or not you plan to attend the 2022 Annual Meeting online, please vote as soon as possible to ensure your vote is counted. You may still attend the 2022 Annual Meeting online and vote online even if you have already voted by proxy.</w:t>
      </w:r>
    </w:p>
    <w:p>
      <w:pPr>
        <w:spacing w:after="0" w:line="68" w:lineRule="exact"/>
        <w:rPr>
          <w:sz w:val="20"/>
          <w:szCs w:val="20"/>
          <w:color w:val="auto"/>
        </w:rPr>
      </w:pPr>
    </w:p>
    <w:p>
      <w:pPr>
        <w:ind w:left="1000" w:right="579" w:hanging="348"/>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Attending the 2022 Annual Meeting Online. </w:t>
      </w:r>
      <w:r>
        <w:rPr>
          <w:rFonts w:ascii="Times New Roman" w:cs="Times New Roman" w:eastAsia="Times New Roman" w:hAnsi="Times New Roman"/>
          <w:sz w:val="18"/>
          <w:szCs w:val="18"/>
          <w:color w:val="auto"/>
        </w:rPr>
        <w:t>You may vote online at the 2022 Annual Meeting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attending the 2022 Annual Meeting online via live audio-only webcast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vote by proxy by internet or telephone. </w:t>
      </w:r>
      <w:r>
        <w:rPr>
          <w:rFonts w:ascii="Times New Roman" w:cs="Times New Roman" w:eastAsia="Times New Roman" w:hAnsi="Times New Roman"/>
          <w:sz w:val="18"/>
          <w:szCs w:val="18"/>
          <w:color w:val="auto"/>
        </w:rPr>
        <w:t>You may submit your proxy by following the instructions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with your proxy materials and on your proxy card or voting instruction card.</w:t>
      </w:r>
    </w:p>
    <w:p>
      <w:pPr>
        <w:spacing w:after="0" w:line="46" w:lineRule="exact"/>
        <w:rPr>
          <w:rFonts w:ascii="Times New Roman" w:cs="Times New Roman" w:eastAsia="Times New Roman" w:hAnsi="Times New Roman"/>
          <w:sz w:val="18"/>
          <w:szCs w:val="18"/>
          <w:color w:val="auto"/>
        </w:rPr>
      </w:pPr>
    </w:p>
    <w:p>
      <w:pPr>
        <w:ind w:left="1000" w:right="61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 vote by proxy by mail. </w:t>
      </w:r>
      <w:r>
        <w:rPr>
          <w:rFonts w:ascii="Times New Roman" w:cs="Times New Roman" w:eastAsia="Times New Roman" w:hAnsi="Times New Roman"/>
          <w:sz w:val="18"/>
          <w:szCs w:val="18"/>
          <w:color w:val="auto"/>
        </w:rPr>
        <w:t>You may submit your proxy by mail by completing and signing your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and mailing it in the enclosed envelope. Your shares will be voted as you have instructed.</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Broker or Bank</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dealer or other similar organization, you should have received a proxy card and voting instructions with these proxy materials from that organization rather than from us. Simply complete and mail the proxy card to ensure that your vote is counted.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1" w:lineRule="auto"/>
        <w:rPr>
          <w:sz w:val="20"/>
          <w:szCs w:val="20"/>
          <w:color w:val="auto"/>
        </w:rPr>
      </w:pPr>
      <w:r>
        <w:rPr>
          <w:rFonts w:ascii="Times New Roman" w:cs="Times New Roman" w:eastAsia="Times New Roman" w:hAnsi="Times New Roman"/>
          <w:sz w:val="18"/>
          <w:szCs w:val="18"/>
          <w:color w:val="auto"/>
        </w:rPr>
        <w:t>Alternatively, you may vote by internet or telephone as instructed by your broker or other agent. To vote online at the 2022 Annual Meeting, you must obtain a valid proxy from your broker or other agent. Follow the instructions from your broker or other agent included with these proxy materials, or contact your broker or bank to request a proxy form.</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the Company’s common stock you owned as of April 25, 2022.</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1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without marking any voting selections, your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each nominee for director (Proposal No.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to our Amended and Restated Certificate of Incorporation to effect a reverse stock split (Proposal No.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 non-binding, advisory basis, of the Say-On-Pay proposal (Proposal No. 3)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Ernst &amp; Young LLP as the independent registered public accounting firm of the Company for the fiscal year ending December 31, 2022 (Proposal No. 4). If any other matter is properly presented at the 2022 Annual Meeting, your proxyholder (one of the individuals named on your proxy card) will vote your shares using his or her best judgment.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have engaged MacKenzie Partners, Inc. (“MacKenzie”) as the proxy solicitor for the Annual Meeting for an approximate fee of $17,500 plus fees for additional services, if needed. We have also agreed to reimburse MacKenzie for its reasonable out of pocket expenses.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In order to vote all the shares you own, you must return each proxy card.</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left="300" w:right="95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2022 Annual Meeting. If you are the stockholder of record of your shares, you may revoke your proxy in any one of three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another properly completed proxy, bearing a date later than the date of the original proxy.</w:t>
      </w:r>
    </w:p>
    <w:p>
      <w:pPr>
        <w:spacing w:after="0" w:line="128" w:lineRule="exact"/>
        <w:rPr>
          <w:rFonts w:ascii="Times New Roman" w:cs="Times New Roman" w:eastAsia="Times New Roman" w:hAnsi="Times New Roman"/>
          <w:sz w:val="17"/>
          <w:szCs w:val="17"/>
          <w:color w:val="auto"/>
        </w:rPr>
      </w:pPr>
    </w:p>
    <w:p>
      <w:pPr>
        <w:ind w:left="1000" w:right="43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bearing a date later than the date of the original proxy, that you are revoking your proxy to the Company’s Chief Legal and Administrative Officer at the following email address: general-counsel@ardelyx.com.</w:t>
      </w:r>
    </w:p>
    <w:p>
      <w:pPr>
        <w:spacing w:after="0" w:line="67" w:lineRule="exact"/>
        <w:rPr>
          <w:rFonts w:ascii="Times New Roman" w:cs="Times New Roman" w:eastAsia="Times New Roman" w:hAnsi="Times New Roman"/>
          <w:sz w:val="18"/>
          <w:szCs w:val="18"/>
          <w:color w:val="auto"/>
        </w:rPr>
      </w:pPr>
    </w:p>
    <w:p>
      <w:pPr>
        <w:ind w:left="1000" w:right="75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virtual 2022 Annual Meeting and vote online. Simply attending the 2022 Annual Meeting online will not, by itself, revoke your proxy.</w:t>
      </w:r>
    </w:p>
    <w:p>
      <w:pPr>
        <w:spacing w:after="0" w:line="54"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If your shares are held in “street name” by your broker or other agent, you should follow the instructions provided by your broker or agent to change your vote.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in attendance at the virtual 2022 Annual Meeting. On the record date, there were 144,122,828 shares outstanding and entitled to vote. Accordingly, the holders of 72,061,415 shares must be present at the 2022 Annual Meeting to have a quorum. Your shares will be counted toward the quorum at the 2022 Annual Meeting only if you vote online at the meeting, or you submit a valid proxy vote.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Abstentions and broker non-votes (as described below) will be counted towards the quorum requirement. If there is no quorum, the chairperson of the meeting or the holders of a majority of shares present and entitled to vote at the meeting or represented by proxy may adjourn the 2022 Annual Meeting to another date.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17" w:lineRule="exact"/>
        <w:rPr>
          <w:sz w:val="20"/>
          <w:szCs w:val="20"/>
          <w:color w:val="auto"/>
        </w:rPr>
      </w:pPr>
    </w:p>
    <w:p>
      <w:pPr>
        <w:ind w:left="300" w:right="379"/>
        <w:spacing w:after="0" w:line="262" w:lineRule="auto"/>
        <w:rPr>
          <w:sz w:val="20"/>
          <w:szCs w:val="20"/>
          <w:color w:val="auto"/>
        </w:rPr>
      </w:pPr>
      <w:r>
        <w:rPr>
          <w:rFonts w:ascii="Times New Roman" w:cs="Times New Roman" w:eastAsia="Times New Roman" w:hAnsi="Times New Roman"/>
          <w:sz w:val="18"/>
          <w:szCs w:val="18"/>
          <w:color w:val="auto"/>
        </w:rPr>
        <w:t>With respect to the election of directors (Proposal 1),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for each of the nominees for the Board. If you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authority to vote with respect to one or more director nominees, your vote will have no effect on the election of such nominees. Broker non-votes will have no effect on the election of the nominees.</w:t>
      </w:r>
    </w:p>
    <w:p>
      <w:pPr>
        <w:spacing w:after="0" w:line="72"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With respect to the amendment to our Amended and Restated Certificate of Incorporation to effect a reverse stock split (Proposal 2),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If you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with respect to this proposal, your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if any,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68" w:lineRule="exact"/>
        <w:rPr>
          <w:sz w:val="20"/>
          <w:szCs w:val="20"/>
          <w:color w:val="auto"/>
        </w:rPr>
      </w:pPr>
    </w:p>
    <w:p>
      <w:pPr>
        <w:jc w:val="both"/>
        <w:ind w:left="300" w:right="419"/>
        <w:spacing w:after="0" w:line="268" w:lineRule="auto"/>
        <w:rPr>
          <w:sz w:val="20"/>
          <w:szCs w:val="20"/>
          <w:color w:val="auto"/>
        </w:rPr>
      </w:pPr>
      <w:r>
        <w:rPr>
          <w:rFonts w:ascii="Times New Roman" w:cs="Times New Roman" w:eastAsia="Times New Roman" w:hAnsi="Times New Roman"/>
          <w:sz w:val="18"/>
          <w:szCs w:val="18"/>
          <w:color w:val="auto"/>
        </w:rPr>
        <w:t>With respect to the Say-On-Pay proposal (Proposal 3),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If you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with respect to this proposal, your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 Broker non-votes will have no effect on the vote for this proposal.</w:t>
      </w:r>
    </w:p>
    <w:p>
      <w:pPr>
        <w:spacing w:after="0" w:line="67"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Ernst &amp; Young LLP as of our independent registered public accounting firm for the year ending December 31, 2022 (Proposal 4),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Absentions and broker non-votes will have no effect on the vote for this proposal.</w:t>
      </w:r>
    </w:p>
    <w:p>
      <w:pPr>
        <w:spacing w:after="0" w:line="68"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Votes will be counted by the Inspector of Elections appointed for the 2022 Annual Meeting. The Inspector of Elections will separately count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for the election of directors (Proposal 1),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approval, of the amendment to our Amended and Restated Certificate of Incorporation to effect a reverse stock split (Proposal 2),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approval, on a non-binding, advisory basis, of the Say-On-Pay (Proposal 3)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if any, broker non-votes for the ratification of the selection of Ernst</w:t>
      </w:r>
    </w:p>
    <w:p>
      <w:pPr>
        <w:spacing w:after="0" w:line="5" w:lineRule="exact"/>
        <w:rPr>
          <w:sz w:val="20"/>
          <w:szCs w:val="20"/>
          <w:color w:val="auto"/>
        </w:rPr>
      </w:pPr>
    </w:p>
    <w:p>
      <w:pPr>
        <w:ind w:left="300" w:right="1339" w:hanging="8"/>
        <w:spacing w:after="0" w:line="260" w:lineRule="auto"/>
        <w:tabs>
          <w:tab w:leader="none" w:pos="4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Young LLP as the independent registered accounting firm of the Company for the fiscal year ending December 31, 2022 (Proposal 4).</w:t>
      </w:r>
    </w:p>
    <w:p>
      <w:pPr>
        <w:spacing w:after="0" w:line="73"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If your shares are held by your broker or other agent as your nominee (that is, held beneficially in “street name”), you will need to obtain a proxy form from the institution that holds your shares and follow the instructions included on that form regarding how to instruct your broker or other agent to vote your shares. If you do not give voting instructions to your broker or other agent, your broker or other agent can only vote your shares with respect to “routine” matters (as described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Proposal No. 1 to elect directors and Proposal No. 3 to approve the Say-On-Pay are both “non-routine” matters, but Proposal No. 2 to approve the amendment to our Amended and Restated Certificate of Incorporation to effect a reverse stock split and Proposal No. 4 to ratify the selection of Ernst &amp; Young LLP as the independent registered public accounting firm for the Company for the fiscal year ending December 31, 2022 are both “routine” matters.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000" w:right="379" w:hanging="348"/>
        <w:spacing w:after="0" w:line="25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1 — To elect three Class I directors to hold office until the 2025 Annual Meeting of Stockholders and until their successors are elected and qualified. Directors shall be elected by a plurality of the votes cast, which means that the three nominees receiving the most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votes of shares present in attendance or represented by proxy and entitled to vote on the election of directors will be elected.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votes and broker non-votes will not be counted towards the vote total for this proposal.</w:t>
      </w:r>
    </w:p>
    <w:p>
      <w:pPr>
        <w:spacing w:after="0" w:line="79" w:lineRule="exact"/>
        <w:rPr>
          <w:rFonts w:ascii="Times New Roman" w:cs="Times New Roman" w:eastAsia="Times New Roman" w:hAnsi="Times New Roman"/>
          <w:sz w:val="18"/>
          <w:szCs w:val="18"/>
          <w:color w:val="auto"/>
        </w:rPr>
      </w:pPr>
    </w:p>
    <w:p>
      <w:pPr>
        <w:ind w:left="1000" w:right="419" w:hanging="348"/>
        <w:spacing w:after="0" w:line="253"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 To grant our Board of Directors authority to effect a reverse stock split of our authorized common stock and issued and outstanding common stock by amending our Amended and Restated Certificate of Incorporation by September 15, 2022 and within a range of not less than 1-for-2 and not more than 1-for-10, if our Board of Directors deems it within our best interests. The approval of the amendment to our Amended and Restated Certificate of Incorporation to effect a reverse stock split requires the affirmative vote of the holders of a majority of the outstanding shares of common stock entitled to vote at the meeting. Abstentions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Because Proposal No. 2 is considered a “routine” matter, no broker non-votes are expected in connection with this proposal. Any broker non-votes on the proposal to approve the amendment of our Amended and Restated Certificate of Incorporation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w:t>
      </w:r>
    </w:p>
    <w:p>
      <w:pPr>
        <w:spacing w:after="0" w:line="86" w:lineRule="exact"/>
        <w:rPr>
          <w:rFonts w:ascii="Times New Roman" w:cs="Times New Roman" w:eastAsia="Times New Roman" w:hAnsi="Times New Roman"/>
          <w:sz w:val="18"/>
          <w:szCs w:val="18"/>
          <w:color w:val="auto"/>
        </w:rPr>
      </w:pPr>
    </w:p>
    <w:p>
      <w:pPr>
        <w:ind w:left="1000" w:right="499" w:hanging="348"/>
        <w:spacing w:after="0" w:line="277"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3 — To approve, on a non-binding, advisory basis, the Say-On-Pay proposal. The Say-On-Pay proposal requires the affirmative vote of the majority of the votes cast, which means the number of shares voted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proposal must exceed the number of shares voted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such proposal. Abstentions have the same effect as a vote “AGAINST” such proposal. Broker non-votes are not considered votes cast for the foregoing purpose, and will have no effect on the vote for this proposal.</w:t>
      </w:r>
    </w:p>
    <w:p>
      <w:pPr>
        <w:spacing w:after="0" w:line="59" w:lineRule="exact"/>
        <w:rPr>
          <w:rFonts w:ascii="Times New Roman" w:cs="Times New Roman" w:eastAsia="Times New Roman" w:hAnsi="Times New Roman"/>
          <w:sz w:val="17"/>
          <w:szCs w:val="17"/>
          <w:color w:val="auto"/>
        </w:rPr>
      </w:pPr>
    </w:p>
    <w:p>
      <w:pPr>
        <w:ind w:left="1020" w:right="5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Because the vote on Proposal No. 3 is advisory, it will not be binding on the Board of Directors, the compensation committee of the Board of Directors or the Company. With respect to Proposal No. 3, the Board of Directors will review the voting results and take them into consideration when making future decisions about executive compensation.</w:t>
      </w:r>
    </w:p>
    <w:p>
      <w:pPr>
        <w:spacing w:after="0" w:line="71" w:lineRule="exact"/>
        <w:rPr>
          <w:rFonts w:ascii="Times New Roman" w:cs="Times New Roman" w:eastAsia="Times New Roman" w:hAnsi="Times New Roman"/>
          <w:sz w:val="17"/>
          <w:szCs w:val="17"/>
          <w:color w:val="auto"/>
        </w:rPr>
      </w:pPr>
    </w:p>
    <w:p>
      <w:pPr>
        <w:ind w:left="1000" w:right="359" w:hanging="348"/>
        <w:spacing w:after="0" w:line="254"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4 — To ratify the selection of Ernst &amp; Young LLP as the independent registered public accounting firm of the Company for the fiscal year ending December 31, 2022. The ratification of Ernst &amp; Young LLP as our independent registered public accounting firm for the year ending December 31, 2022 requires the affirmative vote of the majority of the votes cast, which means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proposal must exceed the number of shares voted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Abstentions and broker non-votes are not considered votes cast for the foregoing purpose, and will have no effect on the vote for this proposal. Because Proposal No. 4 is considered a “routine” matter, no broker non-votes are expected in connection with this proposal.</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121" w:lineRule="exact"/>
        <w:rPr>
          <w:sz w:val="20"/>
          <w:szCs w:val="20"/>
          <w:color w:val="auto"/>
        </w:rPr>
      </w:pPr>
    </w:p>
    <w:p>
      <w:pPr>
        <w:ind w:left="300" w:right="379"/>
        <w:spacing w:after="0" w:line="274" w:lineRule="auto"/>
        <w:rPr>
          <w:sz w:val="20"/>
          <w:szCs w:val="20"/>
          <w:color w:val="auto"/>
        </w:rPr>
      </w:pPr>
      <w:r>
        <w:rPr>
          <w:rFonts w:ascii="Times New Roman" w:cs="Times New Roman" w:eastAsia="Times New Roman" w:hAnsi="Times New Roman"/>
          <w:sz w:val="17"/>
          <w:szCs w:val="17"/>
          <w:color w:val="auto"/>
        </w:rPr>
        <w:t xml:space="preserve">This year’s Annual Meeting will be held entirely online. Stockholders of record as of April 25, 2022 will be able to attend and participate in the 2022 Annual Meeting online via live audio-only webcast at </w:t>
      </w:r>
      <w:r>
        <w:rPr>
          <w:rFonts w:ascii="Times New Roman" w:cs="Times New Roman" w:eastAsia="Times New Roman" w:hAnsi="Times New Roman"/>
          <w:sz w:val="17"/>
          <w:szCs w:val="17"/>
          <w:i w:val="1"/>
          <w:iCs w:val="1"/>
          <w:color w:val="auto"/>
        </w:rPr>
        <w:t>www.virtualshareholdermeeting.com/ARDX2022</w:t>
      </w:r>
      <w:r>
        <w:rPr>
          <w:rFonts w:ascii="Times New Roman" w:cs="Times New Roman" w:eastAsia="Times New Roman" w:hAnsi="Times New Roman"/>
          <w:sz w:val="17"/>
          <w:szCs w:val="17"/>
          <w:color w:val="auto"/>
        </w:rPr>
        <w:t>. You will be able to vote your shares electronically by Internet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 questions online during the meeting by logging in to the website listed above and using the 16-digit control number included on your proxy card or on the instructions that accompanied your proxy materials. The virtual meeting has been designed to provide the same rights to participate as you would have at an in-person meeting.</w:t>
      </w:r>
    </w:p>
    <w:p>
      <w:pPr>
        <w:spacing w:after="0" w:line="65"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Even if you plan to attend the 2022 Annual Meeting online, we recommend that you also vote by proxy as described herein so that your vote will be counted if you decide not to attend the 2022 Annual Meeting.</w:t>
      </w:r>
    </w:p>
    <w:p>
      <w:pPr>
        <w:spacing w:after="0" w:line="50" w:lineRule="exact"/>
        <w:rPr>
          <w:sz w:val="20"/>
          <w:szCs w:val="20"/>
          <w:color w:val="auto"/>
        </w:rPr>
      </w:pPr>
    </w:p>
    <w:p>
      <w:pPr>
        <w:jc w:val="both"/>
        <w:ind w:left="300" w:right="3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Access to the Audio Webcast of the 2022 Annual Meeting. </w:t>
      </w:r>
      <w:r>
        <w:rPr>
          <w:rFonts w:ascii="Times New Roman" w:cs="Times New Roman" w:eastAsia="Times New Roman" w:hAnsi="Times New Roman"/>
          <w:sz w:val="17"/>
          <w:szCs w:val="17"/>
          <w:color w:val="auto"/>
        </w:rPr>
        <w:t>The live audio webcast of the 2022 Annual Meeting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 promptly at 11:30 a.m. Eastern Time. Online check-in will begin at 11:15 a.m. Eastern Time and should allow ample time for the check-in procedures. We encourage our stockholders to access the meeting prior to the start time.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1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Log in Instructions. </w:t>
      </w:r>
      <w:r>
        <w:rPr>
          <w:rFonts w:ascii="Times New Roman" w:cs="Times New Roman" w:eastAsia="Times New Roman" w:hAnsi="Times New Roman"/>
          <w:sz w:val="17"/>
          <w:szCs w:val="17"/>
          <w:color w:val="auto"/>
        </w:rPr>
        <w:t>To attend the online 2022 Annual Meeting, you will need to login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www.virtualshareholdermeeting.com/ARDX2022</w:t>
      </w:r>
      <w:r>
        <w:rPr>
          <w:rFonts w:ascii="Times New Roman" w:cs="Times New Roman" w:eastAsia="Times New Roman" w:hAnsi="Times New Roman"/>
          <w:sz w:val="17"/>
          <w:szCs w:val="17"/>
          <w:color w:val="auto"/>
        </w:rPr>
        <w:t>. To attend the 2022 Annual Meeting, you will need the 16-digit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control number included in on your proxy card or on the instructions that accompanied your proxy materials.</w:t>
      </w:r>
    </w:p>
    <w:p>
      <w:pPr>
        <w:spacing w:after="0" w:line="45" w:lineRule="exact"/>
        <w:rPr>
          <w:sz w:val="20"/>
          <w:szCs w:val="20"/>
          <w:color w:val="auto"/>
        </w:rPr>
      </w:pPr>
    </w:p>
    <w:p>
      <w:pPr>
        <w:ind w:left="30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You may vote online during the 2022 Annual Meeting. </w:t>
      </w:r>
      <w:r>
        <w:rPr>
          <w:rFonts w:ascii="Times New Roman" w:cs="Times New Roman" w:eastAsia="Times New Roman" w:hAnsi="Times New Roman"/>
          <w:sz w:val="18"/>
          <w:szCs w:val="18"/>
          <w:color w:val="auto"/>
        </w:rPr>
        <w:t>To do so, go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www.virtualshareholder.com/ARDX2022 </w:t>
      </w:r>
      <w:r>
        <w:rPr>
          <w:rFonts w:ascii="Times New Roman" w:cs="Times New Roman" w:eastAsia="Times New Roman" w:hAnsi="Times New Roman"/>
          <w:sz w:val="18"/>
          <w:szCs w:val="18"/>
          <w:color w:val="auto"/>
        </w:rPr>
        <w:t>and have available the 16-digit control number included on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card or on the instructions that accompanied your proxy materials.</w:t>
      </w:r>
    </w:p>
    <w:p>
      <w:pPr>
        <w:spacing w:after="0" w:line="63"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Submitting Questions During the virtual 2022 Annual Meeting. </w:t>
      </w:r>
      <w:r>
        <w:rPr>
          <w:rFonts w:ascii="Times New Roman" w:cs="Times New Roman" w:eastAsia="Times New Roman" w:hAnsi="Times New Roman"/>
          <w:sz w:val="18"/>
          <w:szCs w:val="18"/>
          <w:color w:val="auto"/>
        </w:rPr>
        <w:t>During the 2022 Annual Meeting, you will be 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submit questions in the question box provided at </w:t>
      </w:r>
      <w:r>
        <w:rPr>
          <w:rFonts w:ascii="Times New Roman" w:cs="Times New Roman" w:eastAsia="Times New Roman" w:hAnsi="Times New Roman"/>
          <w:sz w:val="18"/>
          <w:szCs w:val="18"/>
          <w:i w:val="1"/>
          <w:iCs w:val="1"/>
          <w:color w:val="auto"/>
        </w:rPr>
        <w:t>www.virtualshareholdermeeting.com/ARDX2022</w:t>
      </w:r>
      <w:r>
        <w:rPr>
          <w:rFonts w:ascii="Times New Roman" w:cs="Times New Roman" w:eastAsia="Times New Roman" w:hAnsi="Times New Roman"/>
          <w:sz w:val="18"/>
          <w:szCs w:val="18"/>
          <w:color w:val="auto"/>
        </w:rPr>
        <w:t>. We will respond to as many inquiries at the 2022 Annual Meeting as time allows.</w:t>
      </w:r>
    </w:p>
    <w:p>
      <w:pPr>
        <w:spacing w:after="0" w:line="63" w:lineRule="exact"/>
        <w:rPr>
          <w:sz w:val="20"/>
          <w:szCs w:val="20"/>
          <w:color w:val="auto"/>
        </w:rPr>
      </w:pPr>
    </w:p>
    <w:p>
      <w:pPr>
        <w:ind w:left="300" w:right="3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Technical Assistance. </w:t>
      </w:r>
      <w:r>
        <w:rPr>
          <w:rFonts w:ascii="Times New Roman" w:cs="Times New Roman" w:eastAsia="Times New Roman" w:hAnsi="Times New Roman"/>
          <w:sz w:val="18"/>
          <w:szCs w:val="18"/>
          <w:color w:val="auto"/>
        </w:rPr>
        <w:t>Beginning 15 minutes prior to the start of and during the virtual 2022 Annual Meeting,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have a support team ready to assist stockholders with any technical difficulties they may have accessing or hearing the virtual meeting. If you encounter difficulties accessing the virtual 2022 Annual Meeting during check-in or meeting time, please call the technical support number that will be posted on the 2022 Annual Meeting website log-in page.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2022 Annual Meeting?</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We will disclose final voting results in a Current Report on Form 8-K filed with the SEC within four business days after the 2022 Annual Meeting. If final voting results are unavailable at that time, then we intend to file a Current Report on Form 8-K to disclose preliminary voting results and file an amended Current Report on Form 8-K within four business days after the date the final voting results are available.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121"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2023 Annual Meeting of Stockholders, your proposal must be submitted in writing by December 30, 2022, to the Company’s Corporate Secretary at Ardelyx, Inc., 400 Fifth Avenue, Suite 210, Waltham, Massachusetts 02451. However, if the meeting is more than 30 days before or after June 15, 2023, then the deadline will be a reasonable time before we begin to print and mail our proxy materials for that meeting.</w:t>
      </w:r>
    </w:p>
    <w:p>
      <w:pPr>
        <w:spacing w:after="0" w:line="75" w:lineRule="exact"/>
        <w:rPr>
          <w:sz w:val="20"/>
          <w:szCs w:val="20"/>
          <w:color w:val="auto"/>
        </w:rPr>
      </w:pPr>
    </w:p>
    <w:p>
      <w:pPr>
        <w:ind w:left="300" w:right="319"/>
        <w:spacing w:after="0" w:line="231" w:lineRule="auto"/>
        <w:rPr>
          <w:sz w:val="20"/>
          <w:szCs w:val="20"/>
          <w:color w:val="auto"/>
        </w:rPr>
      </w:pPr>
      <w:r>
        <w:rPr>
          <w:rFonts w:ascii="Times New Roman" w:cs="Times New Roman" w:eastAsia="Times New Roman" w:hAnsi="Times New Roman"/>
          <w:sz w:val="18"/>
          <w:szCs w:val="18"/>
          <w:color w:val="auto"/>
        </w:rPr>
        <w:t>If you wish to submit a proposal before the stockholders or nominate a director at the 2023 Annual Meeting of Stockholders, but you are not requesting that your proposal or nomination be included in the proxy materials for that meeting, then you must follow the procedures set forth in our bylaws and, among other things, notify the Company’s Corporate Secretary in writing between February 15, 2023 and March 17, 2023. However, if the date of the 2023 Annual Meeting of Stockholders is more than 30 days before June 15, 2023, then you must give notice not later than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that meeting, and if the date of the 2023 Annual Meeting of Stockholders is more than 60 days after June 15, 2023, you must give notice not later than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disclosure of that annual meeting date is first made. You are also advised to review our bylaws, which contain additional requirements regarding advance notice of stockholder proposals and director nominations. In addition to satisfying the foregoing requirements under our bylaws, to comply with the universal proxy rules (once they become effective), stockholders who intend to solicit proxies in support of director nominees other than our nominees must provide notice that sets forth the information required by Rule 14a-19 under the Exchange Act no later than no later than 60 calendar days prior to the anniversary of the previous year's annual meeting (no later than April 16, 2023 for the 2023 Annual Meeting of Stockholders).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class consists, as nearly as possible, of one-third of the total number of directors, and each class has a three-year term. Except as otherwise provided by law, vacancies on the board of directors may be filled only by individuals elected by a majority of the remaining directors. A director elected by the board of directors to fill a vacancy in a particular class, including a vacancy created by an increase in the number of directors, shall serve for the remainder of the full term of that class and until such director’s successor is elected and qualified, or until such director’s earlier death, resignation or removal.</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currently consists of nine directors and no vacancies, divided into the following three classes: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William Bertrand, Jr., Esq., Onaiza Cadoret-Manier and Jan Lundberg, Ph.D., and their terms will expire at the 2024 Annual Meeting of Stockholders;</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Geoffrey A. Block, M.D., David Mott and Michael Raab, and their terms will expire at the 2022 Annual Meeting; and</w:t>
      </w:r>
    </w:p>
    <w:p>
      <w:pPr>
        <w:spacing w:after="0" w:line="53"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Robert Bazemore, Muna Bhanji, R.Ph, and Richard Rodgers, and their terms will expire at the 2023 Annual Meeting of Stockholders.</w:t>
      </w:r>
    </w:p>
    <w:p>
      <w:pPr>
        <w:spacing w:after="0" w:line="5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Our current Class II directors, Geoffrey A. Block, M.D., David Mott and Michael Raab, have been nominated to serve as Class II directors and have agreed to stand for election. If the nominees for Class II are elected at the 2022 Annual Meeting, then each nominee will serve for a three-year term expiring at the 2025 Annual Meeting of Stockholders, and until his or her successor is elected and qualified, or until his or her earlier death, resignation or removal.</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Our directors are elected by a plurality of the votes cast. If a choice is specified on the proxy card by a stockholder, the shares will be voted as specified. If a choice is not specified on the proxy card, and authority to do so is not withheld, the shares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three nominees for Class II above. If any of the nominees becomes unavailable for election as a result of an unexpected occurrence, shares that would have been voted for the nominee will instead be voted for the election of a substitute nominee proposed by our management or the board of directors. Each person nominated for election has agreed to serve if elected. Our management has no reason to believe that any nominee will be unable to serve.</w:t>
      </w:r>
    </w:p>
    <w:p>
      <w:pPr>
        <w:spacing w:after="0" w:line="8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following is a brief biography and discussion of the specific attributes, qualifications, experience and skills of each nominee for director and each director whose term will continue after the 2022 Annual Meeting. Our board of directors and management encourage each nominee for director and each continuing director to attend the 2022 Annual Meeting.</w:t>
      </w:r>
    </w:p>
    <w:p>
      <w:pPr>
        <w:spacing w:after="0" w:line="108"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EACH OF THE THREE CLASS I NOMINEES FOR DIRECTOR.</w:t>
      </w:r>
    </w:p>
    <w:p>
      <w:pPr>
        <w:spacing w:after="0" w:line="47"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CLASS II NOMINEES FOR DIRECTOR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be elected for a three-year term expiring at the 2025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Meeting of Stockholders</w:t>
      </w:r>
    </w:p>
    <w:p>
      <w:pPr>
        <w:spacing w:after="0" w:line="47" w:lineRule="exact"/>
        <w:rPr>
          <w:sz w:val="20"/>
          <w:szCs w:val="20"/>
          <w:color w:val="auto"/>
        </w:rPr>
      </w:pPr>
    </w:p>
    <w:p>
      <w:pPr>
        <w:ind w:left="300" w:right="359"/>
        <w:spacing w:after="0" w:line="270" w:lineRule="auto"/>
        <w:rPr>
          <w:sz w:val="20"/>
          <w:szCs w:val="20"/>
          <w:color w:val="auto"/>
        </w:rPr>
      </w:pPr>
      <w:r>
        <w:rPr>
          <w:rFonts w:ascii="Times New Roman" w:cs="Times New Roman" w:eastAsia="Times New Roman" w:hAnsi="Times New Roman"/>
          <w:sz w:val="17"/>
          <w:szCs w:val="17"/>
          <w:b w:val="1"/>
          <w:bCs w:val="1"/>
          <w:color w:val="auto"/>
        </w:rPr>
        <w:t>Geoffrey A. Block, M.D.</w:t>
      </w:r>
      <w:r>
        <w:rPr>
          <w:rFonts w:ascii="Times New Roman" w:cs="Times New Roman" w:eastAsia="Times New Roman" w:hAnsi="Times New Roman"/>
          <w:sz w:val="17"/>
          <w:szCs w:val="17"/>
          <w:color w:val="auto"/>
        </w:rPr>
        <w:t>, age 56, was appointed to our board of directors in March 2019. Dr. Block has served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Associate Chief Medical Officer of U.S. Renal Care since February 2020. Prior to that, Dr. Block served as Vice President, Nephrology of Reata Pharmaceuticals, Inc. (Nasdaq: RETA) from January 2019 to January 2020. Prior to that, Dr. Block held a variety of positions with the Denver Nephrology Division at Colorado Kidney Care/Denver Nephrologists, most recently serving as the Director of Clinical Research from 1998 to 2018. Dr. Block served as an associate professor in medicine at the University of Colorado Health Sciences Center from 2008 to 2018. Prior to that, Dr. Block served as an attending physician at St. Joseph's Hospital and as the medical director of the DaVita-Lowry Hemodialysis Unit. Dr. Block received his M.D. from the University of Cincinnati College of Medicine and completed his fellowship in nephrology at that the University of Michigan at Ann Arbor. We believe that Dr. Block is qualified to serve on our board of directors due to his extensive experience in the field of nephrology, and his unique ability to understand the treatment options, needs and challenges for the patients we expect to serve.</w:t>
      </w:r>
    </w:p>
    <w:p>
      <w:pPr>
        <w:spacing w:after="0" w:line="65" w:lineRule="exact"/>
        <w:rPr>
          <w:sz w:val="20"/>
          <w:szCs w:val="20"/>
          <w:color w:val="auto"/>
        </w:rPr>
      </w:pPr>
    </w:p>
    <w:p>
      <w:pPr>
        <w:ind w:left="300" w:right="939"/>
        <w:spacing w:after="0" w:line="317" w:lineRule="auto"/>
        <w:rPr>
          <w:sz w:val="20"/>
          <w:szCs w:val="20"/>
          <w:color w:val="auto"/>
        </w:rPr>
      </w:pPr>
      <w:r>
        <w:rPr>
          <w:rFonts w:ascii="Times New Roman" w:cs="Times New Roman" w:eastAsia="Times New Roman" w:hAnsi="Times New Roman"/>
          <w:sz w:val="17"/>
          <w:szCs w:val="17"/>
          <w:b w:val="1"/>
          <w:bCs w:val="1"/>
          <w:color w:val="auto"/>
        </w:rPr>
        <w:t>David Mott</w:t>
      </w:r>
      <w:r>
        <w:rPr>
          <w:rFonts w:ascii="Times New Roman" w:cs="Times New Roman" w:eastAsia="Times New Roman" w:hAnsi="Times New Roman"/>
          <w:sz w:val="17"/>
          <w:szCs w:val="17"/>
          <w:color w:val="auto"/>
        </w:rPr>
        <w:t>, age 56, has served on our board of directors since March 2009 and as chairman of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since March 2014. Mr. Mott is currently a private investor through Mott Family Capital. Mr. Mott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served as a general partner of New Enterprise Associates, or NEA, an investment firm focused on venture capital and growth equity investments from September 2008 to February 2020, where he led the healthcare investing practice. From 1992 until 2008, Mr. Mott worked at MedImmune Limited, a biotechnology company and subsidiary of AstraZeneca Plc (NYSE:AZN), and served in numerous roles during his tenure, including from October 2000 to July 2008 as President and Chief Executive Officer, and previously as Chief Financial Officer, and as President and Chief Operating Officer. During that time, Mr. Mott also served as Executive Vice President of AstraZeneca Plc from June 2007 to July 2008 following AstraZeneca Plc’s acquisition of Medimmune Limited in June 2007. Prior to joining MedImmune Limited, Mr. Mott was a Vice President in the healthcare investment banking group at Smith Barney, Harris Upham &amp; Co. Inc. Mr. Mott received a B.A. in Economics and Government from Dartmouth College. Mr. Mott serves as the Chairman of the Board of Directors for Adaptimmune (Nasdaq:ADAP), Epizyme, Inc. (Nasdaq:EPZM), Imara Inc. (Nasdaq: IMRA) and Mersana Therapeutics, Inc. (Nasdaq:MRSN). In addition, Mr. Mott serves on the board of directors of Novavax, Inc. (Nasdaq: NVAX). We believe that Mr. Mott is qualified to serve on our board of directors due to his extensive experience in the life sciences industry as a senior executive, his investment experience, strategic leadership track record and service on other boards of directors of life sciences companies.</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Michael Raab</w:t>
      </w:r>
      <w:r>
        <w:rPr>
          <w:rFonts w:ascii="Times New Roman" w:cs="Times New Roman" w:eastAsia="Times New Roman" w:hAnsi="Times New Roman"/>
          <w:sz w:val="18"/>
          <w:szCs w:val="18"/>
          <w:color w:val="auto"/>
        </w:rPr>
        <w:t>, age 57, has served as our President and Chief Executive Officer and a director since March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2002 to 2009, Mr. Raab was a partner at NEA, where he focused on investments in the biotechnology and pharmaceutical sectors. Prior to joining NEA, Mr. Raab spent 15 years in commercial and operating leadership roles in the biotech and pharmaceutical industries, including serving as Senior Vice President, Therapeutics and General Manager of the Renal Division at Genzyme Corporation, or Genzyme, a biotechnology company. Mr. Raab also spent two years with Genzyme’s diagnostic products and services division. Before Genzyme, Mr. Raab held business development and sales and marketing positions at Repligen Corporation, a life sciences company, and Bristol-Myers Corporation. Mr. Raab is currently the lead independent director of Amicus Therapeutics, Inc. (Nasdaq: FOLD), and also serves as the Chairman of the Board of Tempest Therapeutics (Nasdaq CM: TPST).</w:t>
      </w:r>
    </w:p>
    <w:p>
      <w:pPr>
        <w:spacing w:after="0" w:line="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Mr. Raab currently serves as a member of both of the Emerging Companies Section Governing Board and the Health Section Governing Board of the Biotechnology Innovation Organization. Mr. Raab received a B.A. from DePauw University. We believe Mr. Raab is qualified to serve on our board of directors based on his role as our President and Chief Executive Officer, his senior management experience in the life sciences sector, his investment experience and his current and past service on other boards of directors of public companies.</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III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2023 Annual Meeting of Stockholders</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b w:val="1"/>
          <w:bCs w:val="1"/>
          <w:color w:val="auto"/>
        </w:rPr>
        <w:t>Robert Bazemore</w:t>
      </w:r>
      <w:r>
        <w:rPr>
          <w:rFonts w:ascii="Times New Roman" w:cs="Times New Roman" w:eastAsia="Times New Roman" w:hAnsi="Times New Roman"/>
          <w:sz w:val="18"/>
          <w:szCs w:val="18"/>
          <w:color w:val="auto"/>
        </w:rPr>
        <w:t>, age 54, was appointed to our board of directors in June 2016. Mr. Bazemore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Executive Officer and a director of Epizyme, Inc. (Nasdaq: EPZM) from September 2015 to August 2021. Prior to joining Epizyme, Mr. Bazemore served as Chief Operating Officer of Synageva BioPharma Corp., which was acquired by Alexion Pharmaceuticals (Nasdaq: ALXN) for $8.4 billion in July 2015. Prior to that, Mr. Bazemore was President of Janssen Biotech, part of the Janssen Pharmaceutical Companies of Johnson &amp; Johnson (NYSE: JNJ). Mr. Bazemore currently serves on the board of directors of Nuvation Bio, Inc.</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(NYSE: NUVB). Additionally, he served on the board of directors of Neon Therapeutics, Inc. from November 2018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its acquisition by Biopharmaceuticals New Technologies, or BioNTech (Nasdaq: BNTX) in May 2020.</w:t>
      </w:r>
    </w:p>
    <w:p>
      <w:pPr>
        <w:spacing w:after="0" w:line="9" w:lineRule="exact"/>
        <w:rPr>
          <w:sz w:val="20"/>
          <w:szCs w:val="20"/>
          <w:color w:val="auto"/>
        </w:rPr>
      </w:pPr>
    </w:p>
    <w:p>
      <w:pPr>
        <w:ind w:left="300" w:right="519"/>
        <w:spacing w:after="0" w:line="255" w:lineRule="auto"/>
        <w:rPr>
          <w:sz w:val="20"/>
          <w:szCs w:val="20"/>
          <w:color w:val="auto"/>
        </w:rPr>
      </w:pPr>
      <w:r>
        <w:rPr>
          <w:rFonts w:ascii="Times New Roman" w:cs="Times New Roman" w:eastAsia="Times New Roman" w:hAnsi="Times New Roman"/>
          <w:sz w:val="18"/>
          <w:szCs w:val="18"/>
          <w:color w:val="auto"/>
        </w:rPr>
        <w:t>Mr. Bazemore received his B.S. in Biochemistry from the University of Georgia. We believe that Mr. Bazemore is qualified to serve on our board of directors due to his significant life science industry experience, including as a chief executive officer, and service on the boards of directors of life sciences companies.</w:t>
      </w:r>
    </w:p>
    <w:p>
      <w:pPr>
        <w:spacing w:after="0" w:line="74" w:lineRule="exact"/>
        <w:rPr>
          <w:sz w:val="20"/>
          <w:szCs w:val="20"/>
          <w:color w:val="auto"/>
        </w:rPr>
      </w:pPr>
    </w:p>
    <w:p>
      <w:pPr>
        <w:ind w:left="300" w:right="299"/>
        <w:spacing w:after="0" w:line="271" w:lineRule="auto"/>
        <w:rPr>
          <w:sz w:val="20"/>
          <w:szCs w:val="20"/>
          <w:color w:val="auto"/>
        </w:rPr>
      </w:pPr>
      <w:r>
        <w:rPr>
          <w:rFonts w:ascii="Times New Roman" w:cs="Times New Roman" w:eastAsia="Times New Roman" w:hAnsi="Times New Roman"/>
          <w:sz w:val="17"/>
          <w:szCs w:val="17"/>
          <w:b w:val="1"/>
          <w:bCs w:val="1"/>
          <w:color w:val="auto"/>
        </w:rPr>
        <w:t>Muna Bhanji</w:t>
      </w:r>
      <w:r>
        <w:rPr>
          <w:rFonts w:ascii="Times New Roman" w:cs="Times New Roman" w:eastAsia="Times New Roman" w:hAnsi="Times New Roman"/>
          <w:sz w:val="17"/>
          <w:szCs w:val="17"/>
          <w:color w:val="auto"/>
        </w:rPr>
        <w:t>, age 59, was appointed to our board of directors in March 2021. Ms. Bhanji has served as the founder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principal of Tiba Global Access, LLC since January 2021. Ms. Bhanji previously served in roles of increasing responsibility at Merck &amp; Co. (NYSE: MRK) between 1986 and January 2021. Most recently, Ms. Bhanji served as Senior Vice President, Global Market Access from 2010 until 2021 and as Senior Vice President, Hospital &amp; Specialty Franchises from 2014 until 2017. Ms. Bhanji currently serves on the boards of directors of Veracyte, Inc. (Nasdaq: VCYT), Cytokinetics Incorporated (Nasdaq: CYTK) and Corus International, an international non-governnmental organization. Ms. Bhanji received her B.Sc. in Pharmacy from the Rutgers School of Pharmacy, and her M.B.A. from Saint Joseph’s University. We believe that Ms. Bhanji is qualified to serve on our board of directors due to her extensive US and global commercial and operational experience within the pharmaceutical industry.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color w:val="auto"/>
        </w:rPr>
        <w:t>Richard Rodgers</w:t>
      </w:r>
      <w:r>
        <w:rPr>
          <w:rFonts w:ascii="Times New Roman" w:cs="Times New Roman" w:eastAsia="Times New Roman" w:hAnsi="Times New Roman"/>
          <w:sz w:val="18"/>
          <w:szCs w:val="18"/>
          <w:color w:val="auto"/>
        </w:rPr>
        <w:t>, age 55, has served on our board of directors since March 2014. From March 2010 until August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 Mr. Rodgers was co-founder, Executive Vice President, Chief Financial Officer, Secretary and Treasurer of Tesaro, Inc., which was acquired by GlaxoSmithKline plc (LSE/NYSE: GSK) in January 2019. Mr. Rodgers previously served as the Chief Financial Officer of Abraxis BioScience, Inc., a biotechnology company, from June 2009 to February 2010. Prior to that, Mr. Rodgers served as Senior Vice President, Controller and Chief Accounting Officer of MGI PHARMA, Inc., a biopharmaceutical company, from 2004 until its acquisition by Eisai Co. Ltd., a pharmaceutical company, in January 2008. Mr. Rodgers has held finance and accounting positions at several private and public companies, including Arthur Anderson &amp; Co. Mr. Rodgers currently serves as a director of Ocuphire Pharma, Inc. (Nasdaq: OCUP). Mr. Rodgers received a B.S. in Financial Accounting from St. Cloud State University and his M.B.A. in Finance from the University of Minnesota, Carlson School of Business. We believe that Mr. Rodgers is qualified to serve on our board of directors due to his financial background, significant industry experience, and service on other boards of directors of publicly-traded life sciences companies.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CLASS I 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To continue in office until the 2024 Annual Meeting of Stockholders</w:t>
      </w:r>
    </w:p>
    <w:p>
      <w:pPr>
        <w:spacing w:after="0" w:line="11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William Bertrand, Jr. Esq.</w:t>
      </w:r>
      <w:r>
        <w:rPr>
          <w:rFonts w:ascii="Times New Roman" w:cs="Times New Roman" w:eastAsia="Times New Roman" w:hAnsi="Times New Roman"/>
          <w:sz w:val="18"/>
          <w:szCs w:val="18"/>
          <w:color w:val="auto"/>
        </w:rPr>
        <w:t>, age 57, was appointed to our board of directors in October 2015. Mr. Bertrand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Chief Operating Officer at Adaptimmune Therapeutics Plc (Nasdaq: ADAP) since March 2017. From October 2015 to September 2016, Mr. Bertrand served as the Executive Vice President, General Counsel of Infinity Pharmaceuticals, Inc.(Nasdaq: INFI). From July 2013 to August 2015, Mr. Bertrand held a variety of positions with Salix Pharmaceuticals, Ltd., a biopharmaceutical company, including Senior Vice President, General Counsel, Acting Chief Operating Officer, and most recently, General Manager of Salix Pharmaceuticals following its acquisition by Valeant Pharmaceuticals International (NYSE: VRX) in April 2015. Prior to that, Mr. Bertrand pursued a 12 year career at Medimmune Limited, a biotechnology company and subsidiary of AstraZeneca Plc (NYSE:AZN), serving in numerous roles of increasing responsibility, including as Executive Vice President and General Counsel from 2008 to 2013. Mr. Bertrand received his B.S. in Biology from Wayne State University and his J.D. from the University of Wisconsin-Madison. We believe that Mr. Bertrand is qualified to serve on our board of directors due to his legal and compliance background and significant life science industry experience.</w:t>
      </w:r>
    </w:p>
    <w:p>
      <w:pPr>
        <w:spacing w:after="0" w:line="82"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b w:val="1"/>
          <w:bCs w:val="1"/>
          <w:color w:val="auto"/>
        </w:rPr>
        <w:t>Onaiza Cadoret-Manier</w:t>
      </w:r>
      <w:r>
        <w:rPr>
          <w:rFonts w:ascii="Times New Roman" w:cs="Times New Roman" w:eastAsia="Times New Roman" w:hAnsi="Times New Roman"/>
          <w:sz w:val="18"/>
          <w:szCs w:val="18"/>
          <w:color w:val="auto"/>
        </w:rPr>
        <w:t>, age 58, was appointed to our board of directors in March 2020. Ms. Cadoret-Manier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Global Product Strategy and Operations Officer at Ionis Pharmaceuticals (Nasdaq:IONS) since March 2022, and previously served as Chief Corporate Development and Commercial Officer at Ionis Pharmaceuticals from January 2020 to March 2022. Ms. Cadoret-Manier was previously the Chief Commercial Officer for Grail Biosciences, an early detection genomics company, from June 2018 until June 2019. Prior to Grail, from April 2011 until June 2018, she was Vice President of the Respiratory Franchise at Genentech. Ms. Cadoret-Manier also has held multiple senior management positions overseeing corporate strategy, alliances, and marketing and sales for numerous disease areas for Genentech, Pfizer and Amylin Pharmaceuticals. She has an MBA from the University of Chicago and a bachelor’s degree in economics and accounting from City University of New York Queens College. We believe that Ms. Cadoret-Manier is qualified to serve on our board of directors due to her extensive commercial and operational experience with life sciences companies.</w:t>
      </w:r>
    </w:p>
    <w:p>
      <w:pPr>
        <w:spacing w:after="0" w:line="7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b w:val="1"/>
          <w:bCs w:val="1"/>
          <w:color w:val="auto"/>
        </w:rPr>
        <w:t>Jan Lundberg, Ph.D.</w:t>
      </w:r>
      <w:r>
        <w:rPr>
          <w:rFonts w:ascii="Times New Roman" w:cs="Times New Roman" w:eastAsia="Times New Roman" w:hAnsi="Times New Roman"/>
          <w:sz w:val="18"/>
          <w:szCs w:val="18"/>
          <w:color w:val="auto"/>
        </w:rPr>
        <w:t>, age 68, was appointed to our board of directors in March 2018. Dr. Lundberg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Lilly Research Laboratories and Executive Vice President of Science and Technology for Eli Lilly and Company (NYSE: LLY) from January 2010 to March 2018. Prior to joining Lilly he served for ten years as global head of discovery research at AstraZeneca Plc (NYSE: AZN), where he was a member of the senior executive team. Dr. Lundberg also served as a professor at the Karolinska Institute’s department of pharmacology in Sweden, and was a cofounder of biotechnology company, Aerocrine. Dr. Lundberg currently serves on the board of directors of several privately held life sciences and pharmaceutical companies, including Ferring Pharmaceuticals, where he also serves as the Chairman of the Research and Development Committee. Dr. Lundberg was instrumental in the establishment of the Innovative Medicines Initiative in Europe and the Accelerating Medicines Partnership with National Institutes of Health. Dr. Lundberg received a B.S.M. in medicine from the University of Gothenberg and a Ph.D. in pharmacology from the Karolinska Institute in Sweden. We believe that Dr. Lundberg is qualified to serve on our board of directors due to his extensive scientific research background and significant life science industry experience.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left="1760"/>
        <w:spacing w:after="0" w:line="253" w:lineRule="auto"/>
        <w:rPr>
          <w:sz w:val="20"/>
          <w:szCs w:val="20"/>
          <w:color w:val="auto"/>
        </w:rPr>
      </w:pPr>
      <w:r>
        <w:rPr>
          <w:rFonts w:ascii="Times New Roman" w:cs="Times New Roman" w:eastAsia="Times New Roman" w:hAnsi="Times New Roman"/>
          <w:sz w:val="18"/>
          <w:szCs w:val="18"/>
          <w:b w:val="1"/>
          <w:bCs w:val="1"/>
          <w:color w:val="auto"/>
        </w:rPr>
        <w:t>TO GRANT THE BOARD AUTHORITY TO EFFECT A REVERSE STOCK SPLIT OF OUR AUTHORIZED COMMON STOCK AND ISSUED AND OUTSTANDING COMMON STOCK BY AMENDING OUR AMENDED AND RESTATED CERTIFICATE OF INCORPORATION BY SEPTEMBER 15, 2022 AND WITHIN A RANGE OF NOT LESS THAN 1-FOR-2 AND NOT MORE THAN 1-FOR-10, IF THE BOARD DEEMS IT WITHIN THE COMPANY’S BEST INTERESTS.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Our board of directors is recommending that the stockholders approve an amendment to our Amended and Restated Certificate of Incorporation to effect a reverse stock split of our authorized common stock and issued and outstanding common stock at an exchange ratio of not less than 1 -for-2 and not more than 1-for-10 with the exact ratio to be set within this range by our Board of Directors in its sole discretion. If our board of directors decides to implement the split, it will become effective upon the filing of the amendment to the company’s certificate of incorporation with the Secretary of State of the State of Delaware. If the reverse split is implemented, the number of authorized shares of our common stock and the number of issued and outstanding shares of common stock would be reduced in accordance with the exchange ratio selected by the board or committee.</w:t>
      </w:r>
    </w:p>
    <w:p>
      <w:pPr>
        <w:spacing w:after="0" w:line="84"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form of the proposed amendment to our Amended and Restated Certificate of Incorporation to effect the reverse stock split is attached to this Proxy Statement as Appendix A. Notwithstanding approval of the proposed amendment by our stockholders, our Board may, at its sole option, abandon the proposed amendment and determine prior to the effectiveness of any filing with the Secretary of State of the State of Delaware not to effect any reverse stock split, as permitted under Section 242(c) of the General Corporation Law of the State of Delaware. If our Board does not implement a reverse stock split on or prior to September 15, 2022, stockholder approval would again be required prior to implementing any reverse stock split.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Reverse Split</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Nasdaq Listing Qualifications Department notified us on February 28, 2022 that the bid price of our common stock had closed at less than $1.00 per share over the previous 30 consecutive business days, and, as a result, did not comply with Listing Rule 5550(a)(2) (“Bid Price Rule”). Therefore, in accordance with Listing Rule 5810(c)(3)(A), we were provided an initial period of 180 calendar days, or until August 27, 2022, to regain compliance. The letter states that the Nasdaq staff will provide written notification that we have achieved compliance with the Bid Price Rule if at any time before August 27, 2022, the bid price of our common stock closes at $1.00 per share or more for a minimum of ten (10) consecutive business days. As of March 30, 2022, we regained compliance with the Bid Price Rule. The closing trading price on March 30, 2022 was $1.08.</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While we intend to monitor the closing price of our common stock and consider available options depending on the trading price of our common stock, no assurance can be made that we will in fact be able to continue to comply. If an issuer’s equity security is delisted from Nasdaq, it may be forced to seek to have its equity security traded or quoted on the OTC Bulletin Board or in the “pink sheets.” Such alternatives are generally considered to be less efficient markets and not as broad as Nasdaq, and therefore less desirable. Accordingly, the delisting, or even the potential delisting, of an equity security could have a negative impact on the liquidity and market price of the equity security. As such, our Board believes that it is in the best interest of the Company and its stockholders that the Board has the ability to effect, in its discretion, the reverse stock split to improve the price level of our common stock so that we are able to maintain continued compliance with the Bid Price Rule and minimize the risk of future delisting from Nasdaq.</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primary objective in asking for the authority to effect the reverse stock split is to raise the per share trading price of our common stock. The board believes that having the ability to implement the reverse stock split would better enable us to maintain the listing of our common stock on the Nasdaq Global Market. Also, if the reverse stock split is implemented, we believe it would facilitate higher levels of institutional stock ownership, where investment policies generally prohibit investments in lower-priced securities and better enable us to raise funds to finance operations.</w:t>
      </w:r>
    </w:p>
    <w:p>
      <w:pPr>
        <w:spacing w:after="0" w:line="79"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Although the board presently intends to effect the reverse stock split to maintain compliance with the Nasdaq Global Market’s minimum bid price requirement, under Section 242(c) of the Delaware General Corporation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Law, our board has reserved the right, notwithstanding our stockholders’ approval of the proposed amendment to our Amended and Restated Certificate of Incorporation at the Annual Meeting, to abandon the proposed amendment at any time (without further action by our stockholders) before the amendment to the Amended and Restated Certificate of Incorporation is filed with the Secretary of State of the State of Delaware.</w:t>
      </w:r>
    </w:p>
    <w:p>
      <w:pPr>
        <w:spacing w:after="0" w:line="7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Our board may consider a variety of factors in determining whether or not to proceed with the proposed amendment of the certificate of incorporation, including overall trends in the stock market, recent changes and anticipated trends in the per-share market price of our common stock, business developments and our actual and projected financial performance. If the closing bid price of our common stock on the Nasdaq Global Market remains at or above $1.00 per share, as discussed more fully below, our board of directors may decide to abandon the filing of the proposed amendment to the Amended and Restated Certificate of Incorporation.</w:t>
      </w:r>
    </w:p>
    <w:p>
      <w:pPr>
        <w:spacing w:after="0" w:line="7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Reducing the number of outstanding shares of our common stock through the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the reverse stock split, if completed, will result in the intended benefits described above, that the market price of our common stock will increase following the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Associated with the Reverse Stock Split</w:t>
      </w:r>
    </w:p>
    <w:p>
      <w:pPr>
        <w:spacing w:after="0" w:line="121"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We cannot assure you that the reverse stock split, if implemented, will have the desired effect of raising the price of our common stock over the long term. The history of similar stock split combinations for companies in like circumstances is varied. There is no assurance that:</w:t>
      </w:r>
    </w:p>
    <w:p>
      <w:pPr>
        <w:spacing w:after="0" w:line="68" w:lineRule="exact"/>
        <w:rPr>
          <w:sz w:val="20"/>
          <w:szCs w:val="20"/>
          <w:color w:val="auto"/>
        </w:rPr>
      </w:pPr>
    </w:p>
    <w:p>
      <w:pPr>
        <w:ind w:left="1000" w:right="45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post-split share of our common stock would either exceed or remain in excess of the $1.00 minimum bid price for a sustained period of time, as required by Nasdaq;</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312"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trading price per share of our common stock after the reverse stock split would rise in proportion to the reduction in the number of pre-split shares of our common stock outstanding before the reverse stock split;</w:t>
      </w:r>
    </w:p>
    <w:p>
      <w:pPr>
        <w:spacing w:after="0" w:line="31" w:lineRule="exact"/>
        <w:rPr>
          <w:rFonts w:ascii="Times New Roman" w:cs="Times New Roman" w:eastAsia="Times New Roman" w:hAnsi="Times New Roman"/>
          <w:sz w:val="17"/>
          <w:szCs w:val="17"/>
          <w:color w:val="auto"/>
        </w:rPr>
      </w:pPr>
    </w:p>
    <w:p>
      <w:pPr>
        <w:ind w:left="1000" w:right="7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would result in a per share price that would increase the level of investment by institutional investors or increase analyst and broker interest in our company;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decreased transaction costs for our stockholders.</w:t>
      </w:r>
    </w:p>
    <w:p>
      <w:pPr>
        <w:spacing w:after="0" w:line="117"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In addition, there can be no assurance that our common stock will not be delisted due to a failure to meet other continued listing requirements even if the market price per post-split share of our common stock remains in excess of $1.00.</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our performance and other factors, some of which are unrelated to the number of shares outstanding. If the reverse stock split is consummated and the trading price of our common stock declines, the percentage decline as an absolute number and as a percentage of our overall market capitalization may be greater than would occur in the absence of the reverse stock split. Furthermore, the liquidity of our common stock could be adversely affected by the reduced number of shares that would be outstanding after the reverse stock split.</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After the effective date of the reverse stock split, each stockholder would own a reduced number of shares of common stock. However, the reverse stock split would affect all stockholders uniformly and would not affect any stockholder’s percentage ownership interest in the Company (except to the extent that the reverse stock split would result in some of our stockholders owning a fractional share as described below). Proportionate voting rights and other rights and preferences of the holders of common stock would not be affected by the reverse stock split (except to the extent that the reverse stock split would result in some of our stockholders owning a fractional share as described below). For example, a holder of 2% of the voting power of the outstanding shares of common stock immediately prior to the reverse stock split would continue to hold approximately 2% of the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voting power of the outstanding shares of common stock immediately after the reverse stock split. The number of stockholders of record also would not be affected by the reverse stock split (except to the extent that the reverse stock split would result in some of our stockholders owning only a fractional share as described below).</w:t>
      </w:r>
    </w:p>
    <w:p>
      <w:pPr>
        <w:spacing w:after="0" w:line="68"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The table below summarizes our pro forma capitalization of common stock, as of March 31, 2022, before and after giving effect to a hypothetical reverse stock split of one-for-two (1-for-2), one-for-five (1-for-5), one-for-seven (1-for-7) and one-for-ten (1-for-10). The exact ration within the range of one-for-two and one-for-ten would be determined by our Board of Directors. The table below does not include the 5,000,000 shares of preferred stock authorized (all of which are undesignated and none of which are outstanding) under our Amended and Restated Certificate of Incorporation. The reverse stock split would have no effect on our authorized preferred stock. The figures below do not give effect to the treatment of fractional shares.</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Reserved for</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10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 New</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Grants</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Pursuant</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New Grants</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2014</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2016</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20" w:type="dxa"/>
            <w:vAlign w:val="bottom"/>
            <w:gridSpan w:val="2"/>
            <w:vMerge w:val="continue"/>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Incenetive</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50"/>
        </w:trPr>
        <w:tc>
          <w:tcPr>
            <w:tcW w:w="29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300,000,000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136,330,360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17,393,477</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2,610,046</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3,284,785</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771,882</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for 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150,000,000</w:t>
            </w:r>
          </w:p>
        </w:tc>
        <w:tc>
          <w:tcPr>
            <w:tcW w:w="120" w:type="dxa"/>
            <w:vAlign w:val="bottom"/>
          </w:tcPr>
          <w:p>
            <w:pPr>
              <w:spacing w:after="0"/>
              <w:rPr>
                <w:sz w:val="23"/>
                <w:szCs w:val="2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68,165,180</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8,696,738</w:t>
            </w:r>
          </w:p>
        </w:tc>
        <w:tc>
          <w:tcPr>
            <w:tcW w:w="10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1,305,023</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1,642,392</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385,941</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for 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27,266,072</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3,478,695</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522,009</w:t>
            </w: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656,957</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154,376</w:t>
            </w: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for 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42,857,143</w:t>
            </w:r>
          </w:p>
        </w:tc>
        <w:tc>
          <w:tcPr>
            <w:tcW w:w="120" w:type="dxa"/>
            <w:vAlign w:val="bottom"/>
          </w:tcPr>
          <w:p>
            <w:pPr>
              <w:spacing w:after="0"/>
              <w:rPr>
                <w:sz w:val="23"/>
                <w:szCs w:val="2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19,475,765</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2,484,782</w:t>
            </w:r>
          </w:p>
        </w:tc>
        <w:tc>
          <w:tcPr>
            <w:tcW w:w="10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373,863</w:t>
            </w:r>
          </w:p>
        </w:tc>
        <w:tc>
          <w:tcPr>
            <w:tcW w:w="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469,255</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110,268</w:t>
            </w:r>
          </w:p>
        </w:tc>
        <w:tc>
          <w:tcPr>
            <w:tcW w:w="0" w:type="dxa"/>
            <w:vAlign w:val="bottom"/>
          </w:tcPr>
          <w:p>
            <w:pPr>
              <w:spacing w:after="0"/>
              <w:rPr>
                <w:sz w:val="1"/>
                <w:szCs w:val="1"/>
                <w:color w:val="auto"/>
              </w:rPr>
            </w:pPr>
          </w:p>
        </w:tc>
      </w:tr>
      <w:tr>
        <w:trPr>
          <w:trHeight w:val="54"/>
        </w:trPr>
        <w:tc>
          <w:tcPr>
            <w:tcW w:w="2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for 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13,633,036</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1,739,347</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261,004</w:t>
            </w: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328,478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77,188</w:t>
            </w:r>
          </w:p>
        </w:tc>
        <w:tc>
          <w:tcPr>
            <w:tcW w:w="0" w:type="dxa"/>
            <w:vAlign w:val="bottom"/>
          </w:tcPr>
          <w:p>
            <w:pPr>
              <w:spacing w:after="0"/>
              <w:rPr>
                <w:sz w:val="1"/>
                <w:szCs w:val="1"/>
                <w:color w:val="auto"/>
              </w:rPr>
            </w:pPr>
          </w:p>
        </w:tc>
      </w:tr>
      <w:tr>
        <w:trPr>
          <w:trHeight w:val="54"/>
        </w:trPr>
        <w:tc>
          <w:tcPr>
            <w:tcW w:w="29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-1045210</wp:posOffset>
            </wp:positionV>
            <wp:extent cx="514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-1045210</wp:posOffset>
            </wp:positionV>
            <wp:extent cx="514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-1045210</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-1045210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-1045210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-1045210</wp:posOffset>
            </wp:positionV>
            <wp:extent cx="34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or CUSIP number, a number used to identify our common stock.</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Also, the number of outstanding shares of our common stock and the number of authorized shares of our common stock would be reduced in accordance with the ratio for the proposed reverse stock split selected by the board from among those set forth in this Proposal No. 2, but the percentage of the authorized shares of our common stock that are issued and outstanding would remain the same before and after the proposed reverse stock split is implemented. For example, based on the 136,330,360 shares of our common stock outstanding on March 31, 2022 and the 300,000,000 shares of our common stock currently authorized under our Amended and Restated Certificate of Incorporation, a proposed reverse stock split at a ratio of 1-for-2 would have the effect of reducing the number of outstanding shares of our common stock to approximately 68,165,180 and reducing the number of authorized shares of our common stock to 150,000,000, thereby reducing the number of authorized but unissued shares of common stock from 163,669,640 to approximately 81,834,820; however, the number of shares of outstanding common stock would remain approximately 45.4% of the number of shares of authorized common stock both immediately before and immediately after the proposed reverse stock split.</w:t>
      </w:r>
    </w:p>
    <w:p>
      <w:pPr>
        <w:spacing w:after="0" w:line="8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Further, the proposed reverse stock split would reduce the number of shares of our common stock issuable upon vesting of outstanding restricted stock units or conversion or exercise of outstanding convertible notes, warrants and stock options (and, as applicable, would increase the conversion, exchange or exercise price per share under such convertible notes, warrants and stock options), as well as the number of shares of our common stock reserved for issuance pursuant to our 2014 Employee Stock Purchase Plan and equity awards we may grant in the future under our 2014 Equity Incentive Plan or under our 2016 Employment Commencement Incentive Plan. In each such case, the number of shares of our common stock would be reduced by the ratio at which the proposed reversed stock split is implemented, and any applicable conversion, exchange or exercise price per share would be increased by the same ratio.</w:t>
      </w:r>
    </w:p>
    <w:p>
      <w:pPr>
        <w:spacing w:after="0" w:line="80"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If the proposed reverse stock split is implemented, it would increase the number of our stockholders who own “odd lots” of less than 100 shares of common stock. Brokerage commission and other costs of transactions in odd lots are generally higher than the costs of transactions of more than 100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of 1934, as amended (the “Exchange Act”), and we are subject to the periodic reporting and other requirements of the Exchange Act. The reverse stock split would not affect the registration of our common stock under the Exchange Act. If the reverse stock split is implemented, our common stock would continue to be reported on the Nasdaq Global Market under the symbol “ARDX” (although Nasdaq would likely add the letter “D” to the end of the trading symbol for a period of approximately 20 trading days to indicate that the reverse stock split has occurred).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Our board of directors, in its discretion, may elect to effect the reverse stock split upon receipt of stockholder approval, or not if our board of director determines in its discretion not to proceed with the reverse stock split. The reverse stock split and the change in the number of our authorized shares of common stock would become effective on the date of filing of a certificate of amendment to our Amended and Restated Certificate of Incorporation with the Secretary of State of the State of Delaware. On the effective date, shares of common stock issued and outstanding immediately prior thereto will be combined and converted, automatically and without any action on the part of the stockholders, into new shares of common stock in accordance with the exchange ratio contained in the certificate of amendment. If our Board does not implement the reverse stock split by September 15, 2022, stockholder approval would be required again prior to the implementation of any reverse stock split.</w:t>
      </w:r>
    </w:p>
    <w:p>
      <w:pPr>
        <w:spacing w:after="0" w:line="80"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If the amendment is approved, we will provide additional details about the implementation of the reverse stock split on our website following the Annual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No scrip or fractional shares would be issued if, as a result of the reverse stock split, a stockholder would otherwise become entitled to a fractional share. Instead, we would pay to the stockholder, in cash, the value of any fractional share arising from the reverse stock split. The cash payment would equal the closing sale price per share of our common stock as reported on the Nasdaq Global Market on the last trading day preceding the effective date of the reverse stock split multiplied by the number of shares of pre-split common stock held by the stockholder that would otherwise have been exchanged for such fractional share. No transaction costs would be assessed to stockholders for the cash payment. Stockholders would not be entitled to receive interest for their fractional shares.</w:t>
      </w:r>
    </w:p>
    <w:p>
      <w:pPr>
        <w:spacing w:after="0" w:line="81" w:lineRule="exact"/>
        <w:rPr>
          <w:sz w:val="20"/>
          <w:szCs w:val="20"/>
          <w:color w:val="auto"/>
        </w:rPr>
      </w:pPr>
    </w:p>
    <w:p>
      <w:pPr>
        <w:jc w:val="both"/>
        <w:ind w:left="300" w:right="639"/>
        <w:spacing w:after="0" w:line="266" w:lineRule="auto"/>
        <w:rPr>
          <w:sz w:val="20"/>
          <w:szCs w:val="20"/>
          <w:color w:val="auto"/>
        </w:rPr>
      </w:pPr>
      <w:r>
        <w:rPr>
          <w:rFonts w:ascii="Times New Roman" w:cs="Times New Roman" w:eastAsia="Times New Roman" w:hAnsi="Times New Roman"/>
          <w:sz w:val="18"/>
          <w:szCs w:val="18"/>
          <w:color w:val="auto"/>
        </w:rPr>
        <w:t>If you do not hold sufficient shares of pre-split common stock to receive at least one post-split share of common stock and you want to hold our common stock after the reverse stock split, you may do so by taking either of the following actions far enough in advance so that it is completed before the reverse stock split is effected:</w:t>
      </w:r>
    </w:p>
    <w:p>
      <w:pPr>
        <w:spacing w:after="0" w:line="68" w:lineRule="exact"/>
        <w:rPr>
          <w:sz w:val="20"/>
          <w:szCs w:val="20"/>
          <w:color w:val="auto"/>
        </w:rPr>
      </w:pPr>
    </w:p>
    <w:p>
      <w:pPr>
        <w:ind w:left="660" w:right="339"/>
        <w:spacing w:after="0" w:line="266" w:lineRule="auto"/>
        <w:rPr>
          <w:sz w:val="20"/>
          <w:szCs w:val="20"/>
          <w:color w:val="auto"/>
        </w:rPr>
      </w:pPr>
      <w:r>
        <w:rPr>
          <w:rFonts w:ascii="Times New Roman" w:cs="Times New Roman" w:eastAsia="Times New Roman" w:hAnsi="Times New Roman"/>
          <w:sz w:val="18"/>
          <w:szCs w:val="18"/>
          <w:color w:val="auto"/>
        </w:rPr>
        <w:t>purchase a sufficient number of shares of our common stock so that you would hold at least that number of shares of common stock in your account prior to the implementation of the reverse stock split that would entitle you to receive at least one share of common stock on a post-split basis; or</w:t>
      </w:r>
    </w:p>
    <w:p>
      <w:pPr>
        <w:spacing w:after="0" w:line="68" w:lineRule="exact"/>
        <w:rPr>
          <w:sz w:val="20"/>
          <w:szCs w:val="20"/>
          <w:color w:val="auto"/>
        </w:rPr>
      </w:pPr>
    </w:p>
    <w:p>
      <w:pPr>
        <w:ind w:left="660" w:right="379"/>
        <w:spacing w:after="0" w:line="254" w:lineRule="auto"/>
        <w:rPr>
          <w:sz w:val="20"/>
          <w:szCs w:val="20"/>
          <w:color w:val="auto"/>
        </w:rPr>
      </w:pPr>
      <w:r>
        <w:rPr>
          <w:rFonts w:ascii="Times New Roman" w:cs="Times New Roman" w:eastAsia="Times New Roman" w:hAnsi="Times New Roman"/>
          <w:sz w:val="18"/>
          <w:szCs w:val="18"/>
          <w:color w:val="auto"/>
        </w:rPr>
        <w:t>if applicable, consolidate your accounts so that you hold at least that number of shares of our common stock in one account prior to the reverse stock split that would entitle you to at least one share of our common stock on a post-split basis. Common stock held in registered form (that is, shares held by you in your own name on our company’s share register maintained by our transfer agent) and common stock held in “street name” (that is, shares held by you through a bank, broker or other nominee) for the same investor would be considered held in separate accounts and would not be aggregated when implementing the reverse stock split. Also, shares of common stock held in registered form but in separate accounts by the same investor would not be aggregated when implementing the reverse stock split.</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 person otherwise entitled to a fractional share would not have any voting, dividend or other rights in respect of his or her fractional share except to receive the cash payment as described above. Such cash payments would reduce the number of post-split stockholders to the extent that there are stockholders holding fewer than that number of pre-split shares within the range of exchange ratios described above. Reducing the number of post-split stockholders, however, is not the purpose of this proposal.</w:t>
      </w:r>
    </w:p>
    <w:p>
      <w:pPr>
        <w:spacing w:after="0" w:line="79"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Stockholders should be aware that, under the escheat laws of the various jurisdictions where stockholders reside, where we are domiciled and where the funds for fractional shares would be deposited, sums due to stockholders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 payment for fractional shares that are not timely claimed after the effective date may be required to be paid to the designated agent for each such jurisdiction. Thereafter, stockholders otherwise entitled to receive such funds may have to seek to obtain them directly from the state to which they were paid.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on Non-Registered Stockholders</w:t>
      </w:r>
    </w:p>
    <w:p>
      <w:pPr>
        <w:spacing w:after="0" w:line="121" w:lineRule="exact"/>
        <w:rPr>
          <w:sz w:val="20"/>
          <w:szCs w:val="20"/>
          <w:color w:val="auto"/>
        </w:rPr>
      </w:pPr>
    </w:p>
    <w:p>
      <w:pPr>
        <w:ind w:left="300" w:right="539"/>
        <w:spacing w:after="0" w:line="256" w:lineRule="auto"/>
        <w:rPr>
          <w:sz w:val="20"/>
          <w:szCs w:val="20"/>
          <w:color w:val="auto"/>
        </w:rPr>
      </w:pPr>
      <w:r>
        <w:rPr>
          <w:rFonts w:ascii="Times New Roman" w:cs="Times New Roman" w:eastAsia="Times New Roman" w:hAnsi="Times New Roman"/>
          <w:sz w:val="18"/>
          <w:szCs w:val="18"/>
          <w:color w:val="auto"/>
        </w:rPr>
        <w:t>Non-registered stockholders holding our common stock through a bank, broker or other nominee should note that such banks, brokers or other nominees may have different procedures for processing the consolidation than those that would be put in place by us for registered stockholders, and their procedures may result, for example, in differences in the precise cash amounts being paid by such nominees in lieu of a fractional share. If you hold your shares with such a bank, broker or other nominee and if you have questions in this regard, you are encouraged to contact your nominee.</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Book-Entry Shares and Payment for Fractional Shares</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combination of and reduction in the number of our outstanding shares of common stock as a result of the reverse stock split would occur automatically on the effective date without any action on the part of our stockholders. Our registered stockholders all of their shares electronically in book-entry form, and as a result do not have stock certificates evidencing their ownership of common stock. They are, however, provided with a statement reflecting the number of shares of common stock registered in their accounts.</w:t>
      </w:r>
    </w:p>
    <w:p>
      <w:pPr>
        <w:spacing w:after="0" w:line="75"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Stockholders who hold registered shares of our common stock in book-entry form do not need to take any action to receive post-reverse stock split shares of our common stock in registered book-entry form or the cash payment in lieu of any fractional interest, if applicable. These stockholders will have their pre-reverse stock split shares exchanged automatically and a Credit Advice will be mailed to them upon exchange indicating the number of post-reverse stock split shares owned by such stockholders. A check will also be mailed to such stockholders’ registered address as soon as practicable after the effective date of the reverse stock split. By signing and cashing this check, such stockholders will warrant that they owned the shares of our common stock for which they received the cash payment.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The par value per share of our common stock would remain unchanged at $0.0001 per share after the reverse stock split. As a result, on the effective date of the reverse stock split, the amount on our balance sheet attributable to our common stock would be reduced proportionally, based on the exchange ratio of the reverse stock split, from its present amount, and the additional paid-in capital account would be credited with the amount by which the common stock is reduced. The per share common stock net loss would be increased because there would be fewer shares of our common stock outstanding. We do not anticipate that any other accounting consequences would arise as a result of the reverse stock split.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stockholders are not entitled to dissenters’ rights with respect to the proposed amendment to our Amended and Restated Certificate of Incorporation to effect the reverse stock split, and we will not independently provide our stockholders with any such right.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21"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Notwithstanding the change in the number of authorized shares and outstanding shares following the reverse stock split, the board of directors does not intend for this transaction to be the first step in a series of plans or proposals of a “going private transaction” within the meaning of Rule 13e-3 of the Exchange Act.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Proposal</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Certain of our officers and directors have an interest in Proposal No. 2 as a result of their ownership of shares of our common stock, as set forth in the section entitled “Security Ownership of Certain Beneficial Owners and Management” below. However, we do not believe that our officers or directors have interests in Proposal No. 2 that are different from or greater than those of any other of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consequences of the reverse stock split that may be relevant to U.S. Holders (as defined below) of our common stock,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(the “Treasury Regulations”),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our common stock. We have not sought and will not seek an opinion of counsel or any rulings from the IRS regarding the matters discussed below. There can be no assurance the IRS or a court will not take a contrary position to that discussed below regarding the tax consequences of the reverse stock split.</w:t>
      </w:r>
    </w:p>
    <w:p>
      <w:pPr>
        <w:spacing w:after="0" w:line="8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as “capital assets”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that are not U.S. Holders (as defined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subject to the alternative minimum tax;</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7" w:lineRule="exact"/>
        <w:rPr>
          <w:sz w:val="20"/>
          <w:szCs w:val="20"/>
          <w:color w:val="auto"/>
        </w:rPr>
      </w:pPr>
    </w:p>
    <w:p>
      <w:pPr>
        <w:ind w:left="660" w:right="559"/>
        <w:spacing w:after="0" w:line="282" w:lineRule="auto"/>
        <w:rPr>
          <w:sz w:val="20"/>
          <w:szCs w:val="20"/>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banks, insurance companies, and other financial institutions;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brokers, dealers or traders in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117"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tax-exempt organizations or governmental organizations;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sz w:val="20"/>
          <w:szCs w:val="20"/>
          <w:color w:val="auto"/>
        </w:rPr>
      </w:pPr>
    </w:p>
    <w:p>
      <w:pPr>
        <w:ind w:left="660" w:right="839"/>
        <w:spacing w:after="0" w:line="282" w:lineRule="auto"/>
        <w:rPr>
          <w:sz w:val="20"/>
          <w:szCs w:val="20"/>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 and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tax-qualified retirement plans.</w:t>
      </w:r>
    </w:p>
    <w:p>
      <w:pPr>
        <w:spacing w:after="0" w:line="117"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5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INTENDED AS TAX ADVICE. HOLDERS OF OUR COMMON STOCK SHOULD CONSULT THEIR TAX ADVISORS WITH RESPECT TO THE APPLICATION OF THE U.S. FEDERAL INCOME TAX LAWS TO THEIR PARTICULAR SITUATIONS AS WELL AS ANY TAX CONSEQUENCES OF THE REVERSE STOCK SPLIT ARISING UNDER OTHER U.S. FEDERAL TAX LAWS (INCLUDING ESTATE AND GIFT TAX LAWS), UNDER THE LAWS OF ANY STATE, LOCAL OR NON-U.S. TAXING JURISDICTION OR UNDER ANY APPLICABLE TAX TREATY.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For purposes of this discussion, a “U.S. Holder” is a beneficial owner of shares of our common stock that for U.S. federal income tax purposes is or is treated as: (1) an individual who is a citizen or resident of the United States; (2) a corporation created or organized under the laws of the United States, any state thereof, or the District of Columbia;</w:t>
      </w:r>
    </w:p>
    <w:p>
      <w:pPr>
        <w:spacing w:after="0" w:line="2" w:lineRule="exact"/>
        <w:rPr>
          <w:sz w:val="20"/>
          <w:szCs w:val="20"/>
          <w:color w:val="auto"/>
        </w:rPr>
      </w:pPr>
    </w:p>
    <w:p>
      <w:pPr>
        <w:jc w:val="both"/>
        <w:ind w:left="300" w:right="399" w:hanging="8"/>
        <w:spacing w:after="0" w:line="253"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 (4) a trust that (a) is subject to the primary supervision of a U.S. court and the control of one of more “United States persons” (within the meaning of Section 7701(a)(30) of the Code), or (b) has a valid election in effect to be treated as a United States person for U.S. federal income tax purposes.</w:t>
      </w:r>
    </w:p>
    <w:p>
      <w:pPr>
        <w:spacing w:after="0" w:line="8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As a result, a U.S. Holder generally should not recognize gain or loss upon the reverse stock split, except with respect to cash received in lieu of a fractional share of our common stock, as discussed below. A U.S. Holder’s aggregate tax basis in the shares of our common stock received pursuant to the reverse stock split should equal the aggregate tax basis of the shares of our common stock surrendered (excluding any portion of such basis that is allocated to any fractional share of our common stock), and such U.S. Holder’s holding period in the shares of our common stock received should include the holding period in the shares of our common stock surrendered. Treasury Regulations provide detailed rules for allocating the tax basis and holding period of the shares of our common stock surrendered to the shares of our common stock received pursuant to the reverse stock split. Holders of shares of our common stock acquired on different dates and at different prices should consult their tax advisors regarding the allocation of the tax basis and holding period of such shares.</w:t>
      </w:r>
    </w:p>
    <w:p>
      <w:pPr>
        <w:spacing w:after="0" w:line="8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 U.S. Holder that receives cash in lieu of a fractional share of our common stock pursuant to the reverse stock split should recognize capital gain or loss in an amount equal to the difference between the amount of cash received and the U.S. Holder’s tax basis in the shares of our common stock surrendered that is allocated to such fractional share of our common stock. Such capital gain or loss should be long-term capital gain or loss if the U.S. Holder’s holding period for our common stock surrendered exceeded one year at the effective time of the reverse stock split.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 U.S. Holder (other than corporations and certain other exempt recipients) may be subject to information reporting and backup withholding when such holder receives cash in lieu of a fractional share of our common stock pursuant to the reverse stock split. A U.S. Holder will be subject to backup withholding if such holder is not otherwise exempt and such holder does not provide its taxpayer identification number in the manner required or otherwise fails to comply with applicable backup withholding tax rules. Backup withholding is not an additional tax. Any amounts withheld under the backup withholding rules may be refunded or allowed as a credit against the U.S. Holder’s federal income tax liability, if any, provided the required information is timely furnished to the IRS. U.S. Holders should consult their tax advisors regarding their qualification for an exemption from backup withholding and the procedures for obtaining such an exemption.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 of Directors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affirmative vote of a majority of the outstanding shares of common stock entitled to vote at the meeting will be required to approve the amendment of our Amended and Restated Certificate of Incorporation to effect a reverse stock split. Abstentions and broker non-votes with respect to this proposal will be counted for purposes of establishing a quorum and, if a quorum is present, will have the same effect as a vote against this proposal.</w:t>
      </w:r>
    </w:p>
    <w:p>
      <w:pPr>
        <w:spacing w:after="0" w:line="68" w:lineRule="exact"/>
        <w:rPr>
          <w:sz w:val="20"/>
          <w:szCs w:val="20"/>
          <w:color w:val="auto"/>
        </w:rPr>
      </w:pPr>
    </w:p>
    <w:p>
      <w:pPr>
        <w:ind w:left="300" w:right="339"/>
        <w:spacing w:after="0" w:line="257" w:lineRule="auto"/>
        <w:rPr>
          <w:sz w:val="20"/>
          <w:szCs w:val="20"/>
          <w:color w:val="auto"/>
        </w:rPr>
      </w:pPr>
      <w:r>
        <w:rPr>
          <w:rFonts w:ascii="Times New Roman" w:cs="Times New Roman" w:eastAsia="Times New Roman" w:hAnsi="Times New Roman"/>
          <w:sz w:val="18"/>
          <w:szCs w:val="18"/>
          <w:b w:val="1"/>
          <w:bCs w:val="1"/>
          <w:color w:val="auto"/>
        </w:rPr>
        <w:t>OUR BOARD OF DIRECTORS UNANIMOUSLY RECOMMENDS THAT THE STOCKHOLDERS VOTE FOR PROPOSAL NO. 2 TO GRANT THE BOARD AUTHORITY TO EFFECT A REVERSE STOCK SPLIT OF OUR AUTHORIZED COMMON STOCK AND OUTSTANDING COMMON STOCK BY AMENDING OUR AMENDED AND RESTATED CERTIFICATE OF INCORPORATION BY SEPTEMBER 15, 2022 AND WITHIN A RANGE OF NOT LESS THAN 1-FOR-2 AND NOT MORE THAN 1-FOR-10, IF THE BOARD DEEMS IT WITHIN THE COMPANY’S BEST INTERESTS.</w:t>
      </w:r>
    </w:p>
    <w:p>
      <w:pPr>
        <w:spacing w:after="0" w:line="74" w:lineRule="exact"/>
        <w:rPr>
          <w:sz w:val="20"/>
          <w:szCs w:val="20"/>
          <w:color w:val="auto"/>
        </w:rPr>
      </w:pPr>
    </w:p>
    <w:p>
      <w:pPr>
        <w:ind w:left="300" w:right="1519"/>
        <w:spacing w:after="0" w:line="286" w:lineRule="auto"/>
        <w:rPr>
          <w:sz w:val="20"/>
          <w:szCs w:val="20"/>
          <w:color w:val="auto"/>
        </w:rPr>
      </w:pPr>
      <w:r>
        <w:rPr>
          <w:rFonts w:ascii="Times New Roman" w:cs="Times New Roman" w:eastAsia="Times New Roman" w:hAnsi="Times New Roman"/>
          <w:sz w:val="18"/>
          <w:szCs w:val="18"/>
          <w:b w:val="1"/>
          <w:bCs w:val="1"/>
          <w:color w:val="auto"/>
        </w:rPr>
        <w:t>PROXIES SOLICITED BY OUR BOARD OF DIRECTORS WILL BE SO VOTED UNLESS STOCKHOLDERS SPECIFY OTHERWISE ON THEIR PROXY CARDS.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9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In accordance with Section 14A of the Exchange Act, the Company is providing stockholders an opportunity to cast a non-binding, advisory vote to approve the compensation of our Named Executive Officers, or NEOs (sometimes referred to as a “Say-on-Pay” vote). Accordingly, you have the opportunity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from voting on the following non-binding resolution at the 2022 Annual Meeting:</w:t>
      </w:r>
    </w:p>
    <w:p>
      <w:pPr>
        <w:spacing w:after="0" w:line="72" w:lineRule="exact"/>
        <w:rPr>
          <w:sz w:val="20"/>
          <w:szCs w:val="20"/>
          <w:color w:val="auto"/>
        </w:rPr>
      </w:pPr>
    </w:p>
    <w:p>
      <w:pPr>
        <w:ind w:left="660" w:right="299"/>
        <w:spacing w:after="0" w:line="261" w:lineRule="auto"/>
        <w:rPr>
          <w:sz w:val="20"/>
          <w:szCs w:val="20"/>
          <w:color w:val="auto"/>
        </w:rPr>
      </w:pPr>
      <w:r>
        <w:rPr>
          <w:rFonts w:ascii="Times New Roman" w:cs="Times New Roman" w:eastAsia="Times New Roman" w:hAnsi="Times New Roman"/>
          <w:sz w:val="18"/>
          <w:szCs w:val="18"/>
          <w:color w:val="auto"/>
        </w:rPr>
        <w:t>“Resolved, that the stockholders approve, on an advisory basis, the compensation of the Company’s named executive officers as disclosed in the Company’s proxy statement for the 2022 Annual Meeting of Stockholders pursuant to the compensation disclosure rules of the SEC, including the accompanying compensation tables and the related narrative disclosure in the proxy statement.”</w:t>
      </w:r>
    </w:p>
    <w:p>
      <w:pPr>
        <w:spacing w:after="0" w:line="72" w:lineRule="exact"/>
        <w:rPr>
          <w:sz w:val="20"/>
          <w:szCs w:val="20"/>
          <w:color w:val="auto"/>
        </w:rPr>
      </w:pPr>
    </w:p>
    <w:p>
      <w:pPr>
        <w:ind w:left="300" w:right="439"/>
        <w:spacing w:after="0" w:line="254"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review the accompanying compensation tables and the related narrative disclosure. As described in detail in the sections entitled “Compensation Discussion and Analysis” and “Compensation of Our Named Executive Officers,” our compensation programs are designed to reward, motivate, attract and retain top talent by rewarding performance based upon achievement of pre-approved annual goals and objectives. A portion of each NEO’s compensation is contingent upon overall corporate performance as well as specific performance metrics particular to each NEO’s position and consistent with the NEO’s role on the management team. We believe that our compensation programs align the interests of our NEOs with that of our stockholders and provide motivation for high performance levels from our NEOs.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Approval, on a non-binding, advisory basis, of the compensation of our NEOs, as disclosed in this Proxy Statement pursuant to the compensation disclosure rules of the SEC, requires the affirmative vote of the majority of shares of common stock present online live or represented by proxy at the 2022 Annual Meeting and entitled to vote on such proposal. Abstentions and broker non-votes will be counted towards a quorum. Abstentions will have the same effect as an “Against” vote for purposes of determining whether this matter has been approved. Broker non-votes will not be counted for any purpose in determining whether this matter has been approved.</w:t>
      </w:r>
    </w:p>
    <w:p>
      <w:pPr>
        <w:spacing w:after="0" w:line="79" w:lineRule="exact"/>
        <w:rPr>
          <w:sz w:val="20"/>
          <w:szCs w:val="20"/>
          <w:color w:val="auto"/>
        </w:rPr>
      </w:pPr>
    </w:p>
    <w:p>
      <w:pPr>
        <w:ind w:left="300" w:right="539"/>
        <w:spacing w:after="0" w:line="274" w:lineRule="auto"/>
        <w:rPr>
          <w:sz w:val="20"/>
          <w:szCs w:val="20"/>
          <w:color w:val="auto"/>
        </w:rPr>
      </w:pPr>
      <w:r>
        <w:rPr>
          <w:rFonts w:ascii="Times New Roman" w:cs="Times New Roman" w:eastAsia="Times New Roman" w:hAnsi="Times New Roman"/>
          <w:sz w:val="17"/>
          <w:szCs w:val="17"/>
          <w:color w:val="auto"/>
        </w:rPr>
        <w:t>While your vote on this proposal is advisory and will not be binding on the Board of Directors, the Compensation Committee, the Company, and the Board of Directors value the opinions of the stockholders on executive compensation matters and will take into consideration the outcome of the vote when making future executive compensation decisions, to the extent they can determine the cause or causes of any significant negative voting results. Unless the Board of Directors modifies its determination on the frequency of future Say-On-Pay advisory votes, the next Say-On-Pay advisory vote will be held at the fiscal 2023 annual meeting of stockholders.</w:t>
      </w:r>
    </w:p>
    <w:p>
      <w:pPr>
        <w:spacing w:after="0" w:line="101" w:lineRule="exact"/>
        <w:rPr>
          <w:sz w:val="20"/>
          <w:szCs w:val="20"/>
          <w:color w:val="auto"/>
        </w:rPr>
      </w:pPr>
    </w:p>
    <w:p>
      <w:pPr>
        <w:jc w:val="center"/>
        <w:ind w:left="300" w:right="2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BOARD OF DIRECTORS RECOMMENDS A VOTE </w:t>
      </w:r>
      <w:r>
        <w:rPr>
          <w:rFonts w:ascii="Times New Roman" w:cs="Times New Roman" w:eastAsia="Times New Roman" w:hAnsi="Times New Roman"/>
          <w:sz w:val="17"/>
          <w:szCs w:val="17"/>
          <w:b w:val="1"/>
          <w:bCs w:val="1"/>
          <w:i w:val="1"/>
          <w:iCs w:val="1"/>
          <w:u w:val="single" w:color="auto"/>
          <w:color w:val="auto"/>
        </w:rPr>
        <w:t>FOR</w:t>
      </w:r>
      <w:r>
        <w:rPr>
          <w:rFonts w:ascii="Times New Roman" w:cs="Times New Roman" w:eastAsia="Times New Roman" w:hAnsi="Times New Roman"/>
          <w:sz w:val="17"/>
          <w:szCs w:val="17"/>
          <w:b w:val="1"/>
          <w:bCs w:val="1"/>
          <w:i w:val="1"/>
          <w:iCs w:val="1"/>
          <w:color w:val="auto"/>
        </w:rPr>
        <w:t xml:space="preserve"> THE APPROVAL OF THE COMPENSATION OF THE NAMED EXECUTIVE OFFICERS, AS DISCLOSED IN THIS PROXY STATEMENT.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9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audit committee of our board of directors has selected Ernst &amp; Young LLP, or EY, as our independent registered public accounting firm for the year ending December 31, 2022, and is seeking ratification of such selection by our stockholders at the 2022 Annual Meeting. EY has audited our financial statements since the fiscal year ended December 31, 2014. Representatives of EY are expected to be present in attendance online at the 2022 Annual Meeting. They will have an opportunity to make a statement if they so desire and will be available to respond to appropriate questions.</w:t>
      </w:r>
    </w:p>
    <w:p>
      <w:pPr>
        <w:spacing w:after="0" w:line="79" w:lineRule="exact"/>
        <w:rPr>
          <w:sz w:val="20"/>
          <w:szCs w:val="20"/>
          <w:color w:val="auto"/>
        </w:rPr>
      </w:pPr>
    </w:p>
    <w:p>
      <w:pPr>
        <w:ind w:left="300" w:right="439"/>
        <w:spacing w:after="0" w:line="274" w:lineRule="auto"/>
        <w:rPr>
          <w:sz w:val="20"/>
          <w:szCs w:val="20"/>
          <w:color w:val="auto"/>
        </w:rPr>
      </w:pPr>
      <w:r>
        <w:rPr>
          <w:rFonts w:ascii="Times New Roman" w:cs="Times New Roman" w:eastAsia="Times New Roman" w:hAnsi="Times New Roman"/>
          <w:sz w:val="17"/>
          <w:szCs w:val="17"/>
          <w:color w:val="auto"/>
        </w:rPr>
        <w:t>Neither our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select a different independent registered public accounting firm at any time during the year if they determine that such a change would be in the best interests of the Company and our stockholders.</w:t>
      </w:r>
    </w:p>
    <w:p>
      <w:pPr>
        <w:spacing w:after="0" w:line="65"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shares cast at the 2022 Annual Meeting will be required to ratify the selection of EY.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4.</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2021 and 2020, EY billed the approximate fees set forth below. All fees included below were approved by the audit committee.</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78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7"/>
        </w:trPr>
        <w:tc>
          <w:tcPr>
            <w:tcW w:w="66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13"/>
        </w:trPr>
        <w:tc>
          <w:tcPr>
            <w:tcW w:w="664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66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90"/>
        </w:trPr>
        <w:tc>
          <w:tcPr>
            <w:tcW w:w="66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$1,626,350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$1,078,000</w:t>
            </w:r>
          </w:p>
        </w:tc>
      </w:tr>
      <w:tr>
        <w:trPr>
          <w:trHeight w:val="270"/>
        </w:trPr>
        <w:tc>
          <w:tcPr>
            <w:tcW w:w="66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125,866</w:t>
            </w:r>
          </w:p>
        </w:tc>
      </w:tr>
      <w:tr>
        <w:trPr>
          <w:trHeight w:val="282"/>
        </w:trPr>
        <w:tc>
          <w:tcPr>
            <w:tcW w:w="664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Other Fees</w:t>
            </w:r>
            <w:r>
              <w:rPr>
                <w:rFonts w:ascii="Times New Roman" w:cs="Times New Roman" w:eastAsia="Times New Roman" w:hAnsi="Times New Roman"/>
                <w:sz w:val="26"/>
                <w:szCs w:val="26"/>
                <w:color w:val="auto"/>
                <w:vertAlign w:val="superscript"/>
              </w:rPr>
              <w:t>(3)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57"/>
        </w:trPr>
        <w:tc>
          <w:tcPr>
            <w:tcW w:w="6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All Fees</w:t>
            </w:r>
          </w:p>
        </w:tc>
        <w:tc>
          <w:tcPr>
            <w:tcW w:w="80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1,652,413</w:t>
            </w:r>
          </w:p>
        </w:tc>
        <w:tc>
          <w:tcPr>
            <w:tcW w:w="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2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1,206,376</w:t>
            </w:r>
          </w:p>
        </w:tc>
      </w:tr>
      <w:tr>
        <w:trPr>
          <w:trHeight w:val="20"/>
        </w:trPr>
        <w:tc>
          <w:tcPr>
            <w:tcW w:w="66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-753745</wp:posOffset>
            </wp:positionV>
            <wp:extent cx="94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-753745</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right="499" w:hanging="348"/>
        <w:spacing w:after="0" w:line="236"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and expenses for professional services rendered for the audit of our annual financial statements, reviews of our interim quarterly reports, accounting and financial reporting consultations, and the issuance of consents and comfort letters in connection with statutory and regulatory filings or engagements. In 2021, Audit Fees also included fees and expenses covering the integrated audit of our annual financial statements and of our internal controls over financial reporting.</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for professional services rendered by EY for tax compliance, tax advice and tax planning.</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consists of fees related to accessing EY’s online research database.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 and non-audit services to be performed for the Company by the independent registered public accounting firm. This policy is set forth in the charter of the audit committee and available at http://ir.ardelyx.com/corporate-governance. The policy provides that before an independent registered public accounting firm is engaged by Ardelyx or its subsidiaries to render audit or non-audit services, the audit committee must review the terms of the proposed engagement and pre-approve the engagement. Audit committee pre-approval of audit and non-audit services is not required if the engagement for the services is entered into pursuant to the pre-approval policies and procedures established by the audit committee regarding Ardelyx’s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management. The audit committee may delegate to one or more designated members of the audit committee the authority to grant pre-approvals, provided such approvals are presented to the audit committee at a subsequent meeting. Audit committee pre-approval of non-audit services (other than review and attest services) also will not be required if such services fall within available exceptions established by the SEC. The audit committee has considered the role of EY in providing audit and audit-related services to the Company and has concluded that such services are compatible with EY’s role as the Company’s independent registered public accounting firm.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left="300" w:right="79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oversee our accounting and our financial reporting processes on behalf of our board of directors and our compliance with legal and regulatory requirements. The audit committee’s functions are more fully described in its charter, which is available on our website at http://ir.ardelyx.com/corporate-governance.</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with management the Company’s audited financial statements for the fiscal year ended December 31, 2021 and the audited internal controls over financial reporting as of December 31, 2021. The audit committee has discussed with Ernst &amp; Young LLP, or EY, the Company’s independent registered public accounting firm, the matters required to be discussed by the applicable requirements of the Public Company Accounting Oversight Board, or PCAOB, and the Securities and Exchange Commission, or SEC. In addition, the audit committee has discussed with EY their independence, and received from EY the written disclosures and the letter required by PCAOB Ethics and Independence Rule 3526, “Communication with Audit Committees Concerning Independence.” Finally, the audit committee discussed with EY, with and without management present, the scope and results of EY’s audit of the financial statements for the fiscal year ended December 31, 2021 and internal controls over financial reporting as of December 31, 2021.</w:t>
      </w:r>
    </w:p>
    <w:p>
      <w:pPr>
        <w:spacing w:after="0" w:line="86"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has recommended to our board of directors that such audited financial statements be included in our Annual Report on Form 10-K for the year ended December 31, 2021 for filing with the SEC.</w:t>
      </w:r>
    </w:p>
    <w:p>
      <w:pPr>
        <w:spacing w:after="0" w:line="14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 Chair</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William Bertrand, Jr., Esq.</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Our board of directors currently consists of nine members. Our board of directors has determined that all of our directors, as well as each individual nominated by our board of directors for election to our board of directors at the 2022 Annual Meeting, other than Mr. Raab, qualify as “independent” directors in accordance with the Nasdaq listing requirements. Mr. Raab is not considered independent because he is an employee of our company.</w:t>
      </w:r>
    </w:p>
    <w:p>
      <w:pPr>
        <w:spacing w:after="0" w:line="7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and director nominee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and each nominee’s business and personal activities and relationships as they may relate to us and our management. There are no family relationships among any of our directors, nominees for election to our board of directors or our executive officers.</w:t>
      </w:r>
    </w:p>
    <w:p>
      <w:pPr>
        <w:spacing w:after="0" w:line="86" w:lineRule="exact"/>
        <w:rPr>
          <w:sz w:val="20"/>
          <w:szCs w:val="20"/>
          <w:color w:val="auto"/>
        </w:rPr>
      </w:pPr>
    </w:p>
    <w:p>
      <w:pPr>
        <w:ind w:left="300" w:right="539"/>
        <w:spacing w:after="0" w:line="261" w:lineRule="auto"/>
        <w:rPr>
          <w:sz w:val="20"/>
          <w:szCs w:val="20"/>
          <w:color w:val="auto"/>
        </w:rPr>
      </w:pPr>
      <w:r>
        <w:rPr>
          <w:rFonts w:ascii="Times New Roman" w:cs="Times New Roman" w:eastAsia="Times New Roman" w:hAnsi="Times New Roman"/>
          <w:sz w:val="18"/>
          <w:szCs w:val="18"/>
          <w:color w:val="auto"/>
        </w:rPr>
        <w:t>As described more fully below, the board of directors has also determined that each current member of the compensation committee, the audit committee and the nominating and corporate governance committee meets the independence standards applicable to those committees prescribed by Nasdaq, the SEC and the Internal Revenue Service.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of directors with flexibility to combine or separate the positions of Chairman of the Board and Chief Executive Officer and/or the implementation of a lead director in accordance with its determination that utilizing one or the other structure would be in the best interests of our company. Mr. Mott currently serves as the Chairman of the Board. In that role,</w:t>
      </w:r>
    </w:p>
    <w:p>
      <w:pPr>
        <w:spacing w:after="0" w:line="3" w:lineRule="exact"/>
        <w:rPr>
          <w:sz w:val="20"/>
          <w:szCs w:val="20"/>
          <w:color w:val="auto"/>
        </w:rPr>
      </w:pPr>
    </w:p>
    <w:p>
      <w:pPr>
        <w:ind w:left="300" w:right="519"/>
        <w:spacing w:after="0" w:line="260" w:lineRule="auto"/>
        <w:rPr>
          <w:sz w:val="20"/>
          <w:szCs w:val="20"/>
          <w:color w:val="auto"/>
        </w:rPr>
      </w:pPr>
      <w:r>
        <w:rPr>
          <w:rFonts w:ascii="Times New Roman" w:cs="Times New Roman" w:eastAsia="Times New Roman" w:hAnsi="Times New Roman"/>
          <w:sz w:val="18"/>
          <w:szCs w:val="18"/>
          <w:color w:val="auto"/>
        </w:rPr>
        <w:t>Mr. Mott presides over the executive sessions of the board of directors in which Mr. Raab does not participate and serves as a liaison to Mr. Raab and management on behalf of the board of directors.</w:t>
      </w:r>
    </w:p>
    <w:p>
      <w:pPr>
        <w:spacing w:after="0" w:line="73"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121"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63" w:lineRule="exact"/>
        <w:rPr>
          <w:sz w:val="20"/>
          <w:szCs w:val="20"/>
          <w:color w:val="auto"/>
        </w:rPr>
      </w:pPr>
    </w:p>
    <w:p>
      <w:pPr>
        <w:ind w:left="300" w:right="539"/>
        <w:spacing w:after="0" w:line="312" w:lineRule="auto"/>
        <w:rPr>
          <w:sz w:val="20"/>
          <w:szCs w:val="20"/>
          <w:color w:val="auto"/>
        </w:rPr>
      </w:pPr>
      <w:r>
        <w:rPr>
          <w:rFonts w:ascii="Times New Roman" w:cs="Times New Roman" w:eastAsia="Times New Roman" w:hAnsi="Times New Roman"/>
          <w:sz w:val="17"/>
          <w:szCs w:val="17"/>
          <w:color w:val="auto"/>
        </w:rPr>
        <w:t>Our board of directors does not have a standing risk management committee, but rather administers this oversight function directly through our board of directors as a whole, as well as through various standing committees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our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Our nominating and corporate governance committee monitors the effectiveness of our corporate governance guidelines and considers and approves or disapproves any related-persons transactions. Our compensation committee assesses and monitors whether any of our compensation policies and programs has the potential to encourage excessive risk-taking.</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During 2021, the board of directors met 17 times, the audit committee met four times, the compensation committee met three times and the nominating and corporate governance committee met one time. In that year, each director attended at least 75% of the aggregate number of meetings of the board of directors and the committees on which he or she served. As required under Nasdaq rules and regulations, our independent directors meet in regularly scheduled executive sessions at which only independent directors are present.</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539"/>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11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independent registered public accounting firm’s qualifications, independence and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and the audit fee;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1000" w:right="10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independent registered public accounting firm regarding the effectiveness of internal controls over financial reporting;</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retention of the independent registered public accounting firm to perform any proposed permissible audit and non-audit services;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rotation of partners of the independent registered public accounting firm on our engagement team as required by law;</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reviewing our financial statements and our management’s discussion and analysis of financial condition and results of operations to be included in our annual and quarterly reports to be filed with the SEC;</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responsible for being knowledgeable about the content and operation of our global compliance program and exercising oversight over its implementation and effectiveness;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audit committee charter and the committee’s performance.</w:t>
      </w:r>
    </w:p>
    <w:p>
      <w:pPr>
        <w:spacing w:after="0" w:line="117"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In 2021, Messrs. Rodgers, Bertrand and Mott served as members of the audit committee, and they comprise the current members of our audit committee. Mr. Rodgers serves as the chairperson of the committee. Each of the members of our audit committee during 2021 met, and each of the current members of our audit committee, meets or will meet, the requirements for financial literacy under the applicable rules and regulations of the SEC and Nasdaq. Our board of directors has determined that Mr. Rodgers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of directors has determined that each of the members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audit committee during 2021 was, and each of the current members of our audit committee is or will be an “independent director” under the heightened independence standards under the applicable rules of Nasdaq. Our audit committee has been established in accordance with the rules and regulations of the Exchange Act. The audit committee operates under a written charter that satisfies the applicable standards of the SEC and Nasdaq. A copy of the audit committee charter is available to security holders on the Company’s website at http://ir.ardelyx.com/corporate-governance.</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Our compensation committee reviews and recommends policies relating to compensation and benefits of our officers and employees. The compensation committee reviews and approves corporate goals and objectives relevant to compensation of our Chief Executive Officer and other executive officers, evaluates the performance of these officers in light of those goals and objectives, and sets the compensation of these officers, other than the Chief Executive Officer, based on such evaluations. The board of directors retains the authority to determine and approve, upon the recommendation of the compensation committee, the compensation of the Chief Executive Officer. Our executive officers submit proposals to the board of directors and compensation committee regarding our executive and director compensation. The compensation committee also approves grants of stock options and other awards under our stock plans. The compensation committee has delegated authority to the Chief Executive Officer to grant stock options to purchase shares of common stock and restricted stock units under our 2014 Equity Incentive Plan to existing and new non-senior management team employees, with such individual grants to be consistent with equity grant guidelines provided by our compensation consultant and approved by the compensation committee. The compensation committee will review and evaluate, at least annually, the performance of the compensation committee and its members, including compliance of the compensation committee with its charter.</w:t>
      </w:r>
    </w:p>
    <w:p>
      <w:pPr>
        <w:spacing w:after="0" w:line="89"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In 2021, Messrs. Mott, Bazemore and Rodgers and Dr. Lundberg served as members of the compensation committee, and they comprise the current members of our compensation committee. Effective as of the date of our 2022 Annual Meeting, our compensation committee will be comprised of Messrs. Mott, Bazemore and Rodgers and Ms. Bhanji. Mr. Mott serves as the chairman of the committee. Each of the members of our compensation committee during 2021 was, and each of the current members of our compensation committee and each of the members of our compensation committee as of the date of our 2022 Annual Meeting, is or will be, an “independent director” under the applicable rules and regulations of The Nasdaq Global Market, a “non-employee director” as defined in Rule</w:t>
      </w:r>
    </w:p>
    <w:p>
      <w:pPr>
        <w:spacing w:after="0" w:line="2"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16b-3 promulgated under the Exchange Act and an “outside director” as that term is defined in Section 162(m) of the U.S. Internal Revenue Code of 1986, as amended, or Section 162(m). The compensation committee operates under a written charter that satisfies the applicable standards of the SEC and Nasdaq. A copy of the compensation committee charter is available to security holders on the Company’s website at http://ir.ardelyx.com/corporate-governance.</w:t>
      </w:r>
    </w:p>
    <w:p>
      <w:pPr>
        <w:spacing w:after="0" w:line="7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For fiscal year 2021, the compensation committee retained Pearl Meyer &amp; Partners, LLC, or Pearl Meyer, a national executive compensation consulting firm, to conduct market research and analysis on our various executive positions, to assist the committee in developing appropriate incentive plans for our executives on an annual basis, to provide the committee and our board of directors with advice and ongoing recommendations regarding material executive compensation decisions, to provide the committee with advice regarding appropriate compensation for our non-employee directors, and to review compensation proposals of management. In compliance with the disclosure requirements of the SEC regarding the independence of compensation consultants, Pearl Meyer addressed each of the six independence factors established by the SEC with the compensation committee. Its responses affirmed the independence of Pearl Meyer on executive and board of directors compensation matters. Based on this assessment, the compensation committee determined that the engagement of Pearl Meyer did not raise any conflicts of interest or similar concerns. The compensation committee also evaluated the independence of other outside advisors to the compensation committee, including outside legal counsel, considering the same independence factors and concluded their work for the compensation committee does not raise any conflicts of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of directors regarding candidates for directorships and the size and composition of our board of directors. In addition, the nominating and corporate governance committee is responsible for overseeing our corporate governance policies and reporting and making recommendations to our board of directors concerning governance matters.</w:t>
      </w:r>
    </w:p>
    <w:p>
      <w:pPr>
        <w:spacing w:after="0" w:line="72"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In 2021, Dr. Block, Mmes. Bhanji and Cadoret-Manier and Mr. Bertrand served as members of the nominating and corporate governance committee, and they comprise the current members of our nominating and corporate governance committee. Effective as of the date of our 2022 Annual Meeting our nominating and corporate governance committee will be comprised of Drs. Block and Lundberg, Ms, Cadoret-Manier and Mr. Bertrand.</w:t>
      </w:r>
    </w:p>
    <w:p>
      <w:pPr>
        <w:spacing w:after="0" w:line="3"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Mr. Bertrand serves as the chairman of the committee. Each of the members of our nominating and corporate governance committee during 2021 was, and each of the current members of our nominating and corporate governance committee is, and each of the members of our nominating and corporate governance committee as of the date of our 2022 Annual Meeting, is an “independent director” under the applicable rules and regulations of Nasdaq relating to nominating and corporate governance committee independence. Following the 2022 Annual Meeting, we will continue to comply with Nasdaq’s rules regarding independent director oversight of director nominations under either Nasdaq Rule 5605(e)(1)(A) or 5605(e)(1)(B). The nominating and corporate governance committee operates under a written charter that satisfies the applicable standards of the SEC and Nasdaq. A copy of the nominating and corporate governance committee charter is available to security holders on the Company’s website at http://ir.ardelyx.com/corporate-governance.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will take into account many factors, including the following:</w:t>
      </w:r>
    </w:p>
    <w:p>
      <w:pPr>
        <w:spacing w:after="0" w:line="79"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and professional integrity;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ethics and values;</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industries in which we compete;</w:t>
      </w:r>
    </w:p>
    <w:p>
      <w:pPr>
        <w:spacing w:after="0" w:line="117"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expertise and experience in substantive matters pertaining to our business relative to other board members;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and mature business judgment.</w:t>
      </w:r>
    </w:p>
    <w:p>
      <w:pPr>
        <w:spacing w:after="0" w:line="11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also considers numerous other qualities, skills and characteristics when evaluating director nominees, including whether the nominee has specific strengths that would augment existing skills and experience of the board, such as expertise and experience in healthcare commercialization and reimbursement, public policy, and finance and capital markets, and whether the nominee brings diversity or leadership experience as a board member or executive of another publicly held company. Our nominating and corporate governance committee may identify nominees using professional search firms that may utilize proprietary screening techniques to match candidates to the specific criteria of our nominating and governance committee. Our nominating and corporate governance committee considers diversity among the factors it considers in selecting candidates for nomination to the board recognizing the benefits to the Company of national origin, gender, race, and cultural diversity in board composition.</w:t>
      </w:r>
    </w:p>
    <w:p>
      <w:pPr>
        <w:spacing w:after="0" w:line="86"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Currently, our board of directors evaluates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color w:val="auto"/>
        </w:rPr>
        <w:t>areas. At this time, our nominating and corporate governance committee does not have a policy with regard to the consideration of director candidates recommended by our stockholders, but expects to adopt such a policy in the future. Until such a policy is adopted, our board of directors and nominating and corporate governance committee will consider candidates recommended by our stockholders on a case-by-case basis. Stockholders wishing to recommend a candidate for membership on our board of directors for the next fiscal year should follow the procedures described in this proxy statement under the headings “When are stockholder proposals due for next year’s annual meeting?” and “Stockholder Communications with the Board of Directors.”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Among our nine board members, two self-identify as women and two self-identify as 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60325</wp:posOffset>
            </wp:positionV>
            <wp:extent cx="5349240" cy="24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248920"/>
                    </a:xfrm>
                    <a:prstGeom prst="rect">
                      <a:avLst/>
                    </a:prstGeom>
                    <a:noFill/>
                  </pic:spPr>
                </pic:pic>
              </a:graphicData>
            </a:graphic>
          </wp:anchor>
        </w:drawing>
      </w:r>
    </w:p>
    <w:p>
      <w:pPr>
        <w:spacing w:after="0" w:line="16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b w:val="1"/>
          <w:bCs w:val="1"/>
          <w:color w:val="auto"/>
        </w:rPr>
        <w:t>Board Diversity Matrix as of 4/15/2022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62865</wp:posOffset>
            </wp:positionV>
            <wp:extent cx="2005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2"/>
        </w:trPr>
        <w:tc>
          <w:tcPr>
            <w:tcW w:w="5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Did Not</w:t>
            </w:r>
          </w:p>
        </w:tc>
      </w:tr>
      <w:tr>
        <w:trPr>
          <w:trHeight w:val="216"/>
        </w:trPr>
        <w:tc>
          <w:tcPr>
            <w:tcW w:w="5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Disclose</w:t>
            </w:r>
          </w:p>
        </w:tc>
      </w:tr>
      <w:tr>
        <w:trPr>
          <w:trHeight w:val="234"/>
        </w:trPr>
        <w:tc>
          <w:tcPr>
            <w:tcW w:w="5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Female</w:t>
            </w:r>
          </w:p>
        </w:tc>
        <w:tc>
          <w:tcPr>
            <w:tcW w:w="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Male</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Non-Binary</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Gender</w:t>
            </w:r>
          </w:p>
        </w:tc>
      </w:tr>
      <w:tr>
        <w:trPr>
          <w:trHeight w:val="68"/>
        </w:trPr>
        <w:tc>
          <w:tcPr>
            <w:tcW w:w="51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r>
      <w:tr>
        <w:trPr>
          <w:trHeight w:val="277"/>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5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7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LGBTQ+</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54"/>
        </w:trPr>
        <w:tc>
          <w:tcPr>
            <w:tcW w:w="5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including those officers responsible for financial reporting. The code of business conduct and ethics is available on our website at http://ir.ardelyx.com/corporate-governance. We expect that any substantive amendments to the code, or any waivers of its requirements, will be disclosed on our website. The reference to our web address does not constitute incorporation by reference of the information contained at or available through our website.</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jc w:val="both"/>
        <w:ind w:left="300" w:right="519"/>
        <w:spacing w:after="0" w:line="289" w:lineRule="auto"/>
        <w:rPr>
          <w:sz w:val="20"/>
          <w:szCs w:val="20"/>
          <w:color w:val="auto"/>
        </w:rPr>
      </w:pPr>
      <w:r>
        <w:rPr>
          <w:rFonts w:ascii="Times New Roman" w:cs="Times New Roman" w:eastAsia="Times New Roman" w:hAnsi="Times New Roman"/>
          <w:sz w:val="17"/>
          <w:szCs w:val="17"/>
          <w:color w:val="auto"/>
        </w:rPr>
        <w:t>Our board of directors has a policy of encouraging director attendance at our annual meetings of stockholders, but attendance is not mandatory. Our board of directors and management team encourage all of our directors to attend the 2022 Annual Meeting. All of our then-serving directors attended our 2021 annual meeting of stockholders.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stockholder may communicate with the board of directors, or an individual director, by sending written correspondence to the Company’s Chief Legal and Administrative Officer at Ardelyx, Inc., 400 Fifth Avenue, Suite 210, Waltham, Massachusetts 02541. The Chief Legal and Administrative Officer will review such correspondence and forward it to the board of directors, or an individual director, as appropriate.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During 2021, Messrs. Mott, Bazemore and Rodgers and Dr. Lundberg served as members of our compensation committee. None of Messrs. Mott, Bazemore and Rodgers and Dr. Lundberg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either entered into since January 1, 2021 or entered into prior to January 1, 2021 which have continuing obligations and to which we have been a party, in which the amount involved exceeds $120,000, and in which any of our directors, executive officers or holders of more than 5% of our capital stock, or an affiliate or immediate family member thereof, had or will have a direct or indirect material interest.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Agreements and Directors’ and Officers’ Liability Insurance</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color w:val="auto"/>
        </w:rPr>
        <w:t>Our board of directors has approved a compensation policy for our non-employee directors, or the Director Compensation Program, which is periodically reviewed with consultation and recommendations provided by Pearl Meyer. Pursuant to the Director Compensation Program, we do not provide any compensation to directors who are employees. Retainers are paid to our non-employee directors in advance on the date of our annual stockholders meeting or, in respect of non-employee directors appointed to our board of directors after the annual stockholders meeting, on the date of appointment but pro-rated to reflect the number of whole or partial months remaining until the next annual stockholders meeting.</w:t>
      </w:r>
    </w:p>
    <w:p>
      <w:pPr>
        <w:spacing w:after="0" w:line="8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In 2021, our non-employee directors received compensation pursuant to the Director Compensation Program. as amended in March 2021. Our non-employee directors received an annual retainer of $45,000. Our non-employee Chairman received an additional annual cash retainer in the amount of $30,000 per year. Non-employee directors received additional annual retainers of $10,000 for serving on the audit committee (or $20,000 for serving as the chair of the audit committee), $7,500 for serving on the compensation committee (or $15,000 for serving as the chair of the compensation committee) and $5,000 for serving on the nominating and corporate governance committee (or $10,000 for serving as the chair of the nominating and corporate governance committee). Under the Director Compensation Program, each non-employee director who was appointed to the board in 2021, was also granted an option to purchase shares of our common stock with an expected grant date fair value of $300,000, but with a maximum number of 100,000 shares. In addition, in 2021, each continuing non-employee director who had been serving on our board of directors for at least six months as of the date of any annual meeting of our stockholders and who continued to serve as a non-employee director immediately following such meeting was automatically granted an option to purchase shares of our common stock with an expected grant date fair value of $150,000, but with a maximum number of 50,000 shares. Each initial non-employee director stock option was subject to vesting with respect to 1/36th of the shares on each monthly anniversary of the grant date, subject to the non-employee director’s continued service on our board of directors through such date. Each annual non-employee director stock option was subject to vesting with respect to 1/12th of the shares on each monthly anniversary of the grant date, subject to acceleration in full immediately prior to the next annual stockholders meeting, subject to the non-employee director’s continued service on our board of directors through such date. The Director Compensation Program also provides that upon a “Change in Control” of Ardelyx (as defined in our equity incentive plan), all outstanding equity awards that are held by a non-employee director will become fully vested and/or exercisable.</w:t>
      </w:r>
    </w:p>
    <w:p>
      <w:pPr>
        <w:spacing w:after="0" w:line="80"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lieu of a cash retainer, each non-employee director may also elect to receive a stock award consisting of that number of fully vested shares of common stock calculated by dividing the amount of the cash retainer by the fair market value of the common stock on the date of our annual meeting of stockholders, rounded to the nearest whole share. For 2021, each of Messrs. Bertrand and Rodgers and Dr. Lundberg elected to receive a stock award in lieu of their respective 2021 annual cash retainers as calculated pursuant to the preceding sentence. Members of our board of directors are also reimbursed for reasonable travel and other out-of-pocket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2021 regarding the compensation awarded to, earned by or paid to our non-employee directors. Dr. Ringold stepped down from our board of directors effective March 11, 2021 prior to our 2021 annual stockholders meeting, and therefore, Dr. Ringold did not receive any compensation during the year ended December 31, 2021, and is omitted from the table below.</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00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9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5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40" w:type="dxa"/>
            <w:vAlign w:val="bottom"/>
          </w:tcPr>
          <w:p>
            <w:pPr>
              <w:spacing w:after="0"/>
              <w:rPr>
                <w:sz w:val="21"/>
                <w:szCs w:val="21"/>
                <w:color w:val="auto"/>
              </w:rPr>
            </w:pP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23"/>
                <w:szCs w:val="23"/>
                <w:b w:val="1"/>
                <w:bCs w:val="1"/>
                <w:color w:val="auto"/>
                <w:w w:val="97"/>
                <w:vertAlign w:val="superscript"/>
              </w:rPr>
              <w:t>(1)</w:t>
            </w:r>
            <w:r>
              <w:rPr>
                <w:rFonts w:ascii="Times New Roman" w:cs="Times New Roman" w:eastAsia="Times New Roman" w:hAnsi="Times New Roman"/>
                <w:sz w:val="14"/>
                <w:szCs w:val="14"/>
                <w:b w:val="1"/>
                <w:bCs w:val="1"/>
                <w:color w:val="auto"/>
                <w:w w:val="97"/>
              </w:rPr>
              <w:t xml:space="preserve"> ($)</w:t>
            </w:r>
          </w:p>
        </w:tc>
        <w:tc>
          <w:tcPr>
            <w:tcW w:w="140" w:type="dxa"/>
            <w:vAlign w:val="bottom"/>
          </w:tcPr>
          <w:p>
            <w:pPr>
              <w:spacing w:after="0"/>
              <w:rPr>
                <w:sz w:val="21"/>
                <w:szCs w:val="21"/>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  Total ($)</w:t>
            </w:r>
          </w:p>
        </w:tc>
        <w:tc>
          <w:tcPr>
            <w:tcW w:w="0" w:type="dxa"/>
            <w:vAlign w:val="bottom"/>
          </w:tcPr>
          <w:p>
            <w:pPr>
              <w:spacing w:after="0"/>
              <w:rPr>
                <w:sz w:val="1"/>
                <w:szCs w:val="1"/>
                <w:color w:val="auto"/>
              </w:rPr>
            </w:pPr>
          </w:p>
        </w:tc>
      </w:tr>
      <w:tr>
        <w:trPr>
          <w:trHeight w:val="311"/>
        </w:trPr>
        <w:tc>
          <w:tcPr>
            <w:tcW w:w="4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6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52,500</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201,905</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860" w:type="dxa"/>
            <w:vAlign w:val="bottom"/>
          </w:tcPr>
          <w:p>
            <w:pPr>
              <w:ind w:left="180"/>
              <w:spacing w:after="0" w:line="324" w:lineRule="exact"/>
              <w:rPr>
                <w:sz w:val="20"/>
                <w:szCs w:val="20"/>
                <w:color w:val="auto"/>
              </w:rPr>
            </w:pPr>
            <w:r>
              <w:rPr>
                <w:rFonts w:ascii="Times New Roman" w:cs="Times New Roman" w:eastAsia="Times New Roman" w:hAnsi="Times New Roman"/>
                <w:sz w:val="18"/>
                <w:szCs w:val="18"/>
                <w:color w:val="auto"/>
                <w:w w:val="91"/>
              </w:rPr>
              <w:t>65,000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214,405</w:t>
            </w: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Muna Bhanji</w:t>
            </w:r>
            <w:r>
              <w:rPr>
                <w:rFonts w:ascii="Times New Roman" w:cs="Times New Roman" w:eastAsia="Times New Roman" w:hAnsi="Times New Roman"/>
                <w:sz w:val="29"/>
                <w:szCs w:val="29"/>
                <w:color w:val="auto"/>
                <w:vertAlign w:val="superscript"/>
              </w:rPr>
              <w:t>(3)</w:t>
            </w:r>
          </w:p>
        </w:tc>
        <w:tc>
          <w:tcPr>
            <w:tcW w:w="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284,757</w:t>
            </w:r>
          </w:p>
        </w:tc>
        <w:tc>
          <w:tcPr>
            <w:tcW w:w="1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334,757</w:t>
            </w:r>
          </w:p>
        </w:tc>
        <w:tc>
          <w:tcPr>
            <w:tcW w:w="0" w:type="dxa"/>
            <w:vAlign w:val="bottom"/>
          </w:tcPr>
          <w:p>
            <w:pPr>
              <w:spacing w:after="0"/>
              <w:rPr>
                <w:sz w:val="1"/>
                <w:szCs w:val="1"/>
                <w:color w:val="auto"/>
              </w:rPr>
            </w:pPr>
          </w:p>
        </w:tc>
      </w:tr>
      <w:tr>
        <w:trPr>
          <w:trHeight w:val="27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3"/>
                <w:szCs w:val="23"/>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199,405</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199,405</w:t>
            </w: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860" w:type="dxa"/>
            <w:vAlign w:val="bottom"/>
          </w:tcPr>
          <w:p>
            <w:pPr>
              <w:ind w:left="180"/>
              <w:spacing w:after="0" w:line="324" w:lineRule="exact"/>
              <w:rPr>
                <w:sz w:val="20"/>
                <w:szCs w:val="20"/>
                <w:color w:val="auto"/>
              </w:rPr>
            </w:pPr>
            <w:r>
              <w:rPr>
                <w:rFonts w:ascii="Times New Roman" w:cs="Times New Roman" w:eastAsia="Times New Roman" w:hAnsi="Times New Roman"/>
                <w:sz w:val="18"/>
                <w:szCs w:val="18"/>
                <w:color w:val="auto"/>
                <w:w w:val="91"/>
              </w:rPr>
              <w:t>52,500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201,905</w:t>
            </w:r>
          </w:p>
        </w:tc>
        <w:tc>
          <w:tcPr>
            <w:tcW w:w="0" w:type="dxa"/>
            <w:vAlign w:val="bottom"/>
          </w:tcPr>
          <w:p>
            <w:pPr>
              <w:spacing w:after="0"/>
              <w:rPr>
                <w:sz w:val="1"/>
                <w:szCs w:val="1"/>
                <w:color w:val="auto"/>
              </w:rPr>
            </w:pPr>
          </w:p>
        </w:tc>
      </w:tr>
      <w:tr>
        <w:trPr>
          <w:trHeight w:val="304"/>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Mott</w:t>
            </w:r>
          </w:p>
        </w:tc>
        <w:tc>
          <w:tcPr>
            <w:tcW w:w="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249,405</w:t>
            </w:r>
          </w:p>
        </w:tc>
        <w:tc>
          <w:tcPr>
            <w:tcW w:w="0" w:type="dxa"/>
            <w:vAlign w:val="bottom"/>
          </w:tcPr>
          <w:p>
            <w:pPr>
              <w:spacing w:after="0"/>
              <w:rPr>
                <w:sz w:val="1"/>
                <w:szCs w:val="1"/>
                <w:color w:val="auto"/>
              </w:rPr>
            </w:pPr>
          </w:p>
        </w:tc>
      </w:tr>
      <w:tr>
        <w:trPr>
          <w:trHeight w:val="42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8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1"/>
              </w:rPr>
              <w:t>72,500</w:t>
            </w:r>
            <w:r>
              <w:rPr>
                <w:rFonts w:ascii="Times New Roman" w:cs="Times New Roman" w:eastAsia="Times New Roman" w:hAnsi="Times New Roman"/>
                <w:sz w:val="29"/>
                <w:szCs w:val="29"/>
                <w:color w:val="auto"/>
                <w:w w:val="91"/>
                <w:vertAlign w:val="superscript"/>
              </w:rPr>
              <w:t>(2)</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149,405</w:t>
            </w:r>
          </w:p>
        </w:tc>
        <w:tc>
          <w:tcPr>
            <w:tcW w:w="140" w:type="dxa"/>
            <w:vAlign w:val="bottom"/>
          </w:tcPr>
          <w:p>
            <w:pPr>
              <w:spacing w:after="0"/>
              <w:rPr>
                <w:sz w:val="24"/>
                <w:szCs w:val="24"/>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221,905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-1723390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-1723390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-1723390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-1723390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2" w:lineRule="exact"/>
        <w:rPr>
          <w:sz w:val="20"/>
          <w:szCs w:val="20"/>
          <w:color w:val="auto"/>
        </w:rPr>
      </w:pPr>
    </w:p>
    <w:p>
      <w:pPr>
        <w:ind w:left="640" w:right="339" w:hanging="348"/>
        <w:spacing w:after="0" w:line="227"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Option Awards column represent the grant date fair value of the stock options granted to the non-employee members of our board of directors during 2021 as computed in accordance with ASC 718. The assumptions used in calculating the grant date fair value of the stock option reported in the Option Awards column are set forth in Note 10 to the audited financial statements included in our Annual Report on Form 10-K filed on March 8, 2022. The amounts reported in this column exclude the impact of estimated forfeitures related to service-based vesting provisions. Note that amounts reported in this column reflect the accounting for cost for these stock options, and do not correspond to the actual economic value that may be received by the directors from the options. In June 2021, each of our non-employee directors, other than Ms. Bhanji and Mr. Ringold, was granted an annual option to purchase 32,765 shares of our common stock pursuant to the Director Compensation Program with the grant date fair value of $149,405. Upon her initial appointment to our board of directors, on March 11, 2021, Ms. Bhanji was granted an initial option to purchase 63,687 shares of our common stock pursuant to our Director Compensation Program with a grant date fair value of $284,757.</w:t>
      </w:r>
    </w:p>
    <w:p>
      <w:pPr>
        <w:spacing w:after="0" w:line="16"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Director Compensation Program, each of Messrs. Bertrand and Rodgers and Dr. Lundberg elected to receive a stock award in lieu of their respective 2021 annual cash retainers. The fully vested stock awards consisted of 8,891, 9,917 and 7,181 shares of our common stock for Messrs. Bertrand and Rodgers and Dr. Lundberg, respectively. The number of shares of our common stock issued was calculated by dividing the annual retainer otherwise payable in cash at the 2021 Annual Meeting of Stockholders as reported in this column by $7.31, which was the closing trading price of our common stock on the date of the 2021 Annual Meeting of Stockholders, rounded down to the nearest whole share.</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Bhanji was appointed to our board of directors effective March 11, 2021.</w:t>
      </w:r>
    </w:p>
    <w:p>
      <w:pPr>
        <w:spacing w:after="0" w:line="100"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number of shares of our common stock subject to outstanding options held by each of our non-employee directors as of December 31, 2021.</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49"/>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50"/>
        </w:trPr>
        <w:tc>
          <w:tcPr>
            <w:tcW w:w="71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161,295</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176,295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Muna Bhanji</w:t>
            </w:r>
          </w:p>
        </w:tc>
        <w:tc>
          <w:tcPr>
            <w:tcW w:w="10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63,687</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138,795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108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98,655</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136,295</w:t>
            </w:r>
          </w:p>
        </w:tc>
        <w:tc>
          <w:tcPr>
            <w:tcW w:w="0" w:type="dxa"/>
            <w:vAlign w:val="bottom"/>
          </w:tcPr>
          <w:p>
            <w:pPr>
              <w:spacing w:after="0"/>
              <w:rPr>
                <w:sz w:val="1"/>
                <w:szCs w:val="1"/>
                <w:color w:val="auto"/>
              </w:rPr>
            </w:pPr>
          </w:p>
        </w:tc>
      </w:tr>
      <w:tr>
        <w:trPr>
          <w:trHeight w:val="54"/>
        </w:trPr>
        <w:tc>
          <w:tcPr>
            <w:tcW w:w="7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734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David Mott</w:t>
            </w:r>
            <w:r>
              <w:rPr>
                <w:rFonts w:ascii="Times New Roman" w:cs="Times New Roman" w:eastAsia="Times New Roman" w:hAnsi="Times New Roman"/>
                <w:sz w:val="29"/>
                <w:szCs w:val="29"/>
                <w:color w:val="auto"/>
                <w:vertAlign w:val="superscript"/>
              </w:rPr>
              <w:t>(1)</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241,295</w:t>
            </w:r>
          </w:p>
        </w:tc>
        <w:tc>
          <w:tcPr>
            <w:tcW w:w="0" w:type="dxa"/>
            <w:vAlign w:val="bottom"/>
          </w:tcPr>
          <w:p>
            <w:pPr>
              <w:spacing w:after="0"/>
              <w:rPr>
                <w:sz w:val="1"/>
                <w:szCs w:val="1"/>
                <w:color w:val="auto"/>
              </w:rPr>
            </w:pPr>
          </w:p>
        </w:tc>
      </w:tr>
      <w:tr>
        <w:trPr>
          <w:trHeight w:val="324"/>
        </w:trPr>
        <w:tc>
          <w:tcPr>
            <w:tcW w:w="734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Gordon Ringold, Ph.D.</w:t>
            </w:r>
            <w:r>
              <w:rPr>
                <w:rFonts w:ascii="Times New Roman" w:cs="Times New Roman" w:eastAsia="Times New Roman" w:hAnsi="Times New Roman"/>
                <w:sz w:val="29"/>
                <w:szCs w:val="29"/>
                <w:color w:val="auto"/>
                <w:vertAlign w:val="superscript"/>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157,647</w:t>
            </w:r>
          </w:p>
        </w:tc>
        <w:tc>
          <w:tcPr>
            <w:tcW w:w="0" w:type="dxa"/>
            <w:vAlign w:val="bottom"/>
          </w:tcPr>
          <w:p>
            <w:pPr>
              <w:spacing w:after="0"/>
              <w:rPr>
                <w:sz w:val="1"/>
                <w:szCs w:val="1"/>
                <w:color w:val="auto"/>
              </w:rPr>
            </w:pPr>
          </w:p>
        </w:tc>
      </w:tr>
      <w:tr>
        <w:trPr>
          <w:trHeight w:val="270"/>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196,295</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-1868170</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 options to purchase 110,000 shares of our common stock that Mr. Mott holds for the benefit of entities associated with New Enterprise Associates.</w:t>
      </w:r>
    </w:p>
    <w:p>
      <w:pPr>
        <w:ind w:left="640" w:right="37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Ringold stepped down from our board of directors effective March 11, 2021 and our compensation committee extended the time period during which Dr. Ringold could exercise his vested stock options through March 11, 2022.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31, 2022.</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3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51"/>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Regulatory Affairs and Quality Assurance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 Esq.</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Rodriguez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Rosenbaum, Ph.D.</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54"/>
        </w:trPr>
        <w:tc>
          <w:tcPr>
            <w:tcW w:w="3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320" w:type="dxa"/>
            <w:vAlign w:val="bottom"/>
          </w:tcPr>
          <w:p>
            <w:pPr>
              <w:spacing w:after="0"/>
              <w:rPr>
                <w:sz w:val="4"/>
                <w:szCs w:val="4"/>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Williams, M.D.</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54"/>
        </w:trPr>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3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-1456690</wp:posOffset>
            </wp:positionV>
            <wp:extent cx="6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-1456690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following biographical information is furnished with regard to our executive officers (except for Mr. Raab, whose biographical information appears above under “Class II Directors”) as of March 31, 2022:</w:t>
      </w:r>
    </w:p>
    <w:p>
      <w:pPr>
        <w:spacing w:after="0" w:line="50" w:lineRule="exact"/>
        <w:rPr>
          <w:sz w:val="20"/>
          <w:szCs w:val="20"/>
          <w:color w:val="auto"/>
        </w:rPr>
      </w:pPr>
    </w:p>
    <w:p>
      <w:pPr>
        <w:ind w:left="300" w:right="399"/>
        <w:spacing w:after="0" w:line="238" w:lineRule="auto"/>
        <w:rPr>
          <w:sz w:val="20"/>
          <w:szCs w:val="20"/>
          <w:color w:val="auto"/>
        </w:rPr>
      </w:pPr>
      <w:r>
        <w:rPr>
          <w:rFonts w:ascii="Times New Roman" w:cs="Times New Roman" w:eastAsia="Times New Roman" w:hAnsi="Times New Roman"/>
          <w:sz w:val="18"/>
          <w:szCs w:val="18"/>
          <w:b w:val="1"/>
          <w:bCs w:val="1"/>
          <w:color w:val="auto"/>
        </w:rPr>
        <w:t xml:space="preserve">Robert Blanks, </w:t>
      </w:r>
      <w:r>
        <w:rPr>
          <w:rFonts w:ascii="Times New Roman" w:cs="Times New Roman" w:eastAsia="Times New Roman" w:hAnsi="Times New Roman"/>
          <w:sz w:val="18"/>
          <w:szCs w:val="18"/>
          <w:color w:val="auto"/>
        </w:rPr>
        <w:t>has served as our Chief Regulatory Affairs and Quality Assurance Officer since January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served as our head of regulatory affairs and quality assurance from July 2013 to January 2020. From 2009 to 2012, Mr. Blanks served as the Vice President, Chemistry, Manufacturing and Controls for Flexion Therapeutics, Inc. (Nasdaq: FLXN), leading the CMC work on Zilretta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addition, Mr. Blanks served as the Vice President Quality Assurance for Idenix Pharmaceuticals, Inc., a biopharmaceutical company, from 2006 to 2009, during the approval and launch of its first product, Tyzeka™. Prior to that, Mr. Blanks served in positions of increasing responsibility for GelTex Pharmaceuticals, a biopharmaceuticals company, including most recently as Senior Director, Quality Affairs, where he played a critical role in advancing the company’s first product, RenaGel from pre-IND to NDA approval in four years. Mr. Blanks has a B.S. in Biology from Bowdoin College, and an M.S. in Chemistry from Boston College.</w:t>
      </w:r>
    </w:p>
    <w:p>
      <w:pPr>
        <w:spacing w:after="0" w:line="90"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Elizabeth Grammer, Esq., </w:t>
      </w:r>
      <w:r>
        <w:rPr>
          <w:rFonts w:ascii="Times New Roman" w:cs="Times New Roman" w:eastAsia="Times New Roman" w:hAnsi="Times New Roman"/>
          <w:sz w:val="18"/>
          <w:szCs w:val="18"/>
          <w:color w:val="auto"/>
        </w:rPr>
        <w:t>has served as our Chief Legal and Administrative Officer since January 2020,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formerly as our General Counsel since May 2014, and as our vice president responsible for legal affairs from December 2012 until May 2014. From 2006 to December 2012, Ms. Grammer served as an independent outside corporate counsel for public and private biotechnology companies, including Ardelyx from January 2010 until December 2012. From 2001 to 2006, Ms. Grammer served as Vice President and General Counsel of Trine Pharmaceuticals, Inc., a biopharmaceutical company. In addition, Ms. Grammer previously served as independent outside corporate counsel to GelTex Pharmaceuticals, a biopharmaceutical company. Ms. Grammer received a B.A. from Boston University and a J.D. from Stanford Law School.</w:t>
      </w:r>
    </w:p>
    <w:p>
      <w:pPr>
        <w:spacing w:after="0" w:line="77" w:lineRule="exact"/>
        <w:rPr>
          <w:sz w:val="20"/>
          <w:szCs w:val="20"/>
          <w:color w:val="auto"/>
        </w:rPr>
      </w:pPr>
    </w:p>
    <w:p>
      <w:pPr>
        <w:jc w:val="both"/>
        <w:ind w:left="300" w:right="37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Justin Renz </w:t>
      </w:r>
      <w:r>
        <w:rPr>
          <w:rFonts w:ascii="Times New Roman" w:cs="Times New Roman" w:eastAsia="Times New Roman" w:hAnsi="Times New Roman"/>
          <w:sz w:val="17"/>
          <w:szCs w:val="17"/>
          <w:color w:val="auto"/>
        </w:rPr>
        <w:t>has served as our Chief Financial Officer since June 2020. Beginning in 2017, Mr. Renz held various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positions of increasing responsibility at Correvio Pharma Corp (Nasdaq: CORV), most recently as its President and Chief Financial Officer at the time of its acquisition by Advanz Pharma in May 2020. From 2014 to 2017, Mr. Renz was the Executive Vice President and Chief Financial Officer of Karyopharm Therapeutics, Inc. (Nasdaq: KTPI).</w:t>
      </w: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Prior to that, from 2006 to 2014, Mr. Renz held a variety of financial positions with Zalicus Incorporated, including most recently as Executive Vice President and Chief Financial Officer at the time of its acquisition by Epirus Biopharmaceuticals, Inc. in 2014. Mr. Renz received his B.A. in economics and accounting from the College of the Holy Cross, a M.S. in Taxation from Northeastern University and an M.B.A from Suffolk University.</w:t>
      </w:r>
    </w:p>
    <w:p>
      <w:pPr>
        <w:spacing w:after="0" w:line="60"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Susan Rodriguez, </w:t>
      </w:r>
      <w:r>
        <w:rPr>
          <w:rFonts w:ascii="Times New Roman" w:cs="Times New Roman" w:eastAsia="Times New Roman" w:hAnsi="Times New Roman"/>
          <w:sz w:val="18"/>
          <w:szCs w:val="18"/>
          <w:color w:val="auto"/>
        </w:rPr>
        <w:t>has served as our Chief Commercial Officer since May 2020. From 2014 to 2019, Ms. Rodriguez</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the founding Chief Executive Officer of Tolmar Pharmaceuticals, Inc., a U.S. specialty pharmaceutical company, and from 2019 to 2020, she served as President of the branded division following formation of the global entity, Tolmar, Inc. Prior to that, Ms. Rodriguez held various positions of increasing responsibility at Abbott Laboratories, Inc. (NYSE: ABT) from 1990 to 2014, most recently as Divisional Vice President of Global Marketing, where she established the global marketing function for an international portfolio of nutrition brands, and directed strategic brand planning and commercial strategies for multiple product launches. Ms. Rodriguez serves on the board of directors of Heron Therapeutics, Inc. (Nasdaq: HRTX), and on the board of directors of the Cuba Emprende Foundation, a non-profit charitable organization. Ms. Rodriguez received her B.A. and M.A. in Psychology from the University of Pennsylvania.</w:t>
      </w:r>
    </w:p>
    <w:p>
      <w:pPr>
        <w:spacing w:after="0" w:line="77"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David Rosenbaum, Ph.D., </w:t>
      </w:r>
      <w:r>
        <w:rPr>
          <w:rFonts w:ascii="Times New Roman" w:cs="Times New Roman" w:eastAsia="Times New Roman" w:hAnsi="Times New Roman"/>
          <w:sz w:val="18"/>
          <w:szCs w:val="18"/>
          <w:color w:val="auto"/>
        </w:rPr>
        <w:t>has served as our Chief Development Officer since January 2017 and formerly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vice president responsible for drug development from January 2010 to January 2017. From 2003 to 2008,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he was Vice President of Drug Development for Trine Pharmaceuticals, Inc., a biopharmaceutical company, where he was developing a novel non-systemic therapeutic for the treatment of IBS. In addition, Dr. Rosenbaum previously served as Vice President of Preclinical Research and Development at GelTex Pharmaceuticals, a biopharmaceutical company, where he was responsible for the preclinical development of Renagel and Welchol. He received a B.A. in Biology from the University of Pennsylvania, a M.S. in Toxicology from Albany Medical College and a Ph.D. in Pharmacology from Boston University School of Medicine.</w:t>
      </w:r>
    </w:p>
    <w:p>
      <w:pPr>
        <w:spacing w:after="0" w:line="75" w:lineRule="exact"/>
        <w:rPr>
          <w:sz w:val="20"/>
          <w:szCs w:val="20"/>
          <w:color w:val="auto"/>
        </w:rPr>
      </w:pPr>
    </w:p>
    <w:p>
      <w:pPr>
        <w:ind w:left="300" w:right="51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Laura Williams, M.D., </w:t>
      </w:r>
      <w:r>
        <w:rPr>
          <w:rFonts w:ascii="Times New Roman" w:cs="Times New Roman" w:eastAsia="Times New Roman" w:hAnsi="Times New Roman"/>
          <w:sz w:val="18"/>
          <w:szCs w:val="18"/>
          <w:color w:val="auto"/>
        </w:rPr>
        <w:t>has served as our Chief Medical Officer since October 2021. Before that, Dr. Williams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our Senior Vice President, Global Therapeutic Strategies and Patient Advocacy since November 2020. Prior to Ardelyx, Dr. Williams served as Senior Vice President, Head of Clinical Development and Biostatistics at AMAG Pharmaceuticals, a pharmaceutical company, from September 2017 to January 2020. Previously,</w:t>
      </w:r>
    </w:p>
    <w:p>
      <w:pPr>
        <w:spacing w:after="0" w:line="3"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Dr. Williams served as Vice President, Clinical Development at Myovant Sciences (NYSE: MYOV) from September 2016 to August 2017. Dr. Williams held roles of increasing responsibility at AbbVie Pharmaceuticals (Nasdaq: ABBV) from January 2013 to July 2016, and at Abbott Laboratories, Inc. (NYSE: ABT) from July 2009 to December 2012, leading multiple global clinical development programs and managing the general medicine therapeutic area. Dr. Williams received a B.S. degree in Pre-Medicine/Pre-Medical Studies and Biochemistry from Mississippi State University, a M.D. from University of Iowa, and a M.P.H. degree in Epidemiology from University of Washington, where she also completed a clinical fellowship in Infectious Diseases.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In this Compensation Discussion and Analysis (“CD&amp;A”) set forth below, we provide an overview and analysis of the compensation awarded to or earned by our named executive officers identified in the Summary Compensation Table below during fiscal 2021, including the elements of our compensation program for named executive officers, material compensation decisions made under that program for fiscal 2021 and the material factors considered in making those decisions. Our named executive officers for the year ended December 31, 2021, which consist of our principal executive officer, our principal financial officer and our three other most highly compensated executive officers for fiscal year 2021 (collectively, the “named executive officers”) are:</w:t>
      </w:r>
    </w:p>
    <w:p>
      <w:pPr>
        <w:spacing w:after="0" w:line="81"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Raab, who serves as our President, Chief Executive Officer and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Justin Renz, who serves as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Blanks, who serves as Chief Regulatory Affairs and Quality Assurance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Elizabeth Grammer, Esq., who serves as our Chief Legal and Administrative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Rosenbaum, Ph.D., who serves as our Chief Development Officer.</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Details of our Compensation Program</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Objectives and Rewards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Our compensation committee, appointed by our board of directors, is responsible for establishing, implementing and monitoring our compensation philosophy and objectives. 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72"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Our compensation committee works with Pearl Meyer, the compensation committee’s compensation consultant, to and implement compensation arrangements that reflect our compensation philosophy.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Compensation</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During fiscal 2021, our board of directors or compensation committee made compensation decisions with respect to our named executive officers. Our board of directors and compensation committee took into account recommendations from Pearl Meyer, and, other than with respect to his own compensation, our Chief Executive Officer.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 in Determining Executive Compensation</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When making compensation decisions in fiscal 2021, our board of directors and compensation committee considered advice and market data provided by Pearl Meyer and reviewed compensation data from the public filings for the following companies:</w:t>
      </w:r>
    </w:p>
    <w:p>
      <w:pPr>
        <w:spacing w:after="0" w:line="14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Agenus,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Albiero Pharma,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Atara Biotherapeutics,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Cytokenetics, Incorporated</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DURECT Corporation</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Dynavax Technologies Corporation</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Enanta Pharmacuticals,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Flexion Therapeutics,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Kala Pharmaceuticals,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Karyopharm Therapeutics,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 Jolla Pharmaceutical Company</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Lexicon Pharmaceuticals,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Ocular Therapeutix,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Puma Biotechnology,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Radius Health, Inc.</w:t>
            </w:r>
          </w:p>
        </w:tc>
      </w:tr>
      <w:tr>
        <w:trPr>
          <w:trHeight w:val="32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Retrophin, Inc.</w:t>
            </w:r>
          </w:p>
        </w:tc>
        <w:tc>
          <w:tcPr>
            <w:tcW w:w="2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Rigel Pharmaceuticals, Inc.</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Seres Therapeutics, Inc.</w:t>
            </w:r>
          </w:p>
        </w:tc>
      </w:tr>
    </w:tbl>
    <w:p>
      <w:pPr>
        <w:spacing w:after="0" w:line="144"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Our compensation committee reviewed our named executive officer compensation against this peer group to ensure that our named executive officer compensation is competitive and sufficient to recruit and retain our named executive officers. While the compensation committee considered this data in evaluating named executive officer compensation, we did not seek to benchmark our named executive officer compensation to any particular level.</w:t>
      </w:r>
    </w:p>
    <w:p>
      <w:pPr>
        <w:spacing w:after="0" w:line="72"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Our compensation committee expects to periodically review and update this peer group and to utilize Pearl Meyer for benchmarking and peer group analysis in determining and developing compensation packages for our named executive officers.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Executive Compensation</w:t>
      </w:r>
    </w:p>
    <w:p>
      <w:pPr>
        <w:spacing w:after="0" w:line="121" w:lineRule="exact"/>
        <w:rPr>
          <w:sz w:val="20"/>
          <w:szCs w:val="20"/>
          <w:color w:val="auto"/>
        </w:rPr>
      </w:pPr>
    </w:p>
    <w:p>
      <w:pPr>
        <w:jc w:val="both"/>
        <w:ind w:left="300" w:right="559"/>
        <w:spacing w:after="0" w:line="261" w:lineRule="auto"/>
        <w:rPr>
          <w:sz w:val="20"/>
          <w:szCs w:val="20"/>
          <w:color w:val="auto"/>
        </w:rPr>
      </w:pPr>
      <w:r>
        <w:rPr>
          <w:rFonts w:ascii="Times New Roman" w:cs="Times New Roman" w:eastAsia="Times New Roman" w:hAnsi="Times New Roman"/>
          <w:sz w:val="18"/>
          <w:szCs w:val="18"/>
          <w:color w:val="auto"/>
        </w:rPr>
        <w:t>Our chief executive officer made recommendations to our compensation committee to assist in determining fiscal 2021 compensation levels, other than with respect to his own compensation. While our compensation committee utilized this information, the ultimate decisions regarding fiscal 2021 executive compensation were made by our compensation committee and our board of directors.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For fiscal 2021, our executive compensation program consisted of the following elements, each established as part of our program in order to achieve the compensation objective specified below:</w:t>
      </w:r>
    </w:p>
    <w:p>
      <w:pPr>
        <w:sectPr>
          <w:pgSz w:w="11900" w:h="16838" w:orient="portrait"/>
          <w:cols w:equalWidth="0" w:num="1">
            <w:col w:w="9019"/>
          </w:cols>
          <w:pgMar w:left="1440" w:top="263" w:right="1440" w:bottom="1440" w:gutter="0" w:footer="0" w:header="0"/>
        </w:sect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1517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Base Salary</w:t>
      </w:r>
    </w:p>
    <w:p>
      <w:pPr>
        <w:spacing w:after="0" w:line="333" w:lineRule="exact"/>
        <w:rPr>
          <w:sz w:val="20"/>
          <w:szCs w:val="20"/>
          <w:color w:val="auto"/>
        </w:rPr>
      </w:pPr>
    </w:p>
    <w:p>
      <w:pPr>
        <w:ind w:left="300" w:right="720"/>
        <w:spacing w:after="0" w:line="312" w:lineRule="auto"/>
        <w:rPr>
          <w:sz w:val="20"/>
          <w:szCs w:val="20"/>
          <w:color w:val="auto"/>
        </w:rPr>
      </w:pPr>
      <w:r>
        <w:rPr>
          <w:rFonts w:ascii="Times New Roman" w:cs="Times New Roman" w:eastAsia="Times New Roman" w:hAnsi="Times New Roman"/>
          <w:sz w:val="17"/>
          <w:szCs w:val="17"/>
          <w:color w:val="auto"/>
        </w:rPr>
        <w:t>Cash-Based Incentive Compensation</w:t>
      </w: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00" w:right="40"/>
        <w:spacing w:after="0" w:line="261" w:lineRule="auto"/>
        <w:rPr>
          <w:sz w:val="20"/>
          <w:szCs w:val="20"/>
          <w:color w:val="auto"/>
        </w:rPr>
      </w:pPr>
      <w:r>
        <w:rPr>
          <w:rFonts w:ascii="Times New Roman" w:cs="Times New Roman" w:eastAsia="Times New Roman" w:hAnsi="Times New Roman"/>
          <w:sz w:val="18"/>
          <w:szCs w:val="18"/>
          <w:color w:val="auto"/>
        </w:rPr>
        <w:t>Severance and Other Benefits Potentially Payable upon Termination of Employment or Change in Control</w:t>
      </w:r>
    </w:p>
    <w:p>
      <w:pPr>
        <w:spacing w:after="0" w:line="72"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Retirement, Health and Welfare Benefits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Compensation Objectives Designed to be Achieved and Key</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3694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04" w:lineRule="exact"/>
        <w:rPr>
          <w:sz w:val="20"/>
          <w:szCs w:val="20"/>
          <w:color w:val="auto"/>
        </w:rPr>
      </w:pPr>
    </w:p>
    <w:p>
      <w:pPr>
        <w:ind w:right="459"/>
        <w:spacing w:after="0" w:line="282" w:lineRule="auto"/>
        <w:rPr>
          <w:sz w:val="20"/>
          <w:szCs w:val="20"/>
          <w:color w:val="auto"/>
        </w:rPr>
      </w:pPr>
      <w:r>
        <w:rPr>
          <w:rFonts w:ascii="Times New Roman" w:cs="Times New Roman" w:eastAsia="Times New Roman" w:hAnsi="Times New Roman"/>
          <w:sz w:val="18"/>
          <w:szCs w:val="18"/>
          <w:color w:val="auto"/>
        </w:rPr>
        <w:t>Base salary attracts and retains talented executives, recognizes individual roles and responsibilities and provides stable income</w:t>
      </w:r>
    </w:p>
    <w:p>
      <w:pPr>
        <w:spacing w:after="0" w:line="54" w:lineRule="exact"/>
        <w:rPr>
          <w:sz w:val="20"/>
          <w:szCs w:val="20"/>
          <w:color w:val="auto"/>
        </w:rPr>
      </w:pPr>
    </w:p>
    <w:p>
      <w:pPr>
        <w:ind w:right="939"/>
        <w:spacing w:after="0" w:line="282" w:lineRule="auto"/>
        <w:rPr>
          <w:sz w:val="20"/>
          <w:szCs w:val="20"/>
          <w:color w:val="auto"/>
        </w:rPr>
      </w:pPr>
      <w:r>
        <w:rPr>
          <w:rFonts w:ascii="Times New Roman" w:cs="Times New Roman" w:eastAsia="Times New Roman" w:hAnsi="Times New Roman"/>
          <w:sz w:val="18"/>
          <w:szCs w:val="18"/>
          <w:color w:val="auto"/>
        </w:rPr>
        <w:t>Directly ties pay to key corporate metrics, which we believe will lead to sustained value for all stakeholders over the long term.</w:t>
      </w:r>
    </w:p>
    <w:p>
      <w:pPr>
        <w:spacing w:after="0" w:line="54" w:lineRule="exact"/>
        <w:rPr>
          <w:sz w:val="20"/>
          <w:szCs w:val="20"/>
          <w:color w:val="auto"/>
        </w:rPr>
      </w:pPr>
    </w:p>
    <w:p>
      <w:pPr>
        <w:ind w:right="339"/>
        <w:spacing w:after="0" w:line="258" w:lineRule="auto"/>
        <w:rPr>
          <w:sz w:val="20"/>
          <w:szCs w:val="20"/>
          <w:color w:val="auto"/>
        </w:rPr>
      </w:pPr>
      <w:r>
        <w:rPr>
          <w:rFonts w:ascii="Times New Roman" w:cs="Times New Roman" w:eastAsia="Times New Roman" w:hAnsi="Times New Roman"/>
          <w:sz w:val="18"/>
          <w:szCs w:val="18"/>
          <w:color w:val="auto"/>
        </w:rPr>
        <w:t>Equity-based compensation, provided in the form of stock options and restricted stock units, reinforces the importance of a long-term, ownership orientation, creates alignment with our stockholders, and promotes retention. Equity-based compensation is the most significant portion of compensation for our executives.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our executives security to focus on executing our strategies.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Rounds out a competitive compensation package and aids in retaining our executives.</w:t>
      </w:r>
    </w:p>
    <w:p>
      <w:pPr>
        <w:spacing w:after="0" w:line="108" w:lineRule="exact"/>
        <w:rPr>
          <w:sz w:val="20"/>
          <w:szCs w:val="20"/>
          <w:color w:val="auto"/>
        </w:rPr>
      </w:pPr>
    </w:p>
    <w:p>
      <w:pPr>
        <w:sectPr>
          <w:pgSz w:w="11900" w:h="16838" w:orient="portrait"/>
          <w:cols w:equalWidth="0" w:num="2">
            <w:col w:w="2580" w:space="320"/>
            <w:col w:w="6119"/>
          </w:cols>
          <w:pgMar w:left="1440" w:top="263" w:right="1440" w:bottom="1440" w:gutter="0" w:footer="0" w:header="0"/>
          <w:type w:val="continuous"/>
        </w:sectPr>
      </w:pPr>
    </w:p>
    <w:p>
      <w:pPr>
        <w:ind w:left="300" w:right="1199"/>
        <w:spacing w:after="0" w:line="282" w:lineRule="auto"/>
        <w:rPr>
          <w:sz w:val="20"/>
          <w:szCs w:val="20"/>
          <w:color w:val="auto"/>
        </w:rPr>
      </w:pPr>
      <w:r>
        <w:rPr>
          <w:rFonts w:ascii="Times New Roman" w:cs="Times New Roman" w:eastAsia="Times New Roman" w:hAnsi="Times New Roman"/>
          <w:sz w:val="18"/>
          <w:szCs w:val="18"/>
          <w:color w:val="auto"/>
        </w:rPr>
        <w:t>We do not currently have, and we do not expect to have, formal policies relating to the allocation of total compensation among the various elements of our compensation program.</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base salaries of our named executive officers are an important part of their total compensation package, and are intended to reflect their respective positions, duties and responsibilities. Base salary is a visible and stable fixed component of our compensation program. Base salaries for our named executive officers were initially established through arms-length negotiation at the time an executive was hired.</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the base salaries of our named executive officers for fiscal 2021:</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Named Executive Officer Fiscal 2021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50800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75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$445,500</w:t>
            </w:r>
          </w:p>
        </w:tc>
      </w:tr>
      <w:tr>
        <w:trPr>
          <w:trHeight w:val="54"/>
        </w:trPr>
        <w:tc>
          <w:tcPr>
            <w:tcW w:w="7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$422,000</w:t>
            </w:r>
          </w:p>
        </w:tc>
      </w:tr>
      <w:tr>
        <w:trPr>
          <w:trHeight w:val="27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$445,500</w:t>
            </w:r>
          </w:p>
        </w:tc>
      </w:tr>
      <w:tr>
        <w:trPr>
          <w:trHeight w:val="54"/>
        </w:trPr>
        <w:tc>
          <w:tcPr>
            <w:tcW w:w="7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$461,000</w:t>
            </w:r>
          </w:p>
        </w:tc>
      </w:tr>
      <w:tr>
        <w:trPr>
          <w:trHeight w:val="54"/>
        </w:trPr>
        <w:tc>
          <w:tcPr>
            <w:tcW w:w="75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Cash-Based Incentive Compensation</w:t>
      </w:r>
    </w:p>
    <w:p>
      <w:pPr>
        <w:spacing w:after="0" w:line="121" w:lineRule="exact"/>
        <w:rPr>
          <w:sz w:val="20"/>
          <w:szCs w:val="20"/>
          <w:color w:val="auto"/>
        </w:rPr>
      </w:pPr>
    </w:p>
    <w:p>
      <w:pPr>
        <w:ind w:left="300" w:right="359"/>
        <w:spacing w:after="0" w:line="273" w:lineRule="auto"/>
        <w:rPr>
          <w:sz w:val="20"/>
          <w:szCs w:val="20"/>
          <w:color w:val="auto"/>
        </w:rPr>
      </w:pPr>
      <w:r>
        <w:rPr>
          <w:rFonts w:ascii="Times New Roman" w:cs="Times New Roman" w:eastAsia="Times New Roman" w:hAnsi="Times New Roman"/>
          <w:sz w:val="17"/>
          <w:szCs w:val="17"/>
          <w:color w:val="auto"/>
        </w:rPr>
        <w:t>We consider annual cash incentive bonuses to be an important component of our total compensation program and provides incentives necessary to retain and motivate named executive officers. For 2021, our named executive officers were eligible to receive performance-based cash incentives pursuant to the achievement of certain corporate performance objectives. The performance goals for these annual performance cash bonuses were evaluated by our compensation committee and approved by our board of directors. The determination of the amount of bonuses paid to our named executive officers generally reflects a number of considerations, including the named executive officer’s target bonus opportunity and the performance of the company against corporate goals.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Each named executive officer’s target bonus opportunity is expressed as a percentage of base salary. Our named executive officers’ 2021 target bonus opportunities, as a percentage of base salary, remained at the same level as in 2020. For 2021, Mr. Raab had an annual bonus target of 60% of his base salary, and each other named executive officer had an annual bonus target of 40% of base salary. Our board of directors or our compensation committee has historically reviewed these target percentages to ensure they are adequate, but does not follow a formula in determining them. Instead, our board of directors or our compensation committee has set these rates based on each participating executive’s experience in her or his role with our company and the level of responsibility held by each executive, which the board of directors or our compensation committee believe directly correlates to her or his ability to influence corporate results.</w:t>
      </w:r>
    </w:p>
    <w:p>
      <w:pPr>
        <w:spacing w:after="0" w:line="80"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For determining performance bonus amounts for our named executive officers for 2021, our board of directors initially set certain corporate performance goals related to tenapanor for the control of serum phosphorus, RDX013, RDX020, in-licensing, partnering and financing objectives and operation strategies. On August 2, 2021, the Company began implementing a restructuring plan to better align the Company’s workforce and anticipated commercial and development spend with the company’s capital resources and the needs of its business. In light of the Company’s restructuring and the need to retain the employees who were not impacted by the restructuring, the board of directors approved a retention program whereby the board agreed to amend the 2021 annual corporate bonus plan such that each current employee who continued to be employed through the earlier of January 31, 2022, or the payment date, would receive 50% of their 2021 target bonus.</w:t>
      </w:r>
    </w:p>
    <w:p>
      <w:pPr>
        <w:spacing w:after="0" w:line="80" w:lineRule="exact"/>
        <w:rPr>
          <w:sz w:val="20"/>
          <w:szCs w:val="20"/>
          <w:color w:val="auto"/>
        </w:rPr>
      </w:pPr>
    </w:p>
    <w:p>
      <w:pPr>
        <w:ind w:left="300" w:right="559"/>
        <w:spacing w:after="0" w:line="272" w:lineRule="auto"/>
        <w:rPr>
          <w:sz w:val="20"/>
          <w:szCs w:val="20"/>
          <w:color w:val="auto"/>
        </w:rPr>
      </w:pPr>
      <w:r>
        <w:rPr>
          <w:rFonts w:ascii="Times New Roman" w:cs="Times New Roman" w:eastAsia="Times New Roman" w:hAnsi="Times New Roman"/>
          <w:sz w:val="17"/>
          <w:szCs w:val="17"/>
          <w:color w:val="auto"/>
        </w:rPr>
        <w:t>Following the implementation of a second restructuring plan on October 4, 2021, and as part of the retention program discussed below, the board agreed to further amend the 2021 annual corporate bonus plan such that each current non-executive employee who continued to be employed through April 1, 2022 would receive the second</w:t>
      </w:r>
    </w:p>
    <w:p>
      <w:pPr>
        <w:spacing w:after="0" w:line="2" w:lineRule="exact"/>
        <w:rPr>
          <w:sz w:val="20"/>
          <w:szCs w:val="20"/>
          <w:color w:val="auto"/>
        </w:rPr>
      </w:pPr>
    </w:p>
    <w:p>
      <w:pPr>
        <w:ind w:left="300" w:right="319"/>
        <w:spacing w:after="0" w:line="232" w:lineRule="auto"/>
        <w:rPr>
          <w:sz w:val="20"/>
          <w:szCs w:val="20"/>
          <w:color w:val="auto"/>
        </w:rPr>
      </w:pPr>
      <w:r>
        <w:rPr>
          <w:rFonts w:ascii="Times New Roman" w:cs="Times New Roman" w:eastAsia="Times New Roman" w:hAnsi="Times New Roman"/>
          <w:sz w:val="18"/>
          <w:szCs w:val="18"/>
          <w:color w:val="auto"/>
        </w:rPr>
        <w:t>50% of their 2021 target bonus, and that each executive officer could earn the second 50% of their 2021 target bonus following the achievement of certain revised milestones related to IBSRELA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XPHOZAH</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subject to continued employment through April 1, 2022. The bonus would not have been earned if the named executive officer voluntarily terminated employment or was terminated by the Company for cause prior to April 1, 2022. In April, 2022, the compensation committee determined that the milestones were attained and the second 50% of the named executive officers’ bonus opportunities were paid out at that time. The named executive officers’ 2021 bonuses are set forth in the “Non-Equity Incentive Plan Compensation” column of the “2021 Summary Compensation Table” below.</w:t>
      </w:r>
    </w:p>
    <w:p>
      <w:pPr>
        <w:spacing w:after="0" w:line="95"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addition to our formal cash incentive program, our compensation committee may approve discretionary bonuses to be paid to our named executive officers from time to time, when it determines it to be appropriate to reward performance or incentivize future results. On October 8, 2021, the Board determined that it is in the best interests of the Company and its stockholder to put in place arrangements designed to provide that the Company will have the continued dedication and commitment of those employees, including executives, determined to be key to the restructuring and planned future operations of the Company, and thus, not impacted by the reduction in force. The Board approved a retention program consisting of cash payments and grants of restricted stock units to the Company’s employees not impacted by the reduction in force. Under the retention program, Mr. Raab and Dr. Rosenbaum and each other named executive officer has the opportunity to earn cash retention awards of $300,000, $150,000 and $250,000, respectively, subject to continued service through October 31, 2022 and attainment of individual performance milestones and corporate milestones primarily related to the regulatory process for XPHOZAH; the potential launch of IBSRELA; RDX013 and financing objectives and operation strategies. The cash retention bonus is payable earlier only upon the closing of a change in control or an involuntary termination of employment by the Company without cause.</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300" w:right="319"/>
        <w:spacing w:after="0" w:line="230"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shareholders. We do not currently have any formal policy for determining the number of equity-based awards to grant to named executive officers, though our compensation committee does reference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 of companies when approving annual equity awards.</w:t>
      </w:r>
    </w:p>
    <w:p>
      <w:pPr>
        <w:spacing w:after="0" w:line="93" w:lineRule="exact"/>
        <w:rPr>
          <w:sz w:val="20"/>
          <w:szCs w:val="20"/>
          <w:color w:val="auto"/>
        </w:rPr>
      </w:pPr>
    </w:p>
    <w:p>
      <w:pPr>
        <w:ind w:left="300" w:right="839"/>
        <w:spacing w:after="0" w:line="312" w:lineRule="auto"/>
        <w:rPr>
          <w:sz w:val="20"/>
          <w:szCs w:val="20"/>
          <w:color w:val="auto"/>
        </w:rPr>
      </w:pPr>
      <w:r>
        <w:rPr>
          <w:rFonts w:ascii="Times New Roman" w:cs="Times New Roman" w:eastAsia="Times New Roman" w:hAnsi="Times New Roman"/>
          <w:sz w:val="17"/>
          <w:szCs w:val="17"/>
          <w:color w:val="auto"/>
        </w:rPr>
        <w:t>On January 5, 2021, in connection with our annual compensation review, Mr. Raab was granted an option to purchase 517,959 shares of our common stock and each other named executive officer was granted options to</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54" w:lineRule="auto"/>
        <w:rPr>
          <w:sz w:val="20"/>
          <w:szCs w:val="20"/>
          <w:color w:val="auto"/>
        </w:rPr>
      </w:pPr>
      <w:r>
        <w:rPr>
          <w:rFonts w:ascii="Times New Roman" w:cs="Times New Roman" w:eastAsia="Times New Roman" w:hAnsi="Times New Roman"/>
          <w:sz w:val="18"/>
          <w:szCs w:val="18"/>
          <w:color w:val="auto"/>
        </w:rPr>
        <w:t>purchase 146,755 shares of our common stock, in each case, under our 2014 Equity Incentive Award Plan at an exercise price equal to $6.35, which was the fair market value of our common stock on the grant date. The option vests and becomes exercisable in substantially equal monthly installments over four years from the grant date, subject to each holder continuing to provide services to us through such dates. In addition, Mr. Raab was granted 115,102 restricted stock units and each other named executive officer was granted 32,612 restricted stock units, in each case, under our 2014 Equity Incentive Award Plan. The restricted stock units vest in substantially equal quarterly installments over four years on each of February 19, May 19, August 19 and November 19 following the grant date, subject to each holder continuing to provide services to us through such dates.</w:t>
      </w:r>
    </w:p>
    <w:p>
      <w:pPr>
        <w:spacing w:after="0" w:line="84"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On October 8, 2021, as part of the retention program discussed above, the board of directors approved grants of restricted stock units with respect to 300,000 shares in the case of Mr. Raab, 150,000 shares in the case of</w:t>
      </w:r>
    </w:p>
    <w:p>
      <w:pPr>
        <w:ind w:left="300" w:right="639"/>
        <w:spacing w:after="0" w:line="255" w:lineRule="auto"/>
        <w:rPr>
          <w:sz w:val="20"/>
          <w:szCs w:val="20"/>
          <w:color w:val="auto"/>
        </w:rPr>
      </w:pPr>
      <w:r>
        <w:rPr>
          <w:rFonts w:ascii="Times New Roman" w:cs="Times New Roman" w:eastAsia="Times New Roman" w:hAnsi="Times New Roman"/>
          <w:sz w:val="18"/>
          <w:szCs w:val="18"/>
          <w:color w:val="auto"/>
        </w:rPr>
        <w:t>Dr. Rosenbaum and 250,000 shares in the case of each other named executive officers. The restricted stock units vest in full, subject to continued service, upon the earlier June 1, 2022, the closing of a change in control or an involuntary termination of employment by the Company without cause.</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 We do not currently provide for any matching contributions under the 401(k) plan.</w:t>
      </w:r>
    </w:p>
    <w:p>
      <w:pPr>
        <w:spacing w:after="0" w:line="7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 These health and welfare plans include medical, dental and vision benefits; short-term and long-term disability insurance; and supplemental life and AD&amp;D insurance.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We do not provide any perquisites or personal benefits to our named executive officers not otherwise made available to other employees in 2021.</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Arrangements</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We have entered into agreements with each of the named executive officers in connection with their employment with us. These agreements set forth the terms and conditions of employment of each named executive officer, including base salary, initial equity award grants, and standard employee benefit plan participation. We also have agreements with each named executive officer that provide for severance benefits and payments upon certain terminations without cause or resignations for good reason. Our Compensation Committee believes that these types of arrangements are necessary to attract and retain executive talent and are a customary component of executive compensation. In particular, such arrangements can serve to mitigate a potential disincentive for them when they are evaluating a potential acquisition of the Company and can encourage retention through the conclusion of the transaction. The payments and benefits provided under our severance and change in control arrangements are designed to provide our named executive officers with treatment that is competitive with market practices. During 2021, we also entered into an amendment to the change in control severance agreement with Dr. Rosenbaum, under which Dr. Rosenbaum’s delivery of a resignation notice to us within the sixty day period after the $150,000 cash retention bonus, described above, is earned would entitle Dr. Rosenbaum to receive the severance benefits provided under his agreement; provided that the effective date of Dr. Rosenbaum’s resignation is no later than February 15 of the year following the year in which the cash retention bonus is earned. See ”—Potential Payments Upon Termination or Change in Control” for information regarding such severance benefits.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As a general matter, our compensation committee reviews and considers the various tax and accounting implications of compensation programs we utilize.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2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named executive officers during our most recently completed fiscal year ended December 31, 2021.</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1371600" cy="6343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0" cy="634365"/>
                    </a:xfrm>
                    <a:prstGeom prst="rect">
                      <a:avLst/>
                    </a:prstGeom>
                    <a:noFill/>
                  </pic:spPr>
                </pic:pic>
              </a:graphicData>
            </a:graphic>
          </wp:anchor>
        </w:drawing>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Michael Raab,</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President, Chief</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Executive Officer and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Robert Blanks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Chief Regulatory Affairs</w:t>
      </w:r>
    </w:p>
    <w:p>
      <w:pPr>
        <w:spacing w:after="0" w:line="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and Quality</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Assurance Officer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Elizabeth Grammer, Esq.</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Legal and</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Administrative</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David Rosenbaum, Ph.D.</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Chief Development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6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3"/>
              </w:rPr>
              <w:t>Awards($)</w:t>
            </w:r>
            <w:r>
              <w:rPr>
                <w:rFonts w:ascii="Times New Roman" w:cs="Times New Roman" w:eastAsia="Times New Roman" w:hAnsi="Times New Roman"/>
                <w:sz w:val="23"/>
                <w:szCs w:val="23"/>
                <w:b w:val="1"/>
                <w:bCs w:val="1"/>
                <w:color w:val="auto"/>
                <w:w w:val="93"/>
                <w:vertAlign w:val="superscript"/>
              </w:rPr>
              <w:t>(1)</w:t>
            </w:r>
          </w:p>
        </w:tc>
        <w:tc>
          <w:tcPr>
            <w:tcW w:w="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2021 650,000</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line="331" w:lineRule="exact"/>
              <w:rPr>
                <w:sz w:val="20"/>
                <w:szCs w:val="20"/>
                <w:color w:val="auto"/>
              </w:rPr>
            </w:pPr>
            <w:r>
              <w:rPr>
                <w:rFonts w:ascii="Times New Roman" w:cs="Times New Roman" w:eastAsia="Times New Roman" w:hAnsi="Times New Roman"/>
                <w:sz w:val="18"/>
                <w:szCs w:val="18"/>
                <w:color w:val="auto"/>
              </w:rPr>
              <w:t>195,000</w:t>
            </w:r>
            <w:r>
              <w:rPr>
                <w:rFonts w:ascii="Times New Roman" w:cs="Times New Roman" w:eastAsia="Times New Roman" w:hAnsi="Times New Roman"/>
                <w:sz w:val="29"/>
                <w:szCs w:val="29"/>
                <w:color w:val="auto"/>
                <w:vertAlign w:val="superscript"/>
              </w:rPr>
              <w:t>(3)</w:t>
            </w: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1,105,898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2,085,096</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195,000</w:t>
            </w: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4,230,994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633,333</w:t>
            </w:r>
          </w:p>
        </w:tc>
        <w:tc>
          <w:tcPr>
            <w:tcW w:w="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3,006,326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314,325</w:t>
            </w:r>
          </w:p>
        </w:tc>
        <w:tc>
          <w:tcPr>
            <w:tcW w:w="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3,953,984</w:t>
            </w: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595,000</w:t>
            </w:r>
          </w:p>
        </w:tc>
        <w:tc>
          <w:tcPr>
            <w:tcW w:w="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740,922</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393,000</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1,728,922</w:t>
            </w:r>
          </w:p>
        </w:tc>
        <w:tc>
          <w:tcPr>
            <w:tcW w:w="0" w:type="dxa"/>
            <w:vAlign w:val="bottom"/>
          </w:tcPr>
          <w:p>
            <w:pPr>
              <w:spacing w:after="0"/>
              <w:rPr>
                <w:sz w:val="1"/>
                <w:szCs w:val="1"/>
                <w:color w:val="auto"/>
              </w:rPr>
            </w:pPr>
          </w:p>
        </w:tc>
      </w:tr>
      <w:tr>
        <w:trPr>
          <w:trHeight w:val="350"/>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2021 445,500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89,100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1,734,063</w:t>
            </w:r>
          </w:p>
        </w:tc>
        <w:tc>
          <w:tcPr>
            <w:tcW w:w="0" w:type="dxa"/>
            <w:vAlign w:val="bottom"/>
          </w:tcPr>
          <w:p>
            <w:pPr>
              <w:spacing w:after="0"/>
              <w:rPr>
                <w:sz w:val="1"/>
                <w:szCs w:val="1"/>
                <w:color w:val="auto"/>
              </w:rPr>
            </w:pPr>
          </w:p>
        </w:tc>
      </w:tr>
      <w:tr>
        <w:trPr>
          <w:trHeight w:val="324"/>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2020 242,839</w:t>
            </w:r>
          </w:p>
        </w:tc>
        <w:tc>
          <w:tcPr>
            <w:tcW w:w="60" w:type="dxa"/>
            <w:vAlign w:val="bottom"/>
          </w:tcPr>
          <w:p>
            <w:pPr>
              <w:spacing w:after="0"/>
              <w:rPr>
                <w:sz w:val="24"/>
                <w:szCs w:val="24"/>
                <w:color w:val="auto"/>
              </w:rPr>
            </w:pPr>
          </w:p>
        </w:tc>
        <w:tc>
          <w:tcPr>
            <w:tcW w:w="90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rPr>
              <w:t>10,000</w:t>
            </w:r>
            <w:r>
              <w:rPr>
                <w:rFonts w:ascii="Times New Roman" w:cs="Times New Roman" w:eastAsia="Times New Roman" w:hAnsi="Times New Roman"/>
                <w:sz w:val="29"/>
                <w:szCs w:val="29"/>
                <w:color w:val="auto"/>
                <w:vertAlign w:val="superscript"/>
              </w:rPr>
              <w:t>(4)</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1,000,008</w:t>
            </w:r>
          </w:p>
        </w:tc>
        <w:tc>
          <w:tcPr>
            <w:tcW w:w="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141,900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1,468,247</w:t>
            </w:r>
          </w:p>
        </w:tc>
        <w:tc>
          <w:tcPr>
            <w:tcW w:w="0" w:type="dxa"/>
            <w:vAlign w:val="bottom"/>
          </w:tcPr>
          <w:p>
            <w:pPr>
              <w:spacing w:after="0"/>
              <w:rPr>
                <w:sz w:val="1"/>
                <w:szCs w:val="1"/>
                <w:color w:val="auto"/>
              </w:rPr>
            </w:pPr>
          </w:p>
        </w:tc>
      </w:tr>
      <w:tr>
        <w:trPr>
          <w:trHeight w:val="394"/>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2021 422,000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84,400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1,701,163</w:t>
            </w:r>
          </w:p>
        </w:tc>
        <w:tc>
          <w:tcPr>
            <w:tcW w:w="0" w:type="dxa"/>
            <w:vAlign w:val="bottom"/>
          </w:tcPr>
          <w:p>
            <w:pPr>
              <w:spacing w:after="0"/>
              <w:rPr>
                <w:sz w:val="1"/>
                <w:szCs w:val="1"/>
                <w:color w:val="auto"/>
              </w:rPr>
            </w:pPr>
          </w:p>
        </w:tc>
      </w:tr>
      <w:tr>
        <w:trPr>
          <w:trHeight w:val="972"/>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2021 445,500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89,100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1,734,063</w:t>
            </w:r>
          </w:p>
        </w:tc>
        <w:tc>
          <w:tcPr>
            <w:tcW w:w="0" w:type="dxa"/>
            <w:vAlign w:val="bottom"/>
          </w:tcPr>
          <w:p>
            <w:pPr>
              <w:spacing w:after="0"/>
              <w:rPr>
                <w:sz w:val="1"/>
                <w:szCs w:val="1"/>
                <w:color w:val="auto"/>
              </w:rPr>
            </w:pPr>
          </w:p>
        </w:tc>
      </w:tr>
      <w:tr>
        <w:trPr>
          <w:trHeight w:val="972"/>
        </w:trPr>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2021 461,000</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92,200</w:t>
            </w:r>
            <w:r>
              <w:rPr>
                <w:rFonts w:ascii="Times New Roman" w:cs="Times New Roman" w:eastAsia="Times New Roman" w:hAnsi="Times New Roman"/>
                <w:sz w:val="29"/>
                <w:szCs w:val="29"/>
                <w:color w:val="auto"/>
                <w:vertAlign w:val="superscript"/>
              </w:rPr>
              <w:t>(3)</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590,777</w:t>
            </w:r>
          </w:p>
        </w:tc>
        <w:tc>
          <w:tcPr>
            <w:tcW w:w="60" w:type="dxa"/>
            <w:vAlign w:val="bottom"/>
          </w:tcPr>
          <w:p>
            <w:pPr>
              <w:spacing w:after="0"/>
              <w:rPr>
                <w:sz w:val="24"/>
                <w:szCs w:val="2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92,200</w:t>
            </w:r>
          </w:p>
        </w:tc>
        <w:tc>
          <w:tcPr>
            <w:tcW w:w="60" w:type="dxa"/>
            <w:vAlign w:val="bottom"/>
          </w:tcPr>
          <w:p>
            <w:pPr>
              <w:spacing w:after="0"/>
              <w:rPr>
                <w:sz w:val="24"/>
                <w:szCs w:val="24"/>
                <w:color w:val="auto"/>
              </w:rPr>
            </w:pPr>
          </w:p>
        </w:tc>
        <w:tc>
          <w:tcPr>
            <w:tcW w:w="8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1,630,763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-1500505</wp:posOffset>
            </wp:positionV>
            <wp:extent cx="5357495" cy="617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57495" cy="61722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-266065</wp:posOffset>
            </wp:positionV>
            <wp:extent cx="5357495" cy="4800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57495" cy="48006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-2546350</wp:posOffset>
            </wp:positionV>
            <wp:extent cx="34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2908935</wp:posOffset>
            </wp:positionH>
            <wp:positionV relativeFrom="paragraph">
              <wp:posOffset>-2546350</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-2546350</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-2546350</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-2546350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671830</wp:posOffset>
            </wp:positionH>
            <wp:positionV relativeFrom="paragraph">
              <wp:posOffset>-2546350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-2546350</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2">
            <w:col w:w="2240" w:space="180"/>
            <w:col w:w="6599"/>
          </w:cols>
          <w:pgMar w:left="1440" w:top="263" w:right="1440" w:bottom="1440" w:gutter="0" w:footer="0" w:header="0"/>
          <w:type w:val="continuous"/>
        </w:sectPr>
      </w:pPr>
    </w:p>
    <w:p>
      <w:pPr>
        <w:spacing w:after="0" w:line="151" w:lineRule="exact"/>
        <w:rPr>
          <w:sz w:val="20"/>
          <w:szCs w:val="20"/>
          <w:color w:val="auto"/>
        </w:rPr>
      </w:pPr>
    </w:p>
    <w:p>
      <w:pPr>
        <w:ind w:left="640" w:right="339" w:hanging="348"/>
        <w:spacing w:after="0" w:line="229"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reported in the Stock Awards and Option Awards columns represent the grant date fair value of the restricted stock units and stock options granted to our named executive officers as computed in accordance with ASC 718. The assumptions used in calculating the grant date fair value of the restricted stock units and stock options reported in the Stock Awards and Option Awards columns are set forth in Note 10 to the audited financial statements included in our Annual Report on Form 10-K filed on March 8, 2022. The amounts reported in this column exclude the impact of forfeitures related to service-based vesting conditions. Note that the amounts reported in these columns reflect the accounting cost for these equity awards and do not correspond to the actual economic value that may be received by the named executive officers from the equity awards.</w:t>
      </w:r>
    </w:p>
    <w:p>
      <w:pPr>
        <w:spacing w:after="0" w:line="18"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represent the portion of the annual cash performance-based bonuses earned by our named executive officers pursuant to the achievement of certain company performance objectives. Please see the description of the annual performance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679" w:hanging="348"/>
        <w:spacing w:after="0" w:line="24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Bonus column represent the portion of the annual cash performance-based bonuses that were guaranteed. Please see the description of these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sign-on bonus paid to Mr. Renz in connection with his commencement of employment with us in June 2020.</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2021</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following table provides supplemental information relating to grants of plan-based awards made during fiscal 2021 to help explain information provided above in our Summary Compensation Table. This table presents information regarding all grants of plan-based awards occurring during fiscal 2021.</w:t>
      </w:r>
    </w:p>
    <w:p>
      <w:pPr>
        <w:sectPr>
          <w:pgSz w:w="11900" w:h="16838" w:orient="portrait"/>
          <w:cols w:equalWidth="0" w:num="1">
            <w:col w:w="9019"/>
          </w:cols>
          <w:pgMar w:left="1440" w:top="263" w:right="1440" w:bottom="1440" w:gutter="0" w:footer="0" w:header="0"/>
        </w:sectPr>
      </w:pPr>
    </w:p>
    <w:p>
      <w:pPr>
        <w:spacing w:after="0" w:line="358"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Estimated Future Payouts Under Non-</w:t>
      </w:r>
    </w:p>
    <w:p>
      <w:pPr>
        <w:spacing w:after="0" w:line="6" w:lineRule="exact"/>
        <w:rPr>
          <w:sz w:val="20"/>
          <w:szCs w:val="20"/>
          <w:color w:val="auto"/>
        </w:rPr>
      </w:pPr>
    </w:p>
    <w:p>
      <w:pPr>
        <w:jc w:val="center"/>
        <w:ind w:left="3220"/>
        <w:spacing w:after="0"/>
        <w:rPr>
          <w:sz w:val="20"/>
          <w:szCs w:val="20"/>
          <w:color w:val="auto"/>
        </w:rPr>
      </w:pPr>
      <w:r>
        <w:rPr>
          <w:rFonts w:ascii="Times New Roman" w:cs="Times New Roman" w:eastAsia="Times New Roman" w:hAnsi="Times New Roman"/>
          <w:sz w:val="14"/>
          <w:szCs w:val="14"/>
          <w:b w:val="1"/>
          <w:bCs w:val="1"/>
          <w:color w:val="auto"/>
        </w:rPr>
        <w:t>Equity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39370</wp:posOffset>
            </wp:positionV>
            <wp:extent cx="15944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31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31750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31750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31750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31750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0" w:type="dxa"/>
            <w:vAlign w:val="bottom"/>
          </w:tcPr>
          <w:p>
            <w:pPr>
              <w:spacing w:after="0"/>
              <w:rPr>
                <w:sz w:val="1"/>
                <w:szCs w:val="1"/>
                <w:color w:val="auto"/>
              </w:rPr>
            </w:pPr>
          </w:p>
        </w:tc>
      </w:tr>
      <w:tr>
        <w:trPr>
          <w:trHeight w:val="148"/>
        </w:trPr>
        <w:tc>
          <w:tcPr>
            <w:tcW w:w="7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31750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31750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31750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31750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2">
            <w:col w:w="5580" w:space="180"/>
            <w:col w:w="325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351"/>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2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390,000</w:t>
            </w:r>
            <w:r>
              <w:rPr>
                <w:rFonts w:ascii="Times New Roman" w:cs="Times New Roman" w:eastAsia="Times New Roman" w:hAnsi="Times New Roman"/>
                <w:sz w:val="29"/>
                <w:szCs w:val="29"/>
                <w:color w:val="auto"/>
                <w:w w:val="98"/>
                <w:vertAlign w:val="superscript"/>
              </w:rPr>
              <w:t>(1)</w:t>
            </w:r>
          </w:p>
        </w:tc>
        <w:tc>
          <w:tcPr>
            <w:tcW w:w="10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2,085,096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730,898</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300,000</w:t>
            </w:r>
            <w:r>
              <w:rPr>
                <w:rFonts w:ascii="Times New Roman" w:cs="Times New Roman" w:eastAsia="Times New Roman" w:hAnsi="Times New Roman"/>
                <w:sz w:val="29"/>
                <w:szCs w:val="29"/>
                <w:color w:val="auto"/>
                <w:w w:val="98"/>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35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178,200</w:t>
            </w:r>
            <w:r>
              <w:rPr>
                <w:rFonts w:ascii="Times New Roman" w:cs="Times New Roman" w:eastAsia="Times New Roman" w:hAnsi="Times New Roman"/>
                <w:sz w:val="29"/>
                <w:szCs w:val="29"/>
                <w:color w:val="auto"/>
                <w:w w:val="98"/>
                <w:vertAlign w:val="superscript"/>
              </w:rPr>
              <w:t>(1)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27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10/8/2021</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250,000</w:t>
            </w:r>
            <w:r>
              <w:rPr>
                <w:rFonts w:ascii="Times New Roman" w:cs="Times New Roman" w:eastAsia="Times New Roman" w:hAnsi="Times New Roman"/>
                <w:sz w:val="29"/>
                <w:szCs w:val="29"/>
                <w:color w:val="auto"/>
                <w:w w:val="98"/>
                <w:vertAlign w:val="superscript"/>
              </w:rPr>
              <w:t>(4)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8"/>
        </w:trPr>
        <w:tc>
          <w:tcPr>
            <w:tcW w:w="2740" w:type="dxa"/>
            <w:vAlign w:val="bottom"/>
            <w:gridSpan w:val="3"/>
          </w:tcPr>
          <w:p>
            <w:pPr>
              <w:ind w:left="1820"/>
              <w:spacing w:after="0" w:line="298"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24"/>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168,800</w:t>
            </w:r>
            <w:r>
              <w:rPr>
                <w:rFonts w:ascii="Times New Roman" w:cs="Times New Roman" w:eastAsia="Times New Roman" w:hAnsi="Times New Roman"/>
                <w:sz w:val="29"/>
                <w:szCs w:val="29"/>
                <w:color w:val="auto"/>
                <w:w w:val="98"/>
                <w:vertAlign w:val="superscript"/>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10/8/2021</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250,000</w:t>
            </w:r>
            <w:r>
              <w:rPr>
                <w:rFonts w:ascii="Times New Roman" w:cs="Times New Roman" w:eastAsia="Times New Roman" w:hAnsi="Times New Roman"/>
                <w:sz w:val="29"/>
                <w:szCs w:val="29"/>
                <w:color w:val="auto"/>
                <w:w w:val="98"/>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50"/>
        </w:trPr>
        <w:tc>
          <w:tcPr>
            <w:tcW w:w="2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178,200</w:t>
            </w:r>
            <w:r>
              <w:rPr>
                <w:rFonts w:ascii="Times New Roman" w:cs="Times New Roman" w:eastAsia="Times New Roman" w:hAnsi="Times New Roman"/>
                <w:sz w:val="29"/>
                <w:szCs w:val="29"/>
                <w:color w:val="auto"/>
                <w:w w:val="98"/>
                <w:vertAlign w:val="superscript"/>
              </w:rPr>
              <w:t>(1)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2740" w:type="dxa"/>
            <w:vAlign w:val="bottom"/>
            <w:gridSpan w:val="3"/>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250,000</w:t>
            </w:r>
            <w:r>
              <w:rPr>
                <w:rFonts w:ascii="Times New Roman" w:cs="Times New Roman" w:eastAsia="Times New Roman" w:hAnsi="Times New Roman"/>
                <w:sz w:val="29"/>
                <w:szCs w:val="29"/>
                <w:color w:val="auto"/>
                <w:w w:val="98"/>
                <w:vertAlign w:val="superscript"/>
              </w:rPr>
              <w:t>(4)</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8"/>
        </w:trPr>
        <w:tc>
          <w:tcPr>
            <w:tcW w:w="2740" w:type="dxa"/>
            <w:vAlign w:val="bottom"/>
            <w:gridSpan w:val="3"/>
          </w:tcPr>
          <w:p>
            <w:pPr>
              <w:ind w:left="1820"/>
              <w:spacing w:after="0" w:line="298"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tcPr>
          <w:p>
            <w:pPr>
              <w:spacing w:after="0"/>
              <w:rPr>
                <w:sz w:val="24"/>
                <w:szCs w:val="24"/>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324"/>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184,400</w:t>
            </w:r>
            <w:r>
              <w:rPr>
                <w:rFonts w:ascii="Times New Roman" w:cs="Times New Roman" w:eastAsia="Times New Roman" w:hAnsi="Times New Roman"/>
                <w:sz w:val="29"/>
                <w:szCs w:val="29"/>
                <w:color w:val="auto"/>
                <w:w w:val="98"/>
                <w:vertAlign w:val="superscript"/>
              </w:rPr>
              <w:t>(1)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590,777</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rPr>
              <w:t>1/5/2021</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32,612</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207,086</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324" w:lineRule="exact"/>
              <w:rPr>
                <w:sz w:val="20"/>
                <w:szCs w:val="20"/>
                <w:color w:val="auto"/>
              </w:rPr>
            </w:pPr>
            <w:r>
              <w:rPr>
                <w:rFonts w:ascii="Times New Roman" w:cs="Times New Roman" w:eastAsia="Times New Roman" w:hAnsi="Times New Roman"/>
                <w:sz w:val="18"/>
                <w:szCs w:val="18"/>
                <w:color w:val="auto"/>
                <w:w w:val="98"/>
              </w:rPr>
              <w:t>150,000</w:t>
            </w:r>
            <w:r>
              <w:rPr>
                <w:rFonts w:ascii="Times New Roman" w:cs="Times New Roman" w:eastAsia="Times New Roman" w:hAnsi="Times New Roman"/>
                <w:sz w:val="29"/>
                <w:szCs w:val="29"/>
                <w:color w:val="auto"/>
                <w:w w:val="98"/>
                <w:vertAlign w:val="superscript"/>
              </w:rPr>
              <w:t>(4)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w w:val="94"/>
              </w:rPr>
              <w:t>10/8/2021</w:t>
            </w:r>
            <w:r>
              <w:rPr>
                <w:rFonts w:ascii="Times New Roman" w:cs="Times New Roman" w:eastAsia="Times New Roman" w:hAnsi="Times New Roman"/>
                <w:sz w:val="29"/>
                <w:szCs w:val="29"/>
                <w:color w:val="auto"/>
                <w:w w:val="94"/>
                <w:vertAlign w:val="superscript"/>
              </w:rPr>
              <w:t>(5)</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3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target amount payable under our annual performance-based cash bonus program. Please see the description of the annual performance bonuses paid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4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as to 1/48th of the shares subject to the option on each monthly anniversary of January 5, 2021, subject to the subject to the holder continuing to provide services to us through each such date.</w:t>
      </w:r>
    </w:p>
    <w:p>
      <w:pPr>
        <w:ind w:left="640" w:right="4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substantially equal quarterly installments over four years on each of February 19, May 19, August 19 and November 19 following the grant date, subject to each holder continuing to provide services to us through each such date.</w:t>
      </w:r>
    </w:p>
    <w:p>
      <w:pPr>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bonus opportunities under the retention program. The awards are payable subject to continued service through October 31, 2022 and attainment of individual performance milestones and corporate milestones. Please see the description of the retention bonuses awarded to our named executive officers in “Compensation Discussion and Analysis—Cash Incentive Compensation” above.</w:t>
      </w:r>
    </w:p>
    <w:p>
      <w:pPr>
        <w:spacing w:after="0" w:line="14" w:lineRule="exact"/>
        <w:rPr>
          <w:rFonts w:ascii="Times New Roman" w:cs="Times New Roman" w:eastAsia="Times New Roman" w:hAnsi="Times New Roman"/>
          <w:sz w:val="14"/>
          <w:szCs w:val="14"/>
          <w:color w:val="auto"/>
        </w:rPr>
      </w:pPr>
    </w:p>
    <w:p>
      <w:pPr>
        <w:ind w:left="640" w:right="5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full, subject to continued service, upon the earlier June 1, 2022, the closing of a change in control or an involuntary termination of employment by the Company without cause.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2021</w:t>
      </w:r>
    </w:p>
    <w:p>
      <w:pPr>
        <w:spacing w:after="0" w:line="121"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shares of common stock underlying outstanding equity incentive plan awards for each named executive officer as of December 31, 2021.</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37"/>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980" w:type="dxa"/>
            <w:vAlign w:val="bottom"/>
            <w:gridSpan w:val="2"/>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gridSpan w:val="2"/>
          </w:tcPr>
          <w:p>
            <w:pPr>
              <w:jc w:val="center"/>
              <w:ind w:left="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90"/>
        </w:trPr>
        <w:tc>
          <w:tcPr>
            <w:tcW w:w="1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37"/>
        </w:trPr>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301,258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318,141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382,215</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8,133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158,020</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26,980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331,770</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123,230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267,116</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290,334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w w:val="98"/>
              </w:rPr>
              <w:t>118,698</w:t>
            </w:r>
            <w:r>
              <w:rPr>
                <w:rFonts w:ascii="Times New Roman" w:cs="Times New Roman" w:eastAsia="Times New Roman" w:hAnsi="Times New Roman"/>
                <w:sz w:val="29"/>
                <w:szCs w:val="29"/>
                <w:color w:val="auto"/>
                <w:w w:val="98"/>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399,261</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86,326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94,959</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300,000</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330,000</w:t>
            </w:r>
          </w:p>
        </w:tc>
        <w:tc>
          <w:tcPr>
            <w:tcW w:w="0" w:type="dxa"/>
            <w:vAlign w:val="bottom"/>
          </w:tcPr>
          <w:p>
            <w:pPr>
              <w:spacing w:after="0"/>
              <w:rPr>
                <w:sz w:val="1"/>
                <w:szCs w:val="1"/>
                <w:color w:val="auto"/>
              </w:rPr>
            </w:pPr>
          </w:p>
        </w:tc>
      </w:tr>
      <w:tr>
        <w:trPr>
          <w:trHeight w:val="269"/>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60" w:type="dxa"/>
            <w:vAlign w:val="bottom"/>
          </w:tcPr>
          <w:p>
            <w:pPr>
              <w:spacing w:after="0"/>
              <w:rPr>
                <w:sz w:val="23"/>
                <w:szCs w:val="23"/>
                <w:color w:val="auto"/>
              </w:rPr>
            </w:pPr>
          </w:p>
        </w:tc>
        <w:tc>
          <w:tcPr>
            <w:tcW w:w="1080" w:type="dxa"/>
            <w:vAlign w:val="bottom"/>
          </w:tcPr>
          <w:p>
            <w:pPr>
              <w:jc w:val="right"/>
              <w:spacing w:after="0" w:line="269" w:lineRule="exact"/>
              <w:rPr>
                <w:sz w:val="20"/>
                <w:szCs w:val="20"/>
                <w:color w:val="auto"/>
              </w:rPr>
            </w:pPr>
            <w:r>
              <w:rPr>
                <w:rFonts w:ascii="Times New Roman" w:cs="Times New Roman" w:eastAsia="Times New Roman" w:hAnsi="Times New Roman"/>
                <w:sz w:val="18"/>
                <w:szCs w:val="18"/>
                <w:color w:val="auto"/>
              </w:rPr>
              <w:t>6/08/2020</w:t>
            </w:r>
            <w:r>
              <w:rPr>
                <w:rFonts w:ascii="Times New Roman" w:cs="Times New Roman" w:eastAsia="Times New Roman" w:hAnsi="Times New Roman"/>
                <w:sz w:val="29"/>
                <w:szCs w:val="29"/>
                <w:color w:val="auto"/>
                <w:vertAlign w:val="superscript"/>
              </w:rPr>
              <w:t>(5)</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73,131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121,886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6/8/2030</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9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1/05/2031</w:t>
            </w:r>
          </w:p>
        </w:tc>
        <w:tc>
          <w:tcPr>
            <w:tcW w:w="120" w:type="dxa"/>
            <w:vAlign w:val="bottom"/>
          </w:tcPr>
          <w:p>
            <w:pPr>
              <w:spacing w:after="0"/>
              <w:rPr>
                <w:sz w:val="23"/>
                <w:szCs w:val="23"/>
                <w:color w:val="auto"/>
              </w:rPr>
            </w:pPr>
          </w:p>
        </w:tc>
        <w:tc>
          <w:tcPr>
            <w:tcW w:w="92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3"/>
                <w:szCs w:val="23"/>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7/18/2013</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33,333</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7/18/2023</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7,657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30,810</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63,628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85,998</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1,830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46,748</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58,333</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21,667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66,779</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11/11/2012</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11/11/2022</w:t>
            </w:r>
          </w:p>
        </w:tc>
        <w:tc>
          <w:tcPr>
            <w:tcW w:w="12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12/6/2012</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72,222</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12/6/2022</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11,450</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102,701</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79,535</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spacing w:after="0" w:line="295"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114,664</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2,440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46,748</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45,500</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32,500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9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66,779</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tcPr>
          <w:p>
            <w:pPr>
              <w:spacing w:after="0"/>
              <w:rPr>
                <w:sz w:val="23"/>
                <w:szCs w:val="23"/>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980" w:type="dxa"/>
            <w:vAlign w:val="bottom"/>
            <w:gridSpan w:val="2"/>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00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tcPr>
          <w:p>
            <w:pPr>
              <w:spacing w:after="0"/>
              <w:rPr>
                <w:sz w:val="23"/>
                <w:szCs w:val="23"/>
                <w:color w:val="auto"/>
              </w:rPr>
            </w:pPr>
          </w:p>
        </w:tc>
        <w:tc>
          <w:tcPr>
            <w:tcW w:w="920" w:type="dxa"/>
            <w:vAlign w:val="bottom"/>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3"/>
                <w:szCs w:val="23"/>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71"/>
        </w:trPr>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spacing w:after="0" w:line="271"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tcPr>
          <w:p>
            <w:pPr>
              <w:spacing w:after="0"/>
              <w:rPr>
                <w:sz w:val="23"/>
                <w:szCs w:val="23"/>
                <w:color w:val="auto"/>
              </w:rPr>
            </w:pP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spacing w:after="0"/>
              <w:rPr>
                <w:sz w:val="23"/>
                <w:szCs w:val="23"/>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1/6/2015</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12,620</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23.02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1/6/2025</w:t>
            </w: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1/15/2016</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90,377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10.55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1/15/2026</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1/19/2017</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106,047</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8"/>
              </w:rPr>
              <w:t>13.90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8/9/2017</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26,512</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8/9/2027</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1/16/2018</w:t>
            </w:r>
            <w:r>
              <w:rPr>
                <w:rFonts w:ascii="Times New Roman" w:cs="Times New Roman" w:eastAsia="Times New Roman" w:hAnsi="Times New Roman"/>
                <w:sz w:val="29"/>
                <w:szCs w:val="29"/>
                <w:color w:val="auto"/>
                <w:vertAlign w:val="superscript"/>
              </w:rPr>
              <w:t>(1)</w:t>
            </w:r>
          </w:p>
        </w:tc>
        <w:tc>
          <w:tcPr>
            <w:tcW w:w="9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114,664</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2,440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1/16/2028</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7/26/2018</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46,748</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7,982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7/26/2028</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1/17/2019</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87,500</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32,500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1/17/2029</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1/9/2020</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66,779</w:t>
            </w:r>
          </w:p>
        </w:tc>
        <w:tc>
          <w:tcPr>
            <w:tcW w:w="10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72,586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1/9/2030</w:t>
            </w:r>
          </w:p>
        </w:tc>
        <w:tc>
          <w:tcPr>
            <w:tcW w:w="1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1/5/2021</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33,631</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113,124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line="270" w:lineRule="exact"/>
              <w:rPr>
                <w:sz w:val="20"/>
                <w:szCs w:val="20"/>
                <w:color w:val="auto"/>
              </w:rPr>
            </w:pPr>
            <w:r>
              <w:rPr>
                <w:rFonts w:ascii="Times New Roman" w:cs="Times New Roman" w:eastAsia="Times New Roman" w:hAnsi="Times New Roman"/>
                <w:sz w:val="18"/>
                <w:szCs w:val="18"/>
                <w:color w:val="auto"/>
              </w:rPr>
              <w:t>24,456</w:t>
            </w:r>
            <w:r>
              <w:rPr>
                <w:rFonts w:ascii="Times New Roman" w:cs="Times New Roman" w:eastAsia="Times New Roman" w:hAnsi="Times New Roman"/>
                <w:sz w:val="29"/>
                <w:szCs w:val="29"/>
                <w:color w:val="auto"/>
                <w:vertAlign w:val="superscript"/>
              </w:rPr>
              <w:t>(2)</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26,902</w:t>
            </w: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line="296" w:lineRule="exact"/>
              <w:rPr>
                <w:sz w:val="20"/>
                <w:szCs w:val="20"/>
                <w:color w:val="auto"/>
              </w:rPr>
            </w:pPr>
            <w:r>
              <w:rPr>
                <w:rFonts w:ascii="Times New Roman" w:cs="Times New Roman" w:eastAsia="Times New Roman" w:hAnsi="Times New Roman"/>
                <w:sz w:val="18"/>
                <w:szCs w:val="18"/>
                <w:color w:val="auto"/>
              </w:rPr>
              <w:t>10/8/2021</w:t>
            </w:r>
            <w:r>
              <w:rPr>
                <w:rFonts w:ascii="Times New Roman" w:cs="Times New Roman" w:eastAsia="Times New Roman" w:hAnsi="Times New Roman"/>
                <w:sz w:val="29"/>
                <w:szCs w:val="29"/>
                <w:color w:val="auto"/>
                <w:vertAlign w:val="superscript"/>
              </w:rPr>
              <w:t>(4)</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-7928610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-7928610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-7928610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-7928610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2568575</wp:posOffset>
            </wp:positionH>
            <wp:positionV relativeFrom="paragraph">
              <wp:posOffset>-7928610</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-7928610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-7928610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in substantially equal monthly installments over four years from the vesting commencement date, subject to the holder continuing to provide services to us through each such date.</w:t>
      </w:r>
    </w:p>
    <w:p>
      <w:pPr>
        <w:sectPr>
          <w:pgSz w:w="11900" w:h="16838" w:orient="portrait"/>
          <w:cols w:equalWidth="0" w:num="1">
            <w:col w:w="9019"/>
          </w:cols>
          <w:pgMar w:left="1440" w:top="263" w:right="1440" w:bottom="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263" w:right="1440" w:bottom="0" w:gutter="0" w:footer="0" w:header="0"/>
          <w:type w:val="continuous"/>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47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substantially equal quarterly installments over four years from the date of grant, on each of Feb 19; May 19; August 19 and November 19, subject to the holder continuing to provide continued services to us through each such date.</w:t>
      </w: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calculated based on the $1.10 closing trading price of our common stock as of December 31, 2021.</w:t>
      </w:r>
    </w:p>
    <w:p>
      <w:pPr>
        <w:spacing w:after="0" w:line="41" w:lineRule="exact"/>
        <w:rPr>
          <w:rFonts w:ascii="Times New Roman" w:cs="Times New Roman" w:eastAsia="Times New Roman" w:hAnsi="Times New Roman"/>
          <w:sz w:val="14"/>
          <w:szCs w:val="14"/>
          <w:color w:val="auto"/>
        </w:rPr>
      </w:pPr>
    </w:p>
    <w:p>
      <w:pPr>
        <w:jc w:val="both"/>
        <w:ind w:left="640" w:right="519" w:hanging="348"/>
        <w:spacing w:after="0" w:line="26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vest in full on upon the earlier June 1, 2022, the closing of a change in control or an involuntary termination of employment by the Company without cause, subject to the holder continuing to provide continued services to us through each such date.</w:t>
      </w:r>
    </w:p>
    <w:p>
      <w:pPr>
        <w:ind w:left="640" w:right="439" w:hanging="348"/>
        <w:spacing w:after="0" w:line="241" w:lineRule="auto"/>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vests and becomes exercisable as to 25% of the shares subject to the option on the one year anniversary of the vesting commencement date, and as to 1/48th of the shares subject to the option each month thereafter, subject to the holder continuing to provide services to us through each such date.</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Options Exercises and Stock Vested in Fiscal 2021</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20" w:type="dxa"/>
            <w:vAlign w:val="bottom"/>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50"/>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vMerge w:val="restart"/>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9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331"/>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840" w:type="dxa"/>
            <w:vAlign w:val="bottom"/>
            <w:shd w:val="clear" w:color="auto" w:fill="CCEEFF"/>
          </w:tcPr>
          <w:p>
            <w:pPr>
              <w:jc w:val="right"/>
              <w:spacing w:after="0" w:line="331" w:lineRule="exact"/>
              <w:rPr>
                <w:sz w:val="20"/>
                <w:szCs w:val="20"/>
                <w:color w:val="auto"/>
              </w:rPr>
            </w:pPr>
            <w:r>
              <w:rPr>
                <w:rFonts w:ascii="Times New Roman" w:cs="Times New Roman" w:eastAsia="Times New Roman" w:hAnsi="Times New Roman"/>
                <w:sz w:val="18"/>
                <w:szCs w:val="18"/>
                <w:color w:val="auto"/>
              </w:rPr>
              <w:t>267,892</w:t>
            </w:r>
            <w:r>
              <w:rPr>
                <w:rFonts w:ascii="Times New Roman" w:cs="Times New Roman" w:eastAsia="Times New Roman" w:hAnsi="Times New Roman"/>
                <w:sz w:val="29"/>
                <w:szCs w:val="29"/>
                <w:color w:val="auto"/>
                <w:vertAlign w:val="superscript"/>
              </w:rPr>
              <w:t>(3)</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294,681</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28,776</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115,823</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Pr>
          <w:p>
            <w:pPr>
              <w:spacing w:after="0"/>
              <w:rPr>
                <w:sz w:val="23"/>
                <w:szCs w:val="2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112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tcPr>
          <w:p>
            <w:pPr>
              <w:spacing w:after="0"/>
              <w:rPr>
                <w:sz w:val="23"/>
                <w:szCs w:val="23"/>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8,156</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32,828</w:t>
            </w:r>
          </w:p>
        </w:tc>
        <w:tc>
          <w:tcPr>
            <w:tcW w:w="0" w:type="dxa"/>
            <w:vAlign w:val="bottom"/>
          </w:tcPr>
          <w:p>
            <w:pPr>
              <w:spacing w:after="0"/>
              <w:rPr>
                <w:sz w:val="1"/>
                <w:szCs w:val="1"/>
                <w:color w:val="auto"/>
              </w:rPr>
            </w:pPr>
          </w:p>
        </w:tc>
      </w:tr>
      <w:tr>
        <w:trPr>
          <w:trHeight w:val="54"/>
        </w:trPr>
        <w:tc>
          <w:tcPr>
            <w:tcW w:w="38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-1045210</wp:posOffset>
            </wp:positionV>
            <wp:extent cx="171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-1045210</wp:posOffset>
            </wp:positionV>
            <wp:extent cx="1714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-1045210</wp:posOffset>
            </wp:positionV>
            <wp:extent cx="17145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-1045210</wp:posOffset>
            </wp:positionV>
            <wp:extent cx="1714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4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equals the excess of the market price of our common stock at exercise over the option exercise price, multiplied by the number of shares for which the option was exercised.</w:t>
      </w:r>
    </w:p>
    <w:p>
      <w:pPr>
        <w:ind w:left="640" w:right="65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the vesting date is based on the closing trading price of our common stock on the vesting date, multiplied by the number of RSUs vested.</w:t>
      </w:r>
    </w:p>
    <w:p>
      <w:pPr>
        <w:ind w:left="640" w:right="299" w:hanging="348"/>
        <w:spacing w:after="0" w:line="261" w:lineRule="auto"/>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150,343 shares that were withheld in a net exercise transaction to cover the exercise price and withholding taxes. The option shares exercised were granted in August 2011 and had an expiration date of August 11,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In June 2014, we entered into an amended and restated employment agreement with Mr. Raab. We have also entered into a change in control severance agreement with each of our other named executive officers.</w:t>
      </w:r>
    </w:p>
    <w:p>
      <w:pPr>
        <w:spacing w:after="0" w:line="54"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Mr. Raab’s amended and restated employment agreement, in the event Mr. Raab’s employment with us is involuntarily terminated for reason other than “cause” or he resigns for “good reason” (each, as defined below), in each case more than three months prior to or more than 12 months after a change in control, then Mr. Raab will receive: (i) continued payment of his annual base salary as in effect immediately prior to such termination for a period of 12 months; (ii) payment of healthcare continuation costs for him and his eligible dependents for up to 12 months following the date of such termination; and (iii) 12 months of accelerated vesting of any outstanding equity awards, with any options remaining exercisable until the earlier of 12 months following the date of termination or the original expiration date. In the event Mr. Raab’s employment with us is involuntarily terminated for reason other than cause or he resigns for good reason, in each case within three months prior to and 12 months after a change in control, then Mr. Raab will receive: (i) a lump sum amount equal to 1.5 multiplied by the sum of his base salary as in effect immediately prior to such termination and his target annual bonus for the year of termination; (ii) payment of healthcare continuation costs for him and his eligible dependents for up to 18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Mr. Raab’s timely execution and non-revocation of a general release of claims against the Company and its affiliates.</w:t>
      </w:r>
    </w:p>
    <w:p>
      <w:pPr>
        <w:spacing w:after="0" w:line="8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Under each other named executive officer’s change in control severance agreements, in the event the named executive officer’s employment with us is involuntarily terminated for reason other than cause or they resign for good reason, in each case more than three months prior to or more than 12 months after a change in control, then they will receive: (i) continued payment of their annual base salary as in effect immediately prior to such termination for a period of nine months; and (ii) payment of healthcare continuation costs for them and their eligible dependents for up to 12 months following the date of such termination. In the event their employment with us is involuntarily terminated for reason other than cause or they resigns for good reason, in each case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within three months prior to and 12 months after a change in control, then they will receive: (i) a lump sum amount equal to the sum of their base salary as in effect immediately prior to such termination and their target annual bonus for the year of termination; (ii) payment of healthcare continuation costs for them and their eligible dependents for up to 12 months following the date of such termination; and (iii) full accelerated vesting of any outstanding equity awards, with any options remaining exercisable until the earlier of 12 months following the date of termination or the original expiration date. The foregoing severance benefits are subject to the named executive officer’s timely execution and non-revocation of a general release of claims against the Company and its affiliates, continued compliance with his/her confidential information agreement.</w:t>
      </w:r>
    </w:p>
    <w:p>
      <w:pPr>
        <w:spacing w:after="0" w:line="84"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For the purposes of Mr. Raab’s amended and restated employment agreement and each of the other named executive officer’s change in control severance agreements, “cause” means (i) the named executive officer’s theft, dishonesty or falsification of any employment or company records that is non-trivial in nature; (ii) malicious or reckless disclosure of our confidential or proprietary information or any material breach by the named executive officer of their obligations under their proprietary information and inventions assignment agreement with us; (iii) the conviction of the named executive officer of a felony (excluding motor vehicle violations) or the commission of gross negligence or willful misconduct, where a majority of the non-employee members of the board of directors reasonably determines that such act or misconduct has (A) seriously undermined the ability of the board of directors or management to entrust them with important matters or otherwise work effectively with them, (B) substantially contributed to our loss of significant revenues or business opportunities, or (C) significantly and detrimentally affected the business or reputation of our company or any of our subsidiaries; and/or (iv) the willful failure or refusal by the named executive officer to follow the reasonable and lawful directives of the board of directors, provided such willful failure or refusal continues after their receipt of reasonable notice in writing of such failure or refusal and a reasonable opportunity of not less than 30 days to correct the problem.</w:t>
      </w:r>
    </w:p>
    <w:p>
      <w:pPr>
        <w:spacing w:after="0" w:line="8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For the purposes of Mr. Raab’s amended and restated employment agreement and each of the other named executive officer’s change in control severance agreements, “good reason” includes the occurrence of: (i) a material diminution in the named executive officer’s authority, duties, or responsibilities, which substantially reduces the nature or character of their position; (ii) a reduction (or material reduction, in the case of each named executive officer other than Mr. Raab) by us of their base salary as in effect immediately prior to such reduction; (iii) a relocation of their principal office to a location more than 50 miles from the location of our principal office as of immediately prior to such relocation, except for required travel by them on company business; or (iv) any material breach by us of any provision of the named executive officer’s employment agreement or offer letter which we do not cure within 30 days following written notice from the named executive officer, provided that in order for “good reason” to exist, each of the following conditions must be met: (i) the foregoing good reason conditions must have occurred without the named executive officer’s express written consent; (ii) the named executive officer must provide written notice to us of such condition within 30 days of the initial existence of the condition; (iii) the condition specified in such notice must remain uncorrected for 30 days after receipt of such notice; and (iv) the date of the named executive officer’s resignation of employment must occur within 60 days after the initial existence of the condition specified in such notice.</w:t>
      </w:r>
    </w:p>
    <w:p>
      <w:pPr>
        <w:spacing w:after="0" w:line="88"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cash retention bonuses and restricted stock units granted to the named executive officers on October 8, 2021 vest in full on the closing of a change in control or an involuntary termination of employment by the Company without cause. Additionally, we entered into an amendment to the change in control severance agreement with Dr. Rosenbaum effective December 1, 2021, under which Dr. Rosenbaum’s delivery of a resignation notice to us within the sixty day period after the retention cash bonus is earned would entitle Dr. Rosenbaum to receive the severance benefits described above; provided that the effective date of Dr. Rosenbaum’s resignation is no later than February 15 of the year following the year in which the retention bonus is earned. Please see the description of the retention bonus to be paid to our named executive officers in “Compensation Discussion and Analysis—Cash Incentive Compensation” above.</w:t>
      </w:r>
    </w:p>
    <w:p>
      <w:pPr>
        <w:spacing w:after="0" w:line="80"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Under our 2014 Equity Incentive Plan, the vesting of time-vesting equity awards only accelerate in the event that the successor corporation refuses to assume or substitute the awards.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this section, we describe payments that may be made to our named executive officers upon certain terminations of employment, assuming the termination event occurred on the last day of fiscal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Covered Termination</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 Termination</w:t>
            </w:r>
          </w:p>
        </w:tc>
        <w:tc>
          <w:tcPr>
            <w:tcW w:w="0" w:type="dxa"/>
            <w:vAlign w:val="bottom"/>
          </w:tcPr>
          <w:p>
            <w:pPr>
              <w:spacing w:after="0"/>
              <w:rPr>
                <w:sz w:val="1"/>
                <w:szCs w:val="1"/>
                <w:color w:val="auto"/>
              </w:rPr>
            </w:pPr>
          </w:p>
        </w:tc>
      </w:tr>
      <w:tr>
        <w:trPr>
          <w:trHeight w:val="146"/>
        </w:trPr>
        <w:tc>
          <w:tcPr>
            <w:tcW w:w="1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1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300" w:type="dxa"/>
            <w:vAlign w:val="bottom"/>
            <w:vMerge w:val="restart"/>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40" w:type="dxa"/>
            <w:vAlign w:val="bottom"/>
            <w:gridSpan w:val="3"/>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Unrelated to a</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 connection with a</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300" w:type="dxa"/>
            <w:vAlign w:val="bottom"/>
            <w:tcBorders>
              <w:bottom w:val="single" w:sz="8" w:color="CCEEFF"/>
            </w:tcBorders>
          </w:tcPr>
          <w:p>
            <w:pPr>
              <w:spacing w:after="0"/>
              <w:rPr>
                <w:sz w:val="21"/>
                <w:szCs w:val="21"/>
                <w:color w:val="auto"/>
              </w:rPr>
            </w:pPr>
          </w:p>
        </w:tc>
        <w:tc>
          <w:tcPr>
            <w:tcW w:w="2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CCEEFF"/>
            </w:tcBorders>
            <w:vMerge w:val="continue"/>
          </w:tcPr>
          <w:p>
            <w:pPr>
              <w:spacing w:after="0"/>
              <w:rPr>
                <w:sz w:val="21"/>
                <w:szCs w:val="21"/>
                <w:color w:val="auto"/>
              </w:rPr>
            </w:pPr>
          </w:p>
        </w:tc>
        <w:tc>
          <w:tcPr>
            <w:tcW w:w="820" w:type="dxa"/>
            <w:vAlign w:val="bottom"/>
            <w:tcBorders>
              <w:bottom w:val="single" w:sz="8" w:color="auto"/>
            </w:tcBorders>
            <w:gridSpan w:val="2"/>
          </w:tcPr>
          <w:p>
            <w:pPr>
              <w:jc w:val="right"/>
              <w:spacing w:after="0" w:line="243" w:lineRule="exact"/>
              <w:rPr>
                <w:sz w:val="20"/>
                <w:szCs w:val="20"/>
                <w:color w:val="auto"/>
              </w:rPr>
            </w:pPr>
            <w:r>
              <w:rPr>
                <w:rFonts w:ascii="Times New Roman" w:cs="Times New Roman" w:eastAsia="Times New Roman" w:hAnsi="Times New Roman"/>
                <w:sz w:val="14"/>
                <w:szCs w:val="14"/>
                <w:b w:val="1"/>
                <w:bCs w:val="1"/>
                <w:color w:val="auto"/>
                <w:w w:val="94"/>
              </w:rPr>
              <w:t>Control ($)</w:t>
            </w:r>
            <w:r>
              <w:rPr>
                <w:rFonts w:ascii="Times New Roman" w:cs="Times New Roman" w:eastAsia="Times New Roman" w:hAnsi="Times New Roman"/>
                <w:sz w:val="23"/>
                <w:szCs w:val="23"/>
                <w:b w:val="1"/>
                <w:bCs w:val="1"/>
                <w:color w:val="auto"/>
                <w:w w:val="94"/>
                <w:vertAlign w:val="superscript"/>
              </w:rPr>
              <w:t>(1)</w:t>
            </w:r>
          </w:p>
        </w:tc>
        <w:tc>
          <w:tcPr>
            <w:tcW w:w="3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 ($)</w:t>
            </w:r>
          </w:p>
        </w:tc>
        <w:tc>
          <w:tcPr>
            <w:tcW w:w="2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Control ($)</w:t>
            </w:r>
          </w:p>
        </w:tc>
        <w:tc>
          <w:tcPr>
            <w:tcW w:w="0" w:type="dxa"/>
            <w:vAlign w:val="bottom"/>
          </w:tcPr>
          <w:p>
            <w:pPr>
              <w:spacing w:after="0"/>
              <w:rPr>
                <w:sz w:val="1"/>
                <w:szCs w:val="1"/>
                <w:color w:val="auto"/>
              </w:rPr>
            </w:pPr>
          </w:p>
        </w:tc>
      </w:tr>
      <w:tr>
        <w:trPr>
          <w:trHeight w:val="277"/>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164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650,000</w:t>
            </w:r>
          </w:p>
        </w:tc>
        <w:tc>
          <w:tcPr>
            <w:tcW w:w="1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975,000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585,500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38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20,322</w:t>
            </w:r>
          </w:p>
        </w:tc>
        <w:tc>
          <w:tcPr>
            <w:tcW w:w="280" w:type="dxa"/>
            <w:vAlign w:val="bottom"/>
          </w:tcPr>
          <w:p>
            <w:pPr>
              <w:spacing w:after="0"/>
              <w:rPr>
                <w:sz w:val="23"/>
                <w:szCs w:val="23"/>
                <w:color w:val="auto"/>
              </w:rPr>
            </w:pPr>
          </w:p>
        </w:tc>
        <w:tc>
          <w:tcPr>
            <w:tcW w:w="13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30,482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330,000</w:t>
            </w:r>
          </w:p>
        </w:tc>
        <w:tc>
          <w:tcPr>
            <w:tcW w:w="30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362,000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424,959</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630,000</w:t>
            </w:r>
          </w:p>
        </w:tc>
        <w:tc>
          <w:tcPr>
            <w:tcW w:w="300" w:type="dxa"/>
            <w:vAlign w:val="bottom"/>
          </w:tcPr>
          <w:p>
            <w:pPr>
              <w:spacing w:after="0"/>
              <w:rPr>
                <w:sz w:val="23"/>
                <w:szCs w:val="23"/>
                <w:color w:val="auto"/>
              </w:rPr>
            </w:pP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1,335,322</w:t>
            </w:r>
          </w:p>
        </w:tc>
        <w:tc>
          <w:tcPr>
            <w:tcW w:w="280" w:type="dxa"/>
            <w:vAlign w:val="bottom"/>
          </w:tcPr>
          <w:p>
            <w:pPr>
              <w:spacing w:after="0"/>
              <w:rPr>
                <w:sz w:val="23"/>
                <w:szCs w:val="23"/>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2,315,442</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38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334,125</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445,500</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38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178,000</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38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43,302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43,902</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​275,000</w:t>
            </w:r>
          </w:p>
        </w:tc>
        <w:tc>
          <w:tcPr>
            <w:tcW w:w="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301,902</w:t>
            </w:r>
          </w:p>
        </w:tc>
        <w:tc>
          <w:tcPr>
            <w:tcW w:w="0" w:type="dxa"/>
            <w:vAlign w:val="bottom"/>
          </w:tcPr>
          <w:p>
            <w:pPr>
              <w:spacing w:after="0"/>
              <w:rPr>
                <w:sz w:val="1"/>
                <w:szCs w:val="1"/>
                <w:color w:val="auto"/>
              </w:rPr>
            </w:pPr>
          </w:p>
        </w:tc>
      </w:tr>
      <w:tr>
        <w:trPr>
          <w:trHeight w:val="330"/>
        </w:trPr>
        <w:tc>
          <w:tcPr>
            <w:tcW w:w="1520" w:type="dxa"/>
            <w:vAlign w:val="bottom"/>
          </w:tcPr>
          <w:p>
            <w:pPr>
              <w:spacing w:after="0"/>
              <w:rPr>
                <w:sz w:val="24"/>
                <w:szCs w:val="24"/>
                <w:color w:val="auto"/>
              </w:rPr>
            </w:pPr>
          </w:p>
        </w:tc>
        <w:tc>
          <w:tcPr>
            <w:tcW w:w="2760" w:type="dxa"/>
            <w:vAlign w:val="bottom"/>
            <w:gridSpan w:val="3"/>
          </w:tcPr>
          <w:p>
            <w:pPr>
              <w:ind w:left="300"/>
              <w:spacing w:after="0" w:line="330"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627,427</w:t>
            </w:r>
          </w:p>
        </w:tc>
        <w:tc>
          <w:tcPr>
            <w:tcW w:w="28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1,218,704</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316,500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422,000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168,000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38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19,892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11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​275,000</w:t>
            </w:r>
          </w:p>
        </w:tc>
        <w:tc>
          <w:tcPr>
            <w:tcW w:w="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301,902</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586,392</w:t>
            </w:r>
          </w:p>
        </w:tc>
        <w:tc>
          <w:tcPr>
            <w:tcW w:w="280" w:type="dxa"/>
            <w:vAlign w:val="bottom"/>
          </w:tcPr>
          <w:p>
            <w:pPr>
              <w:spacing w:after="0"/>
              <w:rPr>
                <w:sz w:val="23"/>
                <w:szCs w:val="23"/>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1,161,794</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380" w:type="dxa"/>
            <w:vAlign w:val="bottom"/>
          </w:tcPr>
          <w:p>
            <w:pPr>
              <w:spacing w:after="0"/>
              <w:rPr>
                <w:sz w:val="24"/>
                <w:szCs w:val="24"/>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334,125</w:t>
            </w: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445,500</w:t>
            </w:r>
          </w:p>
        </w:tc>
        <w:tc>
          <w:tcPr>
            <w:tcW w:w="0" w:type="dxa"/>
            <w:vAlign w:val="bottom"/>
          </w:tcPr>
          <w:p>
            <w:pPr>
              <w:spacing w:after="0"/>
              <w:rPr>
                <w:sz w:val="1"/>
                <w:szCs w:val="1"/>
                <w:color w:val="auto"/>
              </w:rPr>
            </w:pPr>
          </w:p>
        </w:tc>
      </w:tr>
      <w:tr>
        <w:trPr>
          <w:trHeight w:val="324"/>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178,000</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38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37,467</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37,467</w:t>
            </w:r>
          </w:p>
        </w:tc>
        <w:tc>
          <w:tcPr>
            <w:tcW w:w="0" w:type="dxa"/>
            <w:vAlign w:val="bottom"/>
          </w:tcPr>
          <w:p>
            <w:pPr>
              <w:spacing w:after="0"/>
              <w:rPr>
                <w:sz w:val="1"/>
                <w:szCs w:val="1"/>
                <w:color w:val="auto"/>
              </w:rPr>
            </w:pPr>
          </w:p>
        </w:tc>
      </w:tr>
      <w:tr>
        <w:trPr>
          <w:trHeight w:val="296"/>
        </w:trPr>
        <w:tc>
          <w:tcPr>
            <w:tcW w:w="1520" w:type="dxa"/>
            <w:vAlign w:val="bottom"/>
          </w:tcPr>
          <w:p>
            <w:pPr>
              <w:spacing w:after="0"/>
              <w:rPr>
                <w:sz w:val="24"/>
                <w:szCs w:val="24"/>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​275,000</w:t>
            </w:r>
          </w:p>
        </w:tc>
        <w:tc>
          <w:tcPr>
            <w:tcW w:w="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24"/>
                <w:szCs w:val="24"/>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301,902</w:t>
            </w:r>
          </w:p>
        </w:tc>
        <w:tc>
          <w:tcPr>
            <w:tcW w:w="0" w:type="dxa"/>
            <w:vAlign w:val="bottom"/>
          </w:tcPr>
          <w:p>
            <w:pPr>
              <w:spacing w:after="0"/>
              <w:rPr>
                <w:sz w:val="1"/>
                <w:szCs w:val="1"/>
                <w:color w:val="auto"/>
              </w:rPr>
            </w:pPr>
          </w:p>
        </w:tc>
      </w:tr>
      <w:tr>
        <w:trPr>
          <w:trHeight w:val="330"/>
        </w:trPr>
        <w:tc>
          <w:tcPr>
            <w:tcW w:w="1520" w:type="dxa"/>
            <w:vAlign w:val="bottom"/>
          </w:tcPr>
          <w:p>
            <w:pPr>
              <w:spacing w:after="0"/>
              <w:rPr>
                <w:sz w:val="24"/>
                <w:szCs w:val="24"/>
                <w:color w:val="auto"/>
              </w:rPr>
            </w:pPr>
          </w:p>
        </w:tc>
        <w:tc>
          <w:tcPr>
            <w:tcW w:w="2760" w:type="dxa"/>
            <w:vAlign w:val="bottom"/>
            <w:gridSpan w:val="3"/>
          </w:tcPr>
          <w:p>
            <w:pPr>
              <w:ind w:left="300"/>
              <w:spacing w:after="0" w:line="330"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520" w:type="dxa"/>
            <w:vAlign w:val="bottom"/>
          </w:tcPr>
          <w:p>
            <w:pPr>
              <w:spacing w:after="0"/>
              <w:rPr>
                <w:sz w:val="20"/>
                <w:szCs w:val="20"/>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​525,000</w:t>
            </w: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619,592</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1,212,869</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Rosenbaum</w:t>
            </w: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Base Salary</w:t>
            </w: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345,750</w:t>
            </w: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 461,000</w:t>
            </w:r>
          </w:p>
        </w:tc>
        <w:tc>
          <w:tcPr>
            <w:tcW w:w="0" w:type="dxa"/>
            <w:vAlign w:val="bottom"/>
          </w:tcPr>
          <w:p>
            <w:pPr>
              <w:spacing w:after="0"/>
              <w:rPr>
                <w:sz w:val="1"/>
                <w:szCs w:val="1"/>
                <w:color w:val="auto"/>
              </w:rPr>
            </w:pPr>
          </w:p>
        </w:tc>
      </w:tr>
      <w:tr>
        <w:trPr>
          <w:trHeight w:val="324"/>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Target Bonus</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184,400</w:t>
            </w:r>
          </w:p>
        </w:tc>
        <w:tc>
          <w:tcPr>
            <w:tcW w:w="0" w:type="dxa"/>
            <w:vAlign w:val="bottom"/>
          </w:tcPr>
          <w:p>
            <w:pPr>
              <w:spacing w:after="0"/>
              <w:rPr>
                <w:sz w:val="1"/>
                <w:szCs w:val="1"/>
                <w:color w:val="auto"/>
              </w:rPr>
            </w:pPr>
          </w:p>
        </w:tc>
      </w:tr>
      <w:tr>
        <w:trPr>
          <w:trHeight w:val="358"/>
        </w:trPr>
        <w:tc>
          <w:tcPr>
            <w:tcW w:w="1520" w:type="dxa"/>
            <w:vAlign w:val="bottom"/>
            <w:tcBorders>
              <w:bottom w:val="single" w:sz="8" w:color="CCEEFF"/>
            </w:tcBorders>
            <w:shd w:val="clear" w:color="auto" w:fill="CCEEFF"/>
          </w:tcPr>
          <w:p>
            <w:pPr>
              <w:spacing w:after="0"/>
              <w:rPr>
                <w:sz w:val="24"/>
                <w:szCs w:val="24"/>
                <w:color w:val="auto"/>
              </w:rPr>
            </w:pPr>
          </w:p>
        </w:tc>
        <w:tc>
          <w:tcPr>
            <w:tcW w:w="276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Retention Bonus</w:t>
            </w:r>
          </w:p>
        </w:tc>
        <w:tc>
          <w:tcPr>
            <w:tcW w:w="8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COBRA Reimbursement</w:t>
            </w:r>
          </w:p>
        </w:tc>
        <w:tc>
          <w:tcPr>
            <w:tcW w:w="380" w:type="dxa"/>
            <w:vAlign w:val="bottom"/>
          </w:tcPr>
          <w:p>
            <w:pPr>
              <w:spacing w:after="0"/>
              <w:rPr>
                <w:sz w:val="23"/>
                <w:szCs w:val="23"/>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19,892</w:t>
            </w:r>
          </w:p>
        </w:tc>
        <w:tc>
          <w:tcPr>
            <w:tcW w:w="280" w:type="dxa"/>
            <w:vAlign w:val="bottom"/>
          </w:tcPr>
          <w:p>
            <w:pPr>
              <w:spacing w:after="0"/>
              <w:rPr>
                <w:sz w:val="23"/>
                <w:szCs w:val="23"/>
                <w:color w:val="auto"/>
              </w:rPr>
            </w:pPr>
          </w:p>
        </w:tc>
        <w:tc>
          <w:tcPr>
            <w:tcW w:w="13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54"/>
        </w:trPr>
        <w:tc>
          <w:tcPr>
            <w:tcW w:w="1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520" w:type="dxa"/>
            <w:vAlign w:val="bottom"/>
            <w:shd w:val="clear" w:color="auto" w:fill="CCEEFF"/>
          </w:tcPr>
          <w:p>
            <w:pPr>
              <w:spacing w:after="0"/>
              <w:rPr>
                <w:sz w:val="21"/>
                <w:szCs w:val="21"/>
                <w:color w:val="auto"/>
              </w:rPr>
            </w:pPr>
          </w:p>
        </w:tc>
        <w:tc>
          <w:tcPr>
            <w:tcW w:w="27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Accelerated Vesting of</w:t>
            </w:r>
          </w:p>
        </w:tc>
        <w:tc>
          <w:tcPr>
            <w:tcW w:w="8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165,000</w:t>
            </w: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191,902</w:t>
            </w:r>
          </w:p>
        </w:tc>
        <w:tc>
          <w:tcPr>
            <w:tcW w:w="0" w:type="dxa"/>
            <w:vAlign w:val="bottom"/>
          </w:tcPr>
          <w:p>
            <w:pPr>
              <w:spacing w:after="0"/>
              <w:rPr>
                <w:sz w:val="1"/>
                <w:szCs w:val="1"/>
                <w:color w:val="auto"/>
              </w:rPr>
            </w:pPr>
          </w:p>
        </w:tc>
      </w:tr>
      <w:tr>
        <w:trPr>
          <w:trHeight w:val="298"/>
        </w:trPr>
        <w:tc>
          <w:tcPr>
            <w:tcW w:w="1520" w:type="dxa"/>
            <w:vAlign w:val="bottom"/>
            <w:shd w:val="clear" w:color="auto" w:fill="CCEEFF"/>
          </w:tcPr>
          <w:p>
            <w:pPr>
              <w:spacing w:after="0"/>
              <w:rPr>
                <w:sz w:val="24"/>
                <w:szCs w:val="24"/>
                <w:color w:val="auto"/>
              </w:rPr>
            </w:pPr>
          </w:p>
        </w:tc>
        <w:tc>
          <w:tcPr>
            <w:tcW w:w="2760" w:type="dxa"/>
            <w:vAlign w:val="bottom"/>
            <w:gridSpan w:val="3"/>
            <w:shd w:val="clear" w:color="auto" w:fill="CCEEFF"/>
          </w:tcPr>
          <w:p>
            <w:pPr>
              <w:ind w:left="300"/>
              <w:spacing w:after="0" w:line="298" w:lineRule="exact"/>
              <w:rPr>
                <w:sz w:val="20"/>
                <w:szCs w:val="20"/>
                <w:color w:val="auto"/>
              </w:rPr>
            </w:pPr>
            <w:r>
              <w:rPr>
                <w:rFonts w:ascii="Times New Roman" w:cs="Times New Roman" w:eastAsia="Times New Roman" w:hAnsi="Times New Roman"/>
                <w:sz w:val="18"/>
                <w:szCs w:val="18"/>
                <w:color w:val="auto"/>
              </w:rPr>
              <w:t>Equity Awards</w:t>
            </w:r>
            <w:r>
              <w:rPr>
                <w:rFonts w:ascii="Times New Roman" w:cs="Times New Roman" w:eastAsia="Times New Roman" w:hAnsi="Times New Roman"/>
                <w:sz w:val="29"/>
                <w:szCs w:val="29"/>
                <w:color w:val="auto"/>
                <w:vertAlign w:val="superscript"/>
              </w:rPr>
              <w:t>(2)</w:t>
            </w: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3"/>
                <w:szCs w:val="23"/>
                <w:color w:val="auto"/>
              </w:rPr>
            </w:pPr>
          </w:p>
        </w:tc>
        <w:tc>
          <w:tcPr>
            <w:tcW w:w="276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315,000</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515,642</w:t>
            </w:r>
          </w:p>
        </w:tc>
        <w:tc>
          <w:tcPr>
            <w:tcW w:w="280" w:type="dxa"/>
            <w:vAlign w:val="bottom"/>
          </w:tcPr>
          <w:p>
            <w:pPr>
              <w:spacing w:after="0"/>
              <w:rPr>
                <w:sz w:val="23"/>
                <w:szCs w:val="23"/>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1,007,194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-6840220</wp:posOffset>
            </wp:positionV>
            <wp:extent cx="1714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-6840220</wp:posOffset>
            </wp:positionV>
            <wp:extent cx="1885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-6840220</wp:posOffset>
            </wp:positionV>
            <wp:extent cx="188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-6840220</wp:posOffset>
            </wp:positionV>
            <wp:extent cx="1885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right="8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change in control, assumes the equity awards are assumed by an acquirer such that only the vesting of the retention restricted stock units granted on October 8, 2021 would accelerate.</w:t>
      </w:r>
    </w:p>
    <w:p>
      <w:pPr>
        <w:ind w:left="640" w:right="39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accelerated vesting for stock options was calculated by subtracting the exercise prices of options from $1.10 per share, which was the closing trading price of our common stock on December 31, 2021. Options with exercise prices in excess of $1.10 per share were excluded. The value of accelerated vesting for restricted stock units was based on the closing trading price of our common stock on December 31,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as of December 31, 2021, with respect to all of our equity compensation plans in effect on that date:</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880" w:type="dxa"/>
            <w:vAlign w:val="bottom"/>
            <w:gridSpan w:val="4"/>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0"/>
        </w:trPr>
        <w:tc>
          <w:tcPr>
            <w:tcW w:w="5640" w:type="dxa"/>
            <w:vAlign w:val="bottom"/>
            <w:gridSpan w:val="2"/>
            <w:vMerge w:val="continue"/>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6"/>
                <w:szCs w:val="16"/>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50"/>
        </w:trPr>
        <w:tc>
          <w:tcPr>
            <w:tcW w:w="5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564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Equity Compensation Plans Approved by Stockholders</w:t>
            </w:r>
            <w:r>
              <w:rPr>
                <w:rFonts w:ascii="Times New Roman" w:cs="Times New Roman" w:eastAsia="Times New Roman" w:hAnsi="Times New Roman"/>
                <w:sz w:val="29"/>
                <w:szCs w:val="29"/>
                <w:color w:val="auto"/>
                <w:vertAlign w:val="superscript"/>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13,366,130</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$6.97</w:t>
            </w:r>
          </w:p>
        </w:tc>
        <w:tc>
          <w:tcPr>
            <w:tcW w:w="12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0"/>
              <w:spacing w:after="0" w:line="331" w:lineRule="exact"/>
              <w:rPr>
                <w:sz w:val="20"/>
                <w:szCs w:val="20"/>
                <w:color w:val="auto"/>
              </w:rPr>
            </w:pPr>
            <w:r>
              <w:rPr>
                <w:rFonts w:ascii="Times New Roman" w:cs="Times New Roman" w:eastAsia="Times New Roman" w:hAnsi="Times New Roman"/>
                <w:sz w:val="18"/>
                <w:szCs w:val="18"/>
                <w:color w:val="auto"/>
                <w:w w:val="99"/>
              </w:rPr>
              <w:t>2,299,561</w:t>
            </w:r>
            <w:r>
              <w:rPr>
                <w:rFonts w:ascii="Times New Roman" w:cs="Times New Roman" w:eastAsia="Times New Roman" w:hAnsi="Times New Roman"/>
                <w:sz w:val="29"/>
                <w:szCs w:val="29"/>
                <w:color w:val="auto"/>
                <w:w w:val="99"/>
                <w:vertAlign w:val="superscript"/>
              </w:rPr>
              <w:t>(3)</w:t>
            </w:r>
          </w:p>
        </w:tc>
        <w:tc>
          <w:tcPr>
            <w:tcW w:w="0" w:type="dxa"/>
            <w:vAlign w:val="bottom"/>
          </w:tcPr>
          <w:p>
            <w:pPr>
              <w:spacing w:after="0"/>
              <w:rPr>
                <w:sz w:val="1"/>
                <w:szCs w:val="1"/>
                <w:color w:val="auto"/>
              </w:rPr>
            </w:pPr>
          </w:p>
        </w:tc>
      </w:tr>
      <w:tr>
        <w:trPr>
          <w:trHeight w:val="256"/>
        </w:trPr>
        <w:tc>
          <w:tcPr>
            <w:tcW w:w="56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Equity Compensation Plans Not Approved by Stockholders</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579,704</w:t>
            </w:r>
          </w:p>
        </w:tc>
        <w:tc>
          <w:tcPr>
            <w:tcW w:w="1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848,063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13,945,834</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3,147,624</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-650875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-650875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-650875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right="479" w:hanging="348"/>
        <w:spacing w:after="0" w:line="233"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Ardelyx, Inc. 2014 Equity Incentive Plan, 2014 Employee Stock Purchase Plan and 2008 Stock Incentive Plan, as amended. The number of shares of common stock that may be issued pursuant to outstanding awards under the 2008 Stock Incentive Plan and the 2014 Equity Incentive Plan include: (A) 3,502,367 shares subject to outstanding restricted stock units and (B) 9,863,763 shares subject to stock options. The weighted average exercise price shown is for stock options; other outstanding awards had no exercise price. No new awards may be made under the 2008 Stock Incentive Plan.</w:t>
      </w:r>
    </w:p>
    <w:p>
      <w:pPr>
        <w:spacing w:after="0" w:line="15" w:lineRule="exact"/>
        <w:rPr>
          <w:rFonts w:ascii="Times New Roman" w:cs="Times New Roman" w:eastAsia="Times New Roman" w:hAnsi="Times New Roman"/>
          <w:sz w:val="14"/>
          <w:szCs w:val="14"/>
          <w:color w:val="auto"/>
        </w:rPr>
      </w:pPr>
    </w:p>
    <w:p>
      <w:pPr>
        <w:ind w:left="640" w:right="299" w:hanging="348"/>
        <w:spacing w:after="0" w:line="22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2014 Equity Incentive Plan and the 2014 Employee Stock Purchase Plan contain “evergreen” provisions, pursuant to which (i) the number of shares of common stock reserved for issuance pursuant to awards under the 2014 Equity Inventive Plan shall be increased on the first day of each year beginning in 2015 and ending in 2024, equal to the lesser of (A) four percent (4.0%) of the shares of stock outstanding (on an as converted basis) on the last day of the immediately preceding fiscal year, and (B) such smaller number of shares of stock as determined by our board of directors;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more than 10,683,053 shares of stock may be issued upon the exercise of incentive stock options, and (ii) the number of shares of common stock which will be authorized for sale under our 2014 Employee Stock Purchase Plan shall be increased on the first day of each year beginning in 2015 and ending in 2024, equal to the lesser of (A) one percent (1.0%) of the shares of stock outstanding (on an as converted basis) on the last day of the immediately preceding fiscal year, and (B) such smaller number of shares of stock as determined by our board of directors. On January 1, 2022, an additional 5,207,301 shares of our common stock were reserved for issuance pursuant to awards under the 2014 Equity Incentive Plan as a result of the “evergreen” provision. No additional shares were reserved for issuance under our 2014 Employee Stock Purchase Plan as a result of the “evergreen” provisions.</w:t>
      </w:r>
    </w:p>
    <w:p>
      <w:pPr>
        <w:spacing w:after="0" w:line="19"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898,982 shares that were available for future issuances as of December 31, 2021 under the 2014 Employee Stock Purchase Plan (of which 127,100 shares were issued with respect to the purchase period in effect as of December 31, 2021, which purchase period ended on February 28, 2022), which allows eligible employees to purchase shares of common stock with accumulated payroll deductions.</w:t>
      </w:r>
    </w:p>
    <w:p>
      <w:pPr>
        <w:spacing w:after="0" w:line="14"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Ardelyx, Inc. 2016 Employment Commencement Incentive Plan. Effective January 6, 2022, our board of directors determined to reserve an additional 2,000,000 shares of our common stock for issuance pursuant to awards under the 2016 Employment Commencement Incentive Plan.</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Features of the 2016 Employment Commencement Incentive Plan</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In November 2016, our board of directors adopted our 2016 Employment Commencement Incentive Plan, or the 2016 Plan, pursuant to Rule 5653(c)(4) of The Nasdaq Global Market. The principal purpose of the 2016 Plan is to promote the success and enhance the value of the company by inducing new employees to commence employment with us, and by aligning the individual interests of new employees with the interests of our stockholders. Awards granted under the 2016 Plan are intended to constitute “employment inducement awards” under Nasdaq Listing Rule 5635(c)(4) and therefore, the 2016 Plan is intended to be exempt from the Nasdaq Listing Rules regarding shareholder approval of stock option and stock purchase plans. A total of 1,000,000 shares of our common stock were initially reserved for issuance under the 2016 Plan. In March 2021, our board of directors increased the number of shares reserved for issuance under the 2016 Plan to 1,457,767 shares. As of December 31, 2021, we had granted awards with respect to 579,704 shares under the 2016 Plan, and 878,063 shares remained available for future grants. In January 2022, our board of directors increased the number of shares reserved for issuance under the 2016 Plan to 3,457,767. The 2016 Plan provides for the grant of non-qualified stock options, restricted stock units, restricted stock awards, stock appreciation rights, and other stock-based and cash-based awards. These awards may be granted to individuals who are then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new employees, or are commencing employment with us or one of our subsidiaries following a bona fide period of non-employment with us, and for whom such awards are granted as a material inducement to commencing employment with us or one of our subsidiaries.</w:t>
      </w:r>
    </w:p>
    <w:p>
      <w:pPr>
        <w:spacing w:after="0" w:line="68"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and the board of directors. In the event of a change in control in which the successor corporation refuses to assume or substitute any outstanding award under the 2016 Plan, the vesting of such award will accelerate in full. The board of directors may terminate, amend, or modify the 2016 Plan at any time, provided that no termination or amendment may impair any rights under any outstanding award under the 2016 Plan without the consent of the holder.</w:t>
      </w:r>
    </w:p>
    <w:p>
      <w:pPr>
        <w:spacing w:after="0" w:line="75"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We have filed registration statements on Form S-8 with the SEC covering the shares of common stock that may be issued under the 2016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of the Board of Directors</w:t>
      </w:r>
    </w:p>
    <w:p>
      <w:pPr>
        <w:spacing w:after="0" w:line="119" w:lineRule="exact"/>
        <w:rPr>
          <w:sz w:val="20"/>
          <w:szCs w:val="20"/>
          <w:color w:val="auto"/>
        </w:rPr>
      </w:pPr>
    </w:p>
    <w:p>
      <w:pPr>
        <w:ind w:left="300" w:right="799"/>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of the Company under the Securities Act of 1933, as amended, or the Securities Exchange Act of 1934, as amended.</w:t>
      </w:r>
    </w:p>
    <w:p>
      <w:pPr>
        <w:spacing w:after="0" w:line="67"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The compensation committee has reviewed and discussed the Compensation Discussion and Analysis with management. Based on the review and discussions, the compensation committee recommended to the board of directors that the Compensation Discussion and Analysis be included in this proxy statement for the Annual Meeting and incorporated by reference in our Annual Report on Form 10-K for the fiscal year ended December 31, 2021.</w:t>
      </w:r>
    </w:p>
    <w:p>
      <w:pPr>
        <w:spacing w:after="0" w:line="1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David Mott, Chair</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Robert Bazemore</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Jan Lundberg, Ph.D.</w:t>
      </w:r>
    </w:p>
    <w:p>
      <w:pPr>
        <w:spacing w:after="0" w:line="11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Richard Rodgers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common stock as of April 25, 2022, by:</w:t>
      </w:r>
    </w:p>
    <w:p>
      <w:pPr>
        <w:spacing w:after="0" w:line="54" w:lineRule="exact"/>
        <w:rPr>
          <w:sz w:val="20"/>
          <w:szCs w:val="20"/>
          <w:color w:val="auto"/>
        </w:rPr>
      </w:pPr>
    </w:p>
    <w:p>
      <w:pPr>
        <w:ind w:left="1000" w:right="99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entity, person, director, nominee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April 25, 2022 through the exercise of stock options, warrants or other rights. Except as otherwise indicated, and subject to applicable community property laws, the persons named in the table have sole voting and investment power with respect to all shares of common stock held by that person.</w:t>
      </w:r>
    </w:p>
    <w:p>
      <w:pPr>
        <w:spacing w:after="0" w:line="8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percentage of shares beneficially owned is computed on the basis of 144,122,828 shares of our common stock outstanding as of April 25, 2022. Shares of our common stock that a person has the right to acquire within 60 days of April 25, 2022 pursuant to the exercise of outstanding stock options, and restricted stock units that are expected to vest on or before April 25, 2022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Ardelyx, Inc., at 400 Fifth Ave., Suite 210, Waltham, Massachusetts 02451.</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Within 60</w:t>
            </w:r>
          </w:p>
        </w:tc>
        <w:tc>
          <w:tcPr>
            <w:tcW w:w="10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0" w:type="dxa"/>
            <w:vAlign w:val="bottom"/>
          </w:tcPr>
          <w:p>
            <w:pPr>
              <w:spacing w:after="0"/>
              <w:rPr>
                <w:sz w:val="1"/>
                <w:szCs w:val="1"/>
                <w:color w:val="auto"/>
              </w:rPr>
            </w:pPr>
          </w:p>
        </w:tc>
      </w:tr>
      <w:tr>
        <w:trPr>
          <w:trHeight w:val="190"/>
        </w:trPr>
        <w:tc>
          <w:tcPr>
            <w:tcW w:w="4520" w:type="dxa"/>
            <w:vAlign w:val="bottom"/>
            <w:gridSpan w:val="2"/>
            <w:vMerge w:val="continue"/>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50"/>
        </w:trPr>
        <w:tc>
          <w:tcPr>
            <w:tcW w:w="42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-222250</wp:posOffset>
            </wp:positionV>
            <wp:extent cx="188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-222250</wp:posOffset>
            </wp:positionV>
            <wp:extent cx="1885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-222250</wp:posOffset>
            </wp:positionV>
            <wp:extent cx="188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-222250</wp:posOffset>
            </wp:positionV>
            <wp:extent cx="1885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Raab</w:t>
            </w:r>
          </w:p>
        </w:tc>
        <w:tc>
          <w:tcPr>
            <w:tcW w:w="1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284,705</w:t>
            </w:r>
            <w:r>
              <w:rPr>
                <w:rFonts w:ascii="Times New Roman" w:cs="Times New Roman" w:eastAsia="Times New Roman" w:hAnsi="Times New Roman"/>
                <w:sz w:val="29"/>
                <w:szCs w:val="29"/>
                <w:color w:val="auto"/>
                <w:vertAlign w:val="superscript"/>
              </w:rPr>
              <w:t>(1)</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2,639,944</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2,924,649</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Robert Blanks</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314,456</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774,425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1,088,881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2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Grammer</w:t>
            </w:r>
          </w:p>
        </w:tc>
        <w:tc>
          <w:tcPr>
            <w:tcW w:w="1560" w:type="dxa"/>
            <w:vAlign w:val="bottom"/>
            <w:shd w:val="clear" w:color="auto" w:fill="CCEEFF"/>
          </w:tcPr>
          <w:p>
            <w:pPr>
              <w:jc w:val="right"/>
              <w:ind w:right="70"/>
              <w:spacing w:after="0" w:line="324" w:lineRule="exact"/>
              <w:rPr>
                <w:sz w:val="20"/>
                <w:szCs w:val="20"/>
                <w:color w:val="auto"/>
              </w:rPr>
            </w:pPr>
            <w:r>
              <w:rPr>
                <w:rFonts w:ascii="Times New Roman" w:cs="Times New Roman" w:eastAsia="Times New Roman" w:hAnsi="Times New Roman"/>
                <w:sz w:val="18"/>
                <w:szCs w:val="18"/>
                <w:color w:val="auto"/>
              </w:rPr>
              <w:t>8,468</w:t>
            </w:r>
            <w:r>
              <w:rPr>
                <w:rFonts w:ascii="Times New Roman" w:cs="Times New Roman" w:eastAsia="Times New Roman" w:hAnsi="Times New Roman"/>
                <w:sz w:val="29"/>
                <w:szCs w:val="29"/>
                <w:color w:val="auto"/>
                <w:vertAlign w:val="superscript"/>
              </w:rPr>
              <w:t>(2)</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917,098</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925,566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Justin Renz</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10,717</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424,562</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435,279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24"/>
        </w:trPr>
        <w:tc>
          <w:tcPr>
            <w:tcW w:w="392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David Rosenbaum, Ph.D</w:t>
            </w:r>
            <w:r>
              <w:rPr>
                <w:rFonts w:ascii="Times New Roman" w:cs="Times New Roman" w:eastAsia="Times New Roman" w:hAnsi="Times New Roman"/>
                <w:sz w:val="29"/>
                <w:szCs w:val="29"/>
                <w:color w:val="auto"/>
                <w:vertAlign w:val="superscript"/>
              </w:rPr>
              <w:t>(3)</w:t>
            </w: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243,547</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1,032,612</w:t>
            </w:r>
          </w:p>
        </w:tc>
        <w:tc>
          <w:tcPr>
            <w:tcW w:w="1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1,276,159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9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 xml:space="preserve">David Mott </w:t>
            </w:r>
            <w:r>
              <w:rPr>
                <w:rFonts w:ascii="Times New Roman" w:cs="Times New Roman" w:eastAsia="Times New Roman" w:hAnsi="Times New Roman"/>
                <w:sz w:val="29"/>
                <w:szCs w:val="29"/>
                <w:color w:val="auto"/>
                <w:vertAlign w:val="superscript"/>
              </w:rPr>
              <w:t>(5)</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417,284</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633,579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Bazemore</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161,295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161,295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William Bertrand, Jr.</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83,549</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259,844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Muna Bhanji</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25,526</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25,536</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Geoffrey A. Block, M.D.</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138,795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138,795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Onaiza Cadoret-Manier</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6,155</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82,182</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88,337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Jan Lundberg, Ph.D</w:t>
            </w: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42,799</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136,295</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179,094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39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Rodgers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87,527</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196,295</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196,295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 persons)</w:t>
            </w: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1,521,061</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7,591,511</w:t>
            </w: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911,572</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 of the total outstanding shares of common stock.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31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259,341 shares directly owned by Mr. Raab, (ii) 24,364 shares owned directly by Michael G. Raab, trustee of the Michael G. Raab Living Trust dated July 25, 2012, and (iii) an aggregate of 1,000 shares owned directly by trusts for the benefit of Mr. Raab’s children.</w:t>
      </w:r>
    </w:p>
    <w:p>
      <w:pPr>
        <w:ind w:left="640" w:hanging="348"/>
        <w:spacing w:after="0"/>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5,497 shares directly owned by Ms. Grammer and (ii) 2,971 shares owned directly by Ms. Grammer’s son.</w:t>
      </w:r>
    </w:p>
    <w:p>
      <w:pPr>
        <w:spacing w:after="0" w:line="41"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140,456 shares directly owned by Dr. Rosenbaum, (ii) 818,112 shares that may be acquired directly by Dr. Rosenbaum pursuant to the exercise of stock options or the vesting of restricted stock units within 60 days of April 25, 2022, (iii) 77,592 shares owned indirectly owned by David Paul Rosenbaum and Susan Edelstein Rosenbaum, Trustees of the David Paul Rosenbaum Family Trust, (iv) 25,499 shares owned directly by Dr. Rosenbaum’s spouse, and (v) 214,500 shares that may be acquired directly by Dr. Rosenbaum’s spouse pursuant to the exercise of stock options or the vesting of restricted stock units within 60 days of April 25, 2022.</w:t>
      </w:r>
    </w:p>
    <w:p>
      <w:pPr>
        <w:spacing w:after="0" w:line="15" w:lineRule="exact"/>
        <w:rPr>
          <w:rFonts w:ascii="Times New Roman" w:cs="Times New Roman" w:eastAsia="Times New Roman" w:hAnsi="Times New Roman"/>
          <w:sz w:val="14"/>
          <w:szCs w:val="14"/>
          <w:color w:val="auto"/>
        </w:rPr>
      </w:pPr>
    </w:p>
    <w:p>
      <w:pPr>
        <w:ind w:left="640" w:right="499" w:hanging="348"/>
        <w:spacing w:after="0" w:line="24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87,566 shares and (ii) 110,000 shares subject to options that Mr. Mott may acquire within 60 days of April 25, 2022, that Mr. Mott holds for the benefit of entities associated with New Enterprise Associates. Mr. Mott disclaims beneficial ownership of all such shares and options extent of his actual pecuniary interest therein.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or the Exchange Act, requires the Company’s directors and executive officers, and persons who own more than 10% of a registered class of the Company’s equity securities, to file with the U.S. Securities and Exchange Commission, or SEC, initial reports of ownership and reports of changes in ownership of common stock and other equity securities of the Company. Officers, directors and greater than 10% stockholders are required by SEC regulations to furnish the Company with copies of all Section 16(a) forms they file.</w:t>
      </w:r>
    </w:p>
    <w:p>
      <w:pPr>
        <w:spacing w:after="0" w:line="7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year ended December 31, 2021, all Section 16(a) filing requirements applicable to our officers, directors and greater than 10% beneficial owners were met, except for the following: (i) late Form 4s filed on October 29, 2021, due to an administrative oversight, for each of Justin Renz, Robert Blanks, Susan Rodriguez, David Rosenbaum and Michael Raab, where the Board granted awards of restricted stock units to executive officers on October 8, 2021; and (ii) late Form 4s filed on December 27, 2021, for each of Forest Baskett and Scott Sandell, affiliates of New Enterprise Associates, regarding the sales of common stock between December 9, 2021 and December 15, 2021.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SEC has adopted rules known as “householding” that permit companies and intermediaries (such as brokers) to deliver one set of proxy materials to multiple stockholders residing at the same address. This process enables us to reduce our printing and distribution costs, and reduce our environmental impact. Householding is available to both registered stockholders and beneficial owners of shares held in street name.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Registered Stockholders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If you are a registered stockholder and have consented to householding, then we will deliver or mail one set of our proxy materials, as applicable, for all registered stockholders residing at the same address. Your consent will continue unless you revoke it, which you may do at any time by providing notice to the Company’s Corporate Secretary by telephone at (510) 745-1700 or by mail at Ardelyx, Inc., 400 Fifth Avenue, Suite 210, Waltham, MA 02451.</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If you are a registered stockholder who has not consented to householding, then we will continue to deliver or mail copies of our proxy materials, as applicable, to each registered stockholder residing at the same address. You may elect to participate in householding and receive only one set of proxy materials for all registered stockholders residing at the same address by providing notice to the Company as described above.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Street Name Holders</w:t>
      </w:r>
    </w:p>
    <w:p>
      <w:pPr>
        <w:spacing w:after="0" w:line="121"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Stockholders who hold their shares through a brokerage may elect to participate in householding, or revoke their consent to participate in householding, by contacting their respective brokers.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Reports</w:t>
      </w:r>
    </w:p>
    <w:p>
      <w:pPr>
        <w:spacing w:after="0" w:line="11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This proxy statement is accompanied by our 2021 Annual Report to Stockholders, which includes our Annual Report on Form 10-K for the fiscal year ended December 31, 2021, or the 10-K. The 10-K includes our audited financial statements. We have filed the 10-K with the SEC, and it is available free of charge at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459"/>
        <w:spacing w:after="0" w:line="262" w:lineRule="auto"/>
        <w:rPr>
          <w:sz w:val="20"/>
          <w:szCs w:val="20"/>
          <w:color w:val="auto"/>
        </w:rPr>
      </w:pPr>
      <w:r>
        <w:rPr>
          <w:rFonts w:ascii="Times New Roman" w:cs="Times New Roman" w:eastAsia="Times New Roman" w:hAnsi="Times New Roman"/>
          <w:sz w:val="18"/>
          <w:szCs w:val="18"/>
          <w:b w:val="1"/>
          <w:bCs w:val="1"/>
          <w:color w:val="auto"/>
        </w:rPr>
        <w:t>the SEC’s website at www.sec.gov and on our website at ir.ardelyx.com. In addition, upon written request to the Company’s Corporate Secretary at Ardelyx, Inc., 400 Fifth Avenue, Suite 210, Waltham, MA 02451, we will mail a paper copy of our 10-K, including the financial statements and the financial statement schedules, to you free of charge.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of directors knows of no other matters that will be presented for consideration at the 2022 Annual Meeting other than the matters described in this proxy statement. If other matters are properly brought before the 2022 Annual Meeting, then proxies will be voted in accordance with the recommendation of the board of directors or, in the absence of such a recommendation, in accordance with the best judgment of the proxy holder.</w:t>
      </w:r>
    </w:p>
    <w:p>
      <w:pPr>
        <w:spacing w:after="0" w:line="1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60325</wp:posOffset>
            </wp:positionV>
            <wp:extent cx="26060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3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Elizabeth Grammer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Legal and Administrative Officer</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Waltham, Massachusetts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29,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TO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Ardelyx,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provisions of the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Corporation Law of the State of Delaware, hereby certifies as follows:</w:t>
      </w:r>
    </w:p>
    <w:p>
      <w:pPr>
        <w:spacing w:after="0" w:line="95" w:lineRule="exact"/>
        <w:rPr>
          <w:sz w:val="20"/>
          <w:szCs w:val="20"/>
          <w:color w:val="auto"/>
        </w:rPr>
      </w:pPr>
    </w:p>
    <w:p>
      <w:pPr>
        <w:ind w:left="300" w:right="39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ONE: </w:t>
      </w:r>
      <w:r>
        <w:rPr>
          <w:rFonts w:ascii="Times New Roman" w:cs="Times New Roman" w:eastAsia="Times New Roman" w:hAnsi="Times New Roman"/>
          <w:sz w:val="17"/>
          <w:szCs w:val="17"/>
          <w:color w:val="auto"/>
        </w:rPr>
        <w:t>The name of this corporation is Ardelyx, Inc., the Corporation was originally incorporated under the name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Nteryx, Inc., and the original Certificate of Incorporation of the Corporation was filed with the Secretary of State of the State of Delaware on October 18, 2007. The Corporation filed an Amended and Restated Certificate of Incorporation with the Secretary of State of the State of Delaware on June 22, 2011. The Corporation filed a Certificate of Amendment to its Amended and Restated Certificate of Incorporation with the Secretary of State of the State of Delaware on July 8, 2013. The Corporation filed an Amended and Restated Certificate of Incorporation with the Secretary of State of the State of Delaware on June 2, 2014. The Corporation filed an Amended and Restated Certificate of Incorporation with the Secretary of State of the State of Delaware on June 18, 2014.</w:t>
      </w:r>
    </w:p>
    <w:p>
      <w:pPr>
        <w:spacing w:after="0" w:line="64" w:lineRule="exact"/>
        <w:rPr>
          <w:sz w:val="20"/>
          <w:szCs w:val="20"/>
          <w:color w:val="auto"/>
        </w:rPr>
      </w:pPr>
    </w:p>
    <w:p>
      <w:pPr>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This Certificate of Amendment to the Amended and Restated Certificate of Incorporation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was duly adopted by this Corporation’s Board of Directors in accordance with the applicable provisions of Section 242 of the General Corporation Law of the State of Delaware, and the Corporation’s stockholders have given their written consent in accordance with Section 228 of the General Corporation Law of the State of Delaware. The proposed amendment set forth as follows:</w:t>
      </w:r>
    </w:p>
    <w:p>
      <w:pPr>
        <w:spacing w:after="0" w:line="71"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of Exhibit A to the Amended and Restated Certificate of Incorporation of the Corporation, as amended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be and hereby is further amended by inserting the following immediately after the second paragraph of </w:t>
      </w:r>
      <w:r>
        <w:rPr>
          <w:rFonts w:ascii="Times New Roman" w:cs="Times New Roman" w:eastAsia="Times New Roman" w:hAnsi="Times New Roman"/>
          <w:sz w:val="18"/>
          <w:szCs w:val="18"/>
          <w:b w:val="1"/>
          <w:bCs w:val="1"/>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DGCL of this Certificate of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Amended and Restated Certificate of Incorporation of the Corporation, as amended, each [__] shares of the Corporation’s common stock, par value $0.0001 per share, issued and outstanding immediately prior to the Effective Time (the “</w:t>
      </w:r>
      <w:r>
        <w:rPr>
          <w:rFonts w:ascii="Times New Roman" w:cs="Times New Roman" w:eastAsia="Times New Roman" w:hAnsi="Times New Roman"/>
          <w:sz w:val="18"/>
          <w:szCs w:val="18"/>
          <w:b w:val="1"/>
          <w:bCs w:val="1"/>
          <w:color w:val="auto"/>
        </w:rPr>
        <w:t>Old Shares</w:t>
      </w:r>
      <w:r>
        <w:rPr>
          <w:rFonts w:ascii="Times New Roman" w:cs="Times New Roman" w:eastAsia="Times New Roman" w:hAnsi="Times New Roman"/>
          <w:sz w:val="18"/>
          <w:szCs w:val="18"/>
          <w:color w:val="auto"/>
        </w:rPr>
        <w:t>”) shall automatically be combined into one validly issued, fully paid and non-assessable share of common stock without any further action by the Corporation or the holder thereof, subject to the treatment of fractional share interests as described below, with a corresponding reduction in the number of authorized shares of the Corporation’s common stock by a corresponding ratio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The Corporation shall not issue fractional shares in connection with the Reverse Stock Split. Holders of Old Shares who would otherwise be entitled to receive a fraction of a share on account of the Reverse Stock Split shall receive, in lieu of such fractional share, an amount in cash equal to the product of (1) the closing sale price per share of the common stock as reported by The Nasdaq Global Market on the last trading day preceding the Effective Date by (2) the number of Old Shares held by such holder that would otherwise have been exchanged for such fractional share interests.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This Certificate of Amendment shall become effective as of [__], 202[2] at [__] [a.m./p.m.].</w:t>
      </w:r>
    </w:p>
    <w:p>
      <w:pPr>
        <w:spacing w:after="0" w:line="117" w:lineRule="exact"/>
        <w:rPr>
          <w:sz w:val="20"/>
          <w:szCs w:val="20"/>
          <w:color w:val="auto"/>
        </w:rPr>
      </w:pPr>
    </w:p>
    <w:p>
      <w:pP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All other provisions of the Amended and Restated Certificate of Incorporation shall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419"/>
        <w:spacing w:after="0" w:line="317"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Ardelyx, Inc. has caused this Certificate of Amendment to the Amended and Restated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 of Incorporation to be signed by its Chief Executive Officer on this [__]th day of [__], 2022.  </w:t>
      </w:r>
    </w:p>
    <w:p>
      <w:pPr>
        <w:spacing w:after="0" w:line="1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474345</wp:posOffset>
            </wp:positionV>
            <wp:extent cx="26060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Michael Raab</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amp;"/>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2022-04-29T17:57:58Z</dcterms:created>
  <dcterms:modified xsi:type="dcterms:W3CDTF">2022-04-29T17:57:58Z</dcterms:modified>
</cp:coreProperties>
</file>