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903605</wp:posOffset>
            </wp:positionH>
            <wp:positionV relativeFrom="page">
              <wp:posOffset>157480</wp:posOffset>
            </wp:positionV>
            <wp:extent cx="57543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116205</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5754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35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August 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5754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ARDELYX,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5754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361"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2720" w:type="dxa"/>
            <w:vAlign w:val="bottom"/>
          </w:tcPr>
          <w:p>
            <w:pPr>
              <w:jc w:val="center"/>
              <w:ind w:right="590"/>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0"/>
              </w:rPr>
              <w:t>001-36485</w:t>
            </w:r>
          </w:p>
        </w:tc>
        <w:tc>
          <w:tcPr>
            <w:tcW w:w="2500" w:type="dxa"/>
            <w:vAlign w:val="bottom"/>
          </w:tcPr>
          <w:p>
            <w:pPr>
              <w:jc w:val="center"/>
              <w:ind w:left="630"/>
              <w:spacing w:after="0"/>
              <w:rPr>
                <w:sz w:val="20"/>
                <w:szCs w:val="20"/>
                <w:color w:val="auto"/>
              </w:rPr>
            </w:pPr>
            <w:r>
              <w:rPr>
                <w:rFonts w:ascii="Arial" w:cs="Arial" w:eastAsia="Arial" w:hAnsi="Arial"/>
                <w:sz w:val="18"/>
                <w:szCs w:val="18"/>
                <w:b w:val="1"/>
                <w:bCs w:val="1"/>
                <w:color w:val="auto"/>
                <w:w w:val="89"/>
              </w:rPr>
              <w:t>26-1303944</w:t>
            </w:r>
          </w:p>
        </w:tc>
      </w:tr>
      <w:tr>
        <w:trPr>
          <w:trHeight w:val="216"/>
        </w:trPr>
        <w:tc>
          <w:tcPr>
            <w:tcW w:w="2720" w:type="dxa"/>
            <w:vAlign w:val="bottom"/>
          </w:tcPr>
          <w:p>
            <w:pPr>
              <w:jc w:val="center"/>
              <w:ind w:right="590"/>
              <w:spacing w:after="0"/>
              <w:rPr>
                <w:sz w:val="20"/>
                <w:szCs w:val="20"/>
                <w:color w:val="auto"/>
              </w:rPr>
            </w:pPr>
            <w:r>
              <w:rPr>
                <w:rFonts w:ascii="Arial" w:cs="Arial" w:eastAsia="Arial" w:hAnsi="Arial"/>
                <w:sz w:val="18"/>
                <w:szCs w:val="18"/>
                <w:b w:val="1"/>
                <w:bCs w:val="1"/>
                <w:color w:val="auto"/>
                <w:w w:val="90"/>
              </w:rPr>
              <w:t>(State or other jurisdiction</w:t>
            </w: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89"/>
              </w:rPr>
              <w:t>(Commission</w:t>
            </w:r>
          </w:p>
        </w:tc>
        <w:tc>
          <w:tcPr>
            <w:tcW w:w="2500" w:type="dxa"/>
            <w:vAlign w:val="bottom"/>
          </w:tcPr>
          <w:p>
            <w:pPr>
              <w:jc w:val="center"/>
              <w:ind w:left="630"/>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2720" w:type="dxa"/>
            <w:vAlign w:val="bottom"/>
          </w:tcPr>
          <w:p>
            <w:pPr>
              <w:jc w:val="center"/>
              <w:ind w:right="590"/>
              <w:spacing w:after="0"/>
              <w:rPr>
                <w:sz w:val="20"/>
                <w:szCs w:val="20"/>
                <w:color w:val="auto"/>
              </w:rPr>
            </w:pPr>
            <w:r>
              <w:rPr>
                <w:rFonts w:ascii="Arial" w:cs="Arial" w:eastAsia="Arial" w:hAnsi="Arial"/>
                <w:sz w:val="18"/>
                <w:szCs w:val="18"/>
                <w:b w:val="1"/>
                <w:bCs w:val="1"/>
                <w:color w:val="auto"/>
                <w:w w:val="91"/>
              </w:rPr>
              <w:t>of incorporation)</w:t>
            </w: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c>
          <w:tcPr>
            <w:tcW w:w="2500" w:type="dxa"/>
            <w:vAlign w:val="bottom"/>
          </w:tcPr>
          <w:p>
            <w:pPr>
              <w:jc w:val="center"/>
              <w:ind w:left="630"/>
              <w:spacing w:after="0"/>
              <w:rPr>
                <w:sz w:val="20"/>
                <w:szCs w:val="20"/>
                <w:color w:val="auto"/>
              </w:rPr>
            </w:pPr>
            <w:r>
              <w:rPr>
                <w:rFonts w:ascii="Arial" w:cs="Arial" w:eastAsia="Arial" w:hAnsi="Arial"/>
                <w:sz w:val="18"/>
                <w:szCs w:val="18"/>
                <w:b w:val="1"/>
                <w:bCs w:val="1"/>
                <w:color w:val="auto"/>
                <w:w w:val="93"/>
              </w:rPr>
              <w:t>Identification Number)</w:t>
            </w:r>
          </w:p>
        </w:tc>
      </w:tr>
    </w:tbl>
    <w:p>
      <w:pPr>
        <w:spacing w:after="0" w:line="1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34175 Ardenwood Blvd., Suite 200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Fremont, CA 94555</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5754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358" w:lineRule="exact"/>
        <w:rPr>
          <w:sz w:val="24"/>
          <w:szCs w:val="24"/>
          <w:color w:val="auto"/>
        </w:rPr>
      </w:pPr>
    </w:p>
    <w:p>
      <w:pPr>
        <w:ind w:right="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360" w:hanging="357"/>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7"/>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7"/>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36" w:lineRule="exact"/>
        <w:rPr>
          <w:rFonts w:ascii="MS PGothic" w:cs="MS PGothic" w:eastAsia="MS PGothic" w:hAnsi="MS PGothic"/>
          <w:sz w:val="17"/>
          <w:szCs w:val="17"/>
          <w:color w:val="auto"/>
        </w:rPr>
      </w:pPr>
    </w:p>
    <w:p>
      <w:pPr>
        <w:ind w:left="360" w:hanging="357"/>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57543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365"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57543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528955</wp:posOffset>
            </wp:positionV>
            <wp:extent cx="57543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395" w:right="14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On August 9, 2018, Ardelyx, Inc. (the “Company”) entered into a Sales Agreement (the “Sales Agreement”) with Leerink Partners LLC (“Leerink”) to sell shares of the Company’s common stock, par value $0.0001 per share (the “Common Stock”), with aggregate gross sales proceeds of up to $50,000,000, from time to time, through an “at the market offering” program under which Leerink will act as sales agent.</w:t>
      </w:r>
    </w:p>
    <w:p>
      <w:pPr>
        <w:spacing w:after="0" w:line="18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Under the Sales Agreement, the Company will set the parameters for the sale of shares, including the number of shares to be issued, the time period during which sales are requested to be made, limitations on the number of shares that may be sold in any one trading day and any minimum price below which sales may not be made. Subject to the terms and conditions of the Sales Agreement, Leerink may sell the shares by methods deemed to be an “at the market offering” as defined in Rule 415(a)(4) promulgated under the Securities Act of 1933, as amended, including sales made through The Nasdaq Global Market or any other trading market for our common stock. Leerink will use its commercially reasonable efforts in conducting such sales activities consistent with its normal trading and sales practices and applicable state and federal laws, rules and regulations and the rules of The Nasdaq Stock Market, Inc. Leerink and the Company each have the right, by giving written notice as specified in the Sales Agreement, to terminate the Sales Agreement in each party’s sole discretion at any time.</w:t>
      </w:r>
    </w:p>
    <w:p>
      <w:pPr>
        <w:spacing w:after="0" w:line="19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Sales Agreement provides that Leerink will be entitled to compensation for its services equal to 3.0% of the gross proceeds of any shares of common stock sold through Leerink under the Sales Agreement. The Company has no obligation to sell any shares under the Sales Agreement, and may at any time suspend solicitation and offers under the Sales Agreement.</w:t>
      </w:r>
    </w:p>
    <w:p>
      <w:pPr>
        <w:spacing w:after="0" w:line="18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shares will be issued pursuant to the Company’s shelf registration statement on Form S-3 (File No. 333-217441). The Company filed a prospectus supplement, dated August 9, 2018 with the Securities and Exchange Commission in connection with the offer and sale of the shares pursuant to the Sales Agreement.</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foregoing description of the material terms of the Sales Agreement is qualified in its entirety by reference to the full agreement, a copy of which is filed as Exhibit 1.2 to this Current Report on Form 8-K and is incorporated herein by reference.</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legal opinion of Latham &amp; Watkins LLP relating to the shares of Common Stock that may be sold pursuant to Sales Agreement is filed as Exhibit 5.1 to this Current Report on Form 8-K.</w:t>
      </w:r>
    </w:p>
    <w:p>
      <w:pPr>
        <w:spacing w:after="0" w:line="170"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This Current Report on Form 8-K shall not constitute an offer to sell or the solicitation of any offer to buy the securities discussed herein, nor shall there be any offer, solicitation or sale of the securities in any state in which such offer, solicitation or sale would be unlawful prior to registration or qualification under the securities laws of any such state.</w:t>
      </w:r>
    </w:p>
    <w:p>
      <w:pPr>
        <w:spacing w:after="0" w:line="14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792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r>
      <w:tr>
        <w:trPr>
          <w:trHeight w:val="169"/>
        </w:trPr>
        <w:tc>
          <w:tcPr>
            <w:tcW w:w="960" w:type="dxa"/>
            <w:vAlign w:val="bottom"/>
            <w:tcBorders>
              <w:top w:val="single" w:sz="8" w:color="auto"/>
            </w:tcBorders>
          </w:tcPr>
          <w:p>
            <w:pPr>
              <w:jc w:val="right"/>
              <w:ind w:right="554"/>
              <w:spacing w:after="0" w:line="170" w:lineRule="exact"/>
              <w:rPr>
                <w:sz w:val="20"/>
                <w:szCs w:val="20"/>
                <w:color w:val="auto"/>
              </w:rPr>
            </w:pPr>
            <w:r>
              <w:rPr>
                <w:rFonts w:ascii="Arial" w:cs="Arial" w:eastAsia="Arial" w:hAnsi="Arial"/>
                <w:sz w:val="18"/>
                <w:szCs w:val="18"/>
                <w:color w:val="auto"/>
              </w:rPr>
              <w:t>1.2</w:t>
            </w:r>
          </w:p>
        </w:tc>
        <w:tc>
          <w:tcPr>
            <w:tcW w:w="180" w:type="dxa"/>
            <w:vAlign w:val="bottom"/>
          </w:tcPr>
          <w:p>
            <w:pPr>
              <w:spacing w:after="0"/>
              <w:rPr>
                <w:sz w:val="14"/>
                <w:szCs w:val="14"/>
                <w:color w:val="auto"/>
              </w:rPr>
            </w:pPr>
          </w:p>
        </w:tc>
        <w:tc>
          <w:tcPr>
            <w:tcW w:w="7920" w:type="dxa"/>
            <w:vAlign w:val="bottom"/>
            <w:tcBorders>
              <w:top w:val="single" w:sz="8" w:color="auto"/>
            </w:tcBorders>
            <w:gridSpan w:val="4"/>
          </w:tcPr>
          <w:p>
            <w:pPr>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Sales Agreement, dated as of August 9, 2018, between Ardelyx, Inc. and Leerink Partners LLC</w:t>
              </w:r>
            </w:hyperlink>
          </w:p>
        </w:tc>
      </w:tr>
      <w:tr>
        <w:trPr>
          <w:trHeight w:val="196"/>
        </w:trPr>
        <w:tc>
          <w:tcPr>
            <w:tcW w:w="960" w:type="dxa"/>
            <w:vAlign w:val="bottom"/>
          </w:tcPr>
          <w:p>
            <w:pPr>
              <w:jc w:val="right"/>
              <w:ind w:right="554"/>
              <w:spacing w:after="0" w:line="196" w:lineRule="exact"/>
              <w:rPr>
                <w:sz w:val="20"/>
                <w:szCs w:val="20"/>
                <w:color w:val="auto"/>
              </w:rPr>
            </w:pPr>
            <w:r>
              <w:rPr>
                <w:rFonts w:ascii="Arial" w:cs="Arial" w:eastAsia="Arial" w:hAnsi="Arial"/>
                <w:sz w:val="18"/>
                <w:szCs w:val="18"/>
                <w:color w:val="auto"/>
              </w:rPr>
              <w:t>5.1</w:t>
            </w:r>
          </w:p>
        </w:tc>
        <w:tc>
          <w:tcPr>
            <w:tcW w:w="180" w:type="dxa"/>
            <w:vAlign w:val="bottom"/>
          </w:tcPr>
          <w:p>
            <w:pPr>
              <w:spacing w:after="0"/>
              <w:rPr>
                <w:sz w:val="17"/>
                <w:szCs w:val="17"/>
                <w:color w:val="auto"/>
              </w:rPr>
            </w:pPr>
          </w:p>
        </w:tc>
        <w:tc>
          <w:tcPr>
            <w:tcW w:w="686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Opinion of Latham &amp; Watkins LLP.</w:t>
              </w:r>
            </w:hyperlink>
          </w:p>
        </w:tc>
        <w:tc>
          <w:tcPr>
            <w:tcW w:w="106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r>
      <w:tr>
        <w:trPr>
          <w:trHeight w:val="196"/>
        </w:trPr>
        <w:tc>
          <w:tcPr>
            <w:tcW w:w="960" w:type="dxa"/>
            <w:vAlign w:val="bottom"/>
          </w:tcPr>
          <w:p>
            <w:pPr>
              <w:jc w:val="right"/>
              <w:ind w:right="554"/>
              <w:spacing w:after="0" w:line="196" w:lineRule="exact"/>
              <w:rPr>
                <w:sz w:val="20"/>
                <w:szCs w:val="20"/>
                <w:color w:val="auto"/>
              </w:rPr>
            </w:pPr>
            <w:r>
              <w:rPr>
                <w:rFonts w:ascii="Arial" w:cs="Arial" w:eastAsia="Arial" w:hAnsi="Arial"/>
                <w:sz w:val="18"/>
                <w:szCs w:val="18"/>
                <w:color w:val="auto"/>
                <w:w w:val="85"/>
              </w:rPr>
              <w:t>23.1</w:t>
            </w:r>
          </w:p>
        </w:tc>
        <w:tc>
          <w:tcPr>
            <w:tcW w:w="180" w:type="dxa"/>
            <w:vAlign w:val="bottom"/>
          </w:tcPr>
          <w:p>
            <w:pPr>
              <w:spacing w:after="0"/>
              <w:rPr>
                <w:sz w:val="17"/>
                <w:szCs w:val="17"/>
                <w:color w:val="auto"/>
              </w:rPr>
            </w:pPr>
          </w:p>
        </w:tc>
        <w:tc>
          <w:tcPr>
            <w:tcW w:w="7920" w:type="dxa"/>
            <w:vAlign w:val="bottom"/>
            <w:gridSpan w:val="4"/>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Consent of Latham &amp; Watkins LLP (included in Exhibit 5.1).</w:t>
              </w:r>
            </w:hyperlink>
          </w:p>
        </w:tc>
      </w:tr>
      <w:tr>
        <w:trPr>
          <w:trHeight w:val="473"/>
        </w:trPr>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80" w:type="dxa"/>
            <w:vAlign w:val="bottom"/>
            <w:tcBorders>
              <w:top w:val="single" w:sz="8" w:color="0000EE"/>
              <w:bottom w:val="single" w:sz="8" w:color="auto"/>
            </w:tcBorders>
          </w:tcPr>
          <w:p>
            <w:pPr>
              <w:spacing w:after="0"/>
              <w:rPr>
                <w:sz w:val="24"/>
                <w:szCs w:val="24"/>
                <w:color w:val="auto"/>
              </w:rPr>
            </w:pPr>
          </w:p>
        </w:tc>
        <w:tc>
          <w:tcPr>
            <w:tcW w:w="1840" w:type="dxa"/>
            <w:vAlign w:val="bottom"/>
            <w:tcBorders>
              <w:top w:val="single" w:sz="8" w:color="0000EE"/>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4" w:lineRule="exact"/>
        <w:rPr>
          <w:sz w:val="20"/>
          <w:szCs w:val="20"/>
          <w:color w:val="auto"/>
        </w:rPr>
      </w:pPr>
    </w:p>
    <w:p>
      <w:pPr>
        <w:spacing w:after="0"/>
        <w:tabs>
          <w:tab w:leader="none" w:pos="4460" w:val="left"/>
        </w:tabs>
        <w:rPr>
          <w:sz w:val="20"/>
          <w:szCs w:val="20"/>
          <w:color w:val="auto"/>
        </w:rPr>
      </w:pPr>
      <w:r>
        <w:rPr>
          <w:rFonts w:ascii="Arial" w:cs="Arial" w:eastAsia="Arial" w:hAnsi="Arial"/>
          <w:sz w:val="18"/>
          <w:szCs w:val="18"/>
          <w:color w:val="auto"/>
        </w:rPr>
        <w:t>Date: August 9, 2018</w:t>
      </w:r>
      <w:r>
        <w:rPr>
          <w:sz w:val="20"/>
          <w:szCs w:val="20"/>
          <w:color w:val="auto"/>
        </w:rPr>
        <w:tab/>
      </w:r>
      <w:r>
        <w:rPr>
          <w:rFonts w:ascii="Arial" w:cs="Arial" w:eastAsia="Arial" w:hAnsi="Arial"/>
          <w:sz w:val="17"/>
          <w:szCs w:val="17"/>
          <w:color w:val="auto"/>
        </w:rPr>
        <w:t>ARDELYX, INC.</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By:/s/ Mark Kaufmann</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Mark Kaufmann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3011805</wp:posOffset>
            </wp:positionH>
            <wp:positionV relativeFrom="paragraph">
              <wp:posOffset>-130810</wp:posOffset>
            </wp:positionV>
            <wp:extent cx="274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1" w:right="14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ARDELYX,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Shares of Common Stock</w:t>
      </w:r>
    </w:p>
    <w:p>
      <w:pPr>
        <w:jc w:val="center"/>
        <w:spacing w:after="0"/>
        <w:rPr>
          <w:sz w:val="20"/>
          <w:szCs w:val="20"/>
          <w:color w:val="auto"/>
        </w:rPr>
      </w:pPr>
      <w:r>
        <w:rPr>
          <w:rFonts w:ascii="Arial" w:cs="Arial" w:eastAsia="Arial" w:hAnsi="Arial"/>
          <w:sz w:val="22"/>
          <w:szCs w:val="22"/>
          <w:color w:val="auto"/>
        </w:rPr>
        <w:t>(par value $0.0001 per share)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Sales Agreement</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August 9, 2018</w:t>
      </w:r>
    </w:p>
    <w:p>
      <w:pPr>
        <w:spacing w:after="0" w:line="206" w:lineRule="exact"/>
        <w:rPr>
          <w:sz w:val="20"/>
          <w:szCs w:val="20"/>
          <w:color w:val="auto"/>
        </w:rPr>
      </w:pPr>
    </w:p>
    <w:p>
      <w:pPr>
        <w:ind w:left="1"/>
        <w:spacing w:after="0"/>
        <w:rPr>
          <w:sz w:val="20"/>
          <w:szCs w:val="20"/>
          <w:color w:val="auto"/>
        </w:rPr>
      </w:pPr>
      <w:r>
        <w:rPr>
          <w:rFonts w:ascii="Arial" w:cs="Arial" w:eastAsia="Arial" w:hAnsi="Arial"/>
          <w:sz w:val="22"/>
          <w:szCs w:val="22"/>
          <w:color w:val="auto"/>
        </w:rPr>
        <w:t>Leerink Partners LLC</w:t>
      </w:r>
    </w:p>
    <w:p>
      <w:pPr>
        <w:ind w:left="1"/>
        <w:spacing w:after="0" w:line="238" w:lineRule="auto"/>
        <w:rPr>
          <w:sz w:val="20"/>
          <w:szCs w:val="20"/>
          <w:color w:val="auto"/>
        </w:rPr>
      </w:pPr>
      <w:r>
        <w:rPr>
          <w:rFonts w:ascii="Arial" w:cs="Arial" w:eastAsia="Arial" w:hAnsi="Arial"/>
          <w:sz w:val="22"/>
          <w:szCs w:val="22"/>
          <w:color w:val="auto"/>
        </w:rPr>
        <w:t>One Federal Street, 37</w:t>
      </w:r>
      <w:r>
        <w:rPr>
          <w:rFonts w:ascii="Arial" w:cs="Arial" w:eastAsia="Arial" w:hAnsi="Arial"/>
          <w:sz w:val="10"/>
          <w:szCs w:val="10"/>
          <w:color w:val="auto"/>
        </w:rPr>
        <w:t>th</w:t>
      </w:r>
      <w:r>
        <w:rPr>
          <w:rFonts w:ascii="Arial" w:cs="Arial" w:eastAsia="Arial" w:hAnsi="Arial"/>
          <w:sz w:val="22"/>
          <w:szCs w:val="22"/>
          <w:color w:val="auto"/>
        </w:rPr>
        <w:t xml:space="preserve"> Floor</w:t>
      </w:r>
    </w:p>
    <w:p>
      <w:pPr>
        <w:ind w:left="1"/>
        <w:spacing w:after="0"/>
        <w:rPr>
          <w:sz w:val="20"/>
          <w:szCs w:val="20"/>
          <w:color w:val="auto"/>
        </w:rPr>
      </w:pPr>
      <w:r>
        <w:rPr>
          <w:rFonts w:ascii="Arial" w:cs="Arial" w:eastAsia="Arial" w:hAnsi="Arial"/>
          <w:sz w:val="22"/>
          <w:szCs w:val="22"/>
          <w:color w:val="auto"/>
        </w:rPr>
        <w:t>Boston, Massachusetts 02110</w:t>
      </w:r>
    </w:p>
    <w:p>
      <w:pPr>
        <w:spacing w:after="0" w:line="188" w:lineRule="exact"/>
        <w:rPr>
          <w:sz w:val="20"/>
          <w:szCs w:val="20"/>
          <w:color w:val="auto"/>
        </w:rPr>
      </w:pPr>
    </w:p>
    <w:p>
      <w:pPr>
        <w:ind w:left="1"/>
        <w:spacing w:after="0"/>
        <w:rPr>
          <w:sz w:val="20"/>
          <w:szCs w:val="20"/>
          <w:color w:val="auto"/>
        </w:rPr>
      </w:pPr>
      <w:r>
        <w:rPr>
          <w:rFonts w:ascii="Arial" w:cs="Arial" w:eastAsia="Arial" w:hAnsi="Arial"/>
          <w:sz w:val="22"/>
          <w:szCs w:val="22"/>
          <w:color w:val="auto"/>
        </w:rPr>
        <w:t>Ladies and Gentlemen:</w:t>
      </w:r>
    </w:p>
    <w:p>
      <w:pPr>
        <w:spacing w:after="0" w:line="200" w:lineRule="exact"/>
        <w:rPr>
          <w:sz w:val="20"/>
          <w:szCs w:val="20"/>
          <w:color w:val="auto"/>
        </w:rPr>
      </w:pPr>
    </w:p>
    <w:p>
      <w:pPr>
        <w:ind w:left="641"/>
        <w:spacing w:after="0"/>
        <w:rPr>
          <w:sz w:val="20"/>
          <w:szCs w:val="20"/>
          <w:color w:val="auto"/>
        </w:rPr>
      </w:pPr>
      <w:r>
        <w:rPr>
          <w:rFonts w:ascii="Arial" w:cs="Arial" w:eastAsia="Arial" w:hAnsi="Arial"/>
          <w:sz w:val="19"/>
          <w:szCs w:val="19"/>
          <w:color w:val="auto"/>
        </w:rPr>
        <w:t>Ardelyx, Inc., a Delaware corporation (the “</w:t>
      </w:r>
      <w:r>
        <w:rPr>
          <w:rFonts w:ascii="Arial" w:cs="Arial" w:eastAsia="Arial" w:hAnsi="Arial"/>
          <w:sz w:val="19"/>
          <w:szCs w:val="19"/>
          <w:b w:val="1"/>
          <w:bCs w:val="1"/>
          <w:u w:val="single" w:color="auto"/>
          <w:color w:val="auto"/>
        </w:rPr>
        <w:t>Company</w:t>
      </w:r>
      <w:r>
        <w:rPr>
          <w:rFonts w:ascii="Arial" w:cs="Arial" w:eastAsia="Arial" w:hAnsi="Arial"/>
          <w:sz w:val="19"/>
          <w:szCs w:val="19"/>
          <w:color w:val="auto"/>
        </w:rPr>
        <w:t>”), confirms its agreement (this “</w:t>
      </w:r>
      <w:r>
        <w:rPr>
          <w:rFonts w:ascii="Arial" w:cs="Arial" w:eastAsia="Arial" w:hAnsi="Arial"/>
          <w:sz w:val="19"/>
          <w:szCs w:val="19"/>
          <w:b w:val="1"/>
          <w:bCs w:val="1"/>
          <w:u w:val="single" w:color="auto"/>
          <w:color w:val="auto"/>
        </w:rPr>
        <w:t>Agreement</w:t>
      </w:r>
      <w:r>
        <w:rPr>
          <w:rFonts w:ascii="Arial" w:cs="Arial" w:eastAsia="Arial" w:hAnsi="Arial"/>
          <w:sz w:val="19"/>
          <w:szCs w:val="19"/>
          <w:color w:val="auto"/>
        </w:rPr>
        <w:t>”) with</w:t>
      </w:r>
    </w:p>
    <w:p>
      <w:pPr>
        <w:spacing w:after="0" w:line="49" w:lineRule="exact"/>
        <w:rPr>
          <w:sz w:val="20"/>
          <w:szCs w:val="20"/>
          <w:color w:val="auto"/>
        </w:rPr>
      </w:pPr>
    </w:p>
    <w:p>
      <w:pPr>
        <w:ind w:left="1"/>
        <w:spacing w:after="0"/>
        <w:rPr>
          <w:sz w:val="20"/>
          <w:szCs w:val="20"/>
          <w:color w:val="auto"/>
        </w:rPr>
      </w:pPr>
      <w:r>
        <w:rPr>
          <w:rFonts w:ascii="Arial" w:cs="Arial" w:eastAsia="Arial" w:hAnsi="Arial"/>
          <w:sz w:val="22"/>
          <w:szCs w:val="22"/>
          <w:color w:val="auto"/>
        </w:rPr>
        <w:t>Leerink Partners LLC (the “</w:t>
      </w:r>
      <w:r>
        <w:rPr>
          <w:rFonts w:ascii="Arial" w:cs="Arial" w:eastAsia="Arial" w:hAnsi="Arial"/>
          <w:sz w:val="22"/>
          <w:szCs w:val="22"/>
          <w:b w:val="1"/>
          <w:bCs w:val="1"/>
          <w:u w:val="single" w:color="auto"/>
          <w:color w:val="auto"/>
        </w:rPr>
        <w:t>Agent</w:t>
      </w:r>
      <w:r>
        <w:rPr>
          <w:rFonts w:ascii="Arial" w:cs="Arial" w:eastAsia="Arial" w:hAnsi="Arial"/>
          <w:sz w:val="22"/>
          <w:szCs w:val="22"/>
          <w:color w:val="auto"/>
        </w:rPr>
        <w:t>”), as follows:</w:t>
      </w:r>
    </w:p>
    <w:p>
      <w:pPr>
        <w:spacing w:after="0" w:line="188" w:lineRule="exact"/>
        <w:rPr>
          <w:sz w:val="20"/>
          <w:szCs w:val="20"/>
          <w:color w:val="auto"/>
        </w:rPr>
      </w:pPr>
    </w:p>
    <w:p>
      <w:pPr>
        <w:jc w:val="both"/>
        <w:ind w:left="1" w:firstLine="648"/>
        <w:spacing w:after="0" w:line="269" w:lineRule="auto"/>
        <w:tabs>
          <w:tab w:leader="none" w:pos="1446" w:val="left"/>
        </w:tabs>
        <w:numPr>
          <w:ilvl w:val="1"/>
          <w:numId w:val="2"/>
        </w:numPr>
        <w:rPr>
          <w:rFonts w:ascii="Arial" w:cs="Arial" w:eastAsia="Arial" w:hAnsi="Arial"/>
          <w:sz w:val="19"/>
          <w:szCs w:val="19"/>
          <w:color w:val="auto"/>
        </w:rPr>
      </w:pPr>
      <w:r>
        <w:rPr>
          <w:rFonts w:ascii="Arial" w:cs="Arial" w:eastAsia="Arial" w:hAnsi="Arial"/>
          <w:sz w:val="19"/>
          <w:szCs w:val="19"/>
          <w:u w:val="single" w:color="auto"/>
          <w:color w:val="auto"/>
        </w:rPr>
        <w:t>Issuance and Sale of Shares</w:t>
      </w:r>
      <w:r>
        <w:rPr>
          <w:rFonts w:ascii="Arial" w:cs="Arial" w:eastAsia="Arial" w:hAnsi="Arial"/>
          <w:sz w:val="19"/>
          <w:szCs w:val="19"/>
          <w:color w:val="auto"/>
        </w:rPr>
        <w:t>. The Company agrees that, from time to time during the term of this Agreement, on the terms and subject to the conditions set forth herein, it may issue and sell through the Agent, up to $50,000,000 of shares of common stock (the “</w:t>
      </w:r>
      <w:r>
        <w:rPr>
          <w:rFonts w:ascii="Arial" w:cs="Arial" w:eastAsia="Arial" w:hAnsi="Arial"/>
          <w:sz w:val="19"/>
          <w:szCs w:val="19"/>
          <w:b w:val="1"/>
          <w:bCs w:val="1"/>
          <w:u w:val="single" w:color="auto"/>
          <w:color w:val="auto"/>
        </w:rPr>
        <w:t>Placement Shares</w:t>
      </w:r>
      <w:r>
        <w:rPr>
          <w:rFonts w:ascii="Arial" w:cs="Arial" w:eastAsia="Arial" w:hAnsi="Arial"/>
          <w:sz w:val="19"/>
          <w:szCs w:val="19"/>
          <w:color w:val="auto"/>
        </w:rPr>
        <w:t>”) of the Company, par value $0.0001 per share (the “</w:t>
      </w:r>
      <w:r>
        <w:rPr>
          <w:rFonts w:ascii="Arial" w:cs="Arial" w:eastAsia="Arial" w:hAnsi="Arial"/>
          <w:sz w:val="19"/>
          <w:szCs w:val="19"/>
          <w:b w:val="1"/>
          <w:bCs w:val="1"/>
          <w:u w:val="single" w:color="auto"/>
          <w:color w:val="auto"/>
        </w:rPr>
        <w:t>Common Stock</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no event shall the Company issue or sell through the Agent such number or dollar amount of Placement Shares that would (a) exceed the number or dollar amount of shares of Common Stock registered on the effective Registration Statement (as defined below) pursuant to which the offering is being made, (b) exceed the number of authorized but unissued shares of Common Stock (less shares of Common Stock issuable upon exercise, conversion or exchange of any outstanding securities of the Company or otherwise reserved from the Company’s authorized capital stock), (c) exceed the number or dollar amount of shares of Common Stock permitted to be sold under Form S-3 (including General Instruction I.B.6 thereof, if applicable) or</w:t>
      </w:r>
    </w:p>
    <w:p>
      <w:pPr>
        <w:jc w:val="both"/>
        <w:ind w:left="1" w:hanging="1"/>
        <w:spacing w:after="0" w:line="272" w:lineRule="auto"/>
        <w:tabs>
          <w:tab w:leader="none" w:pos="314" w:val="left"/>
        </w:tabs>
        <w:numPr>
          <w:ilvl w:val="0"/>
          <w:numId w:val="3"/>
        </w:numPr>
        <w:rPr>
          <w:rFonts w:ascii="Arial" w:cs="Arial" w:eastAsia="Arial" w:hAnsi="Arial"/>
          <w:sz w:val="19"/>
          <w:szCs w:val="19"/>
          <w:color w:val="auto"/>
        </w:rPr>
      </w:pPr>
      <w:r>
        <w:rPr>
          <w:rFonts w:ascii="Arial" w:cs="Arial" w:eastAsia="Arial" w:hAnsi="Arial"/>
          <w:sz w:val="19"/>
          <w:szCs w:val="19"/>
          <w:color w:val="auto"/>
        </w:rPr>
        <w:t>exceed the number or dollar amount of shares of Common Stock for which the Company has filed a Prospectus Supplement (as defined below) (the lesser of (a), (b), (c) and (d), the “</w:t>
      </w:r>
      <w:r>
        <w:rPr>
          <w:rFonts w:ascii="Arial" w:cs="Arial" w:eastAsia="Arial" w:hAnsi="Arial"/>
          <w:sz w:val="19"/>
          <w:szCs w:val="19"/>
          <w:b w:val="1"/>
          <w:bCs w:val="1"/>
          <w:u w:val="single" w:color="auto"/>
          <w:color w:val="auto"/>
        </w:rPr>
        <w:t>Maximum Amount</w:t>
      </w:r>
      <w:r>
        <w:rPr>
          <w:rFonts w:ascii="Arial" w:cs="Arial" w:eastAsia="Arial" w:hAnsi="Arial"/>
          <w:sz w:val="19"/>
          <w:szCs w:val="19"/>
          <w:color w:val="auto"/>
        </w:rPr>
        <w:t xml:space="preserve">”). Notwithstanding anything to the contrary contained herein, the parties hereto agree that compliance with the limitations set forth in this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on the amount of Placement Shares issued and sold under this Agreement shall be the sole responsibility of the Company and that the Agent shall have no obligation in connection with such compliance. The offer and sale of Placement Shares through the Agent will be effected pursuant to the Registration Statement (as defined below) filed by the Company and declared effective by the Securities and Exchange Commission (the “</w:t>
      </w:r>
      <w:r>
        <w:rPr>
          <w:rFonts w:ascii="Arial" w:cs="Arial" w:eastAsia="Arial" w:hAnsi="Arial"/>
          <w:sz w:val="19"/>
          <w:szCs w:val="19"/>
          <w:b w:val="1"/>
          <w:bCs w:val="1"/>
          <w:u w:val="single" w:color="auto"/>
          <w:color w:val="auto"/>
        </w:rPr>
        <w:t>Commission</w:t>
      </w:r>
      <w:r>
        <w:rPr>
          <w:rFonts w:ascii="Arial" w:cs="Arial" w:eastAsia="Arial" w:hAnsi="Arial"/>
          <w:sz w:val="19"/>
          <w:szCs w:val="19"/>
          <w:color w:val="auto"/>
        </w:rPr>
        <w:t>”) on May 4, 2017, although nothing in this Agreement shall be construed as requiring the Company to use the Registration Statement to issue Common Stock.</w:t>
      </w:r>
    </w:p>
    <w:p>
      <w:pPr>
        <w:spacing w:after="0" w:line="157" w:lineRule="exact"/>
        <w:rPr>
          <w:sz w:val="20"/>
          <w:szCs w:val="20"/>
          <w:color w:val="auto"/>
        </w:rPr>
      </w:pPr>
    </w:p>
    <w:p>
      <w:pPr>
        <w:jc w:val="both"/>
        <w:ind w:left="1" w:firstLine="648"/>
        <w:spacing w:after="0" w:line="279" w:lineRule="auto"/>
        <w:rPr>
          <w:sz w:val="20"/>
          <w:szCs w:val="20"/>
          <w:color w:val="auto"/>
        </w:rPr>
      </w:pPr>
      <w:r>
        <w:rPr>
          <w:rFonts w:ascii="Arial" w:cs="Arial" w:eastAsia="Arial" w:hAnsi="Arial"/>
          <w:sz w:val="19"/>
          <w:szCs w:val="19"/>
          <w:color w:val="auto"/>
        </w:rPr>
        <w:t>The Company has filed, in accordance with the provisions of the Securities Act of 1933, as amended (the “</w:t>
      </w:r>
      <w:r>
        <w:rPr>
          <w:rFonts w:ascii="Arial" w:cs="Arial" w:eastAsia="Arial" w:hAnsi="Arial"/>
          <w:sz w:val="19"/>
          <w:szCs w:val="19"/>
          <w:b w:val="1"/>
          <w:bCs w:val="1"/>
          <w:u w:val="single" w:color="auto"/>
          <w:color w:val="auto"/>
        </w:rPr>
        <w:t>Securities Act</w:t>
      </w:r>
      <w:r>
        <w:rPr>
          <w:rFonts w:ascii="Arial" w:cs="Arial" w:eastAsia="Arial" w:hAnsi="Arial"/>
          <w:sz w:val="19"/>
          <w:szCs w:val="19"/>
          <w:color w:val="auto"/>
        </w:rPr>
        <w:t>”), and the rules and regulations thereunder (the “</w:t>
      </w:r>
      <w:r>
        <w:rPr>
          <w:rFonts w:ascii="Arial" w:cs="Arial" w:eastAsia="Arial" w:hAnsi="Arial"/>
          <w:sz w:val="19"/>
          <w:szCs w:val="19"/>
          <w:b w:val="1"/>
          <w:bCs w:val="1"/>
          <w:u w:val="single" w:color="auto"/>
          <w:color w:val="auto"/>
        </w:rPr>
        <w:t>Securities Act Regulations</w:t>
      </w:r>
      <w:r>
        <w:rPr>
          <w:rFonts w:ascii="Arial" w:cs="Arial" w:eastAsia="Arial" w:hAnsi="Arial"/>
          <w:sz w:val="19"/>
          <w:szCs w:val="19"/>
          <w:color w:val="auto"/>
        </w:rPr>
        <w:t>”), with the Commission a registration statement on Form S-3 (File No. 333-217441), including a base prospectus, relating to certain securities, including the Placement Shares to be issued from time to time by the Company, and which incorporates by reference documents that the Company has filed or will file in accordance with the provisions of the Securities Exchange Act of 1934, as amended (the “</w:t>
      </w:r>
      <w:r>
        <w:rPr>
          <w:rFonts w:ascii="Arial" w:cs="Arial" w:eastAsia="Arial" w:hAnsi="Arial"/>
          <w:sz w:val="19"/>
          <w:szCs w:val="19"/>
          <w:b w:val="1"/>
          <w:bCs w:val="1"/>
          <w:u w:val="single" w:color="auto"/>
          <w:color w:val="auto"/>
        </w:rPr>
        <w:t>Exchange Act</w:t>
      </w:r>
      <w:r>
        <w:rPr>
          <w:rFonts w:ascii="Arial" w:cs="Arial" w:eastAsia="Arial" w:hAnsi="Arial"/>
          <w:sz w:val="19"/>
          <w:szCs w:val="19"/>
          <w:color w:val="auto"/>
        </w:rPr>
        <w:t>”), and the rules and regulations thereunder.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640715</wp:posOffset>
            </wp:positionV>
            <wp:extent cx="638873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3" w:right="919" w:bottom="1440" w:gutter="0" w:footer="0" w:header="0"/>
        </w:sectPr>
      </w:pPr>
    </w:p>
    <w:bookmarkStart w:id="4" w:name="page5"/>
    <w:bookmarkEnd w:id="4"/>
    <w:p>
      <w:pPr>
        <w:jc w:val="both"/>
        <w:spacing w:after="0" w:line="270" w:lineRule="auto"/>
        <w:rPr>
          <w:sz w:val="20"/>
          <w:szCs w:val="20"/>
          <w:color w:val="auto"/>
        </w:rPr>
      </w:pPr>
      <w:r>
        <w:rPr>
          <w:rFonts w:ascii="Arial" w:cs="Arial" w:eastAsia="Arial" w:hAnsi="Arial"/>
          <w:sz w:val="19"/>
          <w:szCs w:val="19"/>
          <w:color w:val="auto"/>
        </w:rPr>
        <w:t>Company has prepared a prospectus or a prospectus supplement to the base prospectus included as part of the registration statement, which prospectus or prospectus supplement relates to the Placement Shares to be issued from time to time by the Company (the “</w:t>
      </w:r>
      <w:r>
        <w:rPr>
          <w:rFonts w:ascii="Arial" w:cs="Arial" w:eastAsia="Arial" w:hAnsi="Arial"/>
          <w:sz w:val="19"/>
          <w:szCs w:val="19"/>
          <w:b w:val="1"/>
          <w:bCs w:val="1"/>
          <w:u w:val="single" w:color="auto"/>
          <w:color w:val="auto"/>
        </w:rPr>
        <w:t>Prospectus Supplement</w:t>
      </w:r>
      <w:r>
        <w:rPr>
          <w:rFonts w:ascii="Arial" w:cs="Arial" w:eastAsia="Arial" w:hAnsi="Arial"/>
          <w:sz w:val="19"/>
          <w:szCs w:val="19"/>
          <w:color w:val="auto"/>
        </w:rPr>
        <w:t>”). The Company will furnish to the Agent, for use by the Agent, copies of the prospectus included as part of such registration statement, as supplemented by the Prospectus Supplement, relating to the Placement Shares to be issued from time to time by the Company. The Company may file one or more additional registration statements from time to time that will contain a base prospectus and related prospectus or prospectus supplement, if applicable (which shall be a Prospectus Supplement), with respect to the Placement Shares. Except where the context otherwise requires, such registration statement(s), including all documents filed as part thereof or incorporated by reference therein, and including any information contained in a Prospectus (as defined below) subsequently filed with the Commission pursuant to Rule 424(b) under the Securities Act Regulations or deemed to be a part of such registration statement pursuant to Rule 430B of the Securities Act Regulations, is herein called the “</w:t>
      </w:r>
      <w:r>
        <w:rPr>
          <w:rFonts w:ascii="Arial" w:cs="Arial" w:eastAsia="Arial" w:hAnsi="Arial"/>
          <w:sz w:val="19"/>
          <w:szCs w:val="19"/>
          <w:b w:val="1"/>
          <w:bCs w:val="1"/>
          <w:u w:val="single" w:color="auto"/>
          <w:color w:val="auto"/>
        </w:rPr>
        <w:t>Registration Statement</w:t>
      </w:r>
      <w:r>
        <w:rPr>
          <w:rFonts w:ascii="Arial" w:cs="Arial" w:eastAsia="Arial" w:hAnsi="Arial"/>
          <w:sz w:val="19"/>
          <w:szCs w:val="19"/>
          <w:color w:val="auto"/>
        </w:rPr>
        <w:t>.” The base prospectus or base prospectuses, including all documents incorporated therein by reference, included in the Registration Statement, as it may be supplemented, if necessary, by the Prospectus Supplement, in the form in which such prospectus or prospectuses and/or Prospectus Supplement have most recently been filed by the Company with the Commission pursuant to Rule 424(b) under the Securities Act Regulations, together with the then issued Issuer Free Writing Prospectus(es), is herein called the “</w:t>
      </w:r>
      <w:r>
        <w:rPr>
          <w:rFonts w:ascii="Arial" w:cs="Arial" w:eastAsia="Arial" w:hAnsi="Arial"/>
          <w:sz w:val="19"/>
          <w:szCs w:val="19"/>
          <w:b w:val="1"/>
          <w:bCs w:val="1"/>
          <w:u w:val="single" w:color="auto"/>
          <w:color w:val="auto"/>
        </w:rPr>
        <w:t>Prospectus</w:t>
      </w:r>
      <w:r>
        <w:rPr>
          <w:rFonts w:ascii="Arial" w:cs="Arial" w:eastAsia="Arial" w:hAnsi="Arial"/>
          <w:sz w:val="19"/>
          <w:szCs w:val="19"/>
          <w:color w:val="auto"/>
        </w:rPr>
        <w:t>.”</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Any reference herein to the Registration Statement, any Prospectus Supplement, Prospectus or any Issuer Free Writing Prospectus (as defined below), and any amendments and supplements thereto, shall be deemed to refer to and include the documents, if any, incorporated by reference therein (the “</w:t>
      </w:r>
      <w:r>
        <w:rPr>
          <w:rFonts w:ascii="Arial" w:cs="Arial" w:eastAsia="Arial" w:hAnsi="Arial"/>
          <w:sz w:val="19"/>
          <w:szCs w:val="19"/>
          <w:b w:val="1"/>
          <w:bCs w:val="1"/>
          <w:u w:val="single" w:color="auto"/>
          <w:color w:val="auto"/>
        </w:rPr>
        <w:t>Incorporated Documents</w:t>
      </w:r>
      <w:r>
        <w:rPr>
          <w:rFonts w:ascii="Arial" w:cs="Arial" w:eastAsia="Arial" w:hAnsi="Arial"/>
          <w:sz w:val="19"/>
          <w:szCs w:val="19"/>
          <w:color w:val="auto"/>
        </w:rPr>
        <w:t>”), including, unless the context otherwise requires, the documents, if any, filed as exhibits to such Incorporated Documents. Any reference herein to the terms “amend,” “amendment” or “supplement” with respect to the Registration Statement, any Prospectus Supplement, the Prospectus or any Issuer Free Writing Prospectus shall be deemed to refer to and include the filing of any document under the Exchange Act on or after the most-recent effective date of the Registration Statement, or the date of the Prospectus Supplement, Prospectus or such Issuer Free Writing Prospectus, as the case may be, and incorporated therein by reference. For purposes of this Agreement, all references to the Registration Statement, the Prospectus or to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Arial" w:cs="Arial" w:eastAsia="Arial" w:hAnsi="Arial"/>
          <w:sz w:val="19"/>
          <w:szCs w:val="19"/>
          <w:b w:val="1"/>
          <w:bCs w:val="1"/>
          <w:u w:val="single" w:color="auto"/>
          <w:color w:val="auto"/>
        </w:rPr>
        <w:t>EDGAR</w:t>
      </w:r>
      <w:r>
        <w:rPr>
          <w:rFonts w:ascii="Arial" w:cs="Arial" w:eastAsia="Arial" w:hAnsi="Arial"/>
          <w:sz w:val="19"/>
          <w:szCs w:val="19"/>
          <w:color w:val="auto"/>
        </w:rPr>
        <w:t>”).</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74" w:lineRule="auto"/>
        <w:tabs>
          <w:tab w:leader="none" w:pos="1324"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Placements</w:t>
      </w:r>
      <w:r>
        <w:rPr>
          <w:rFonts w:ascii="Arial" w:cs="Arial" w:eastAsia="Arial" w:hAnsi="Arial"/>
          <w:sz w:val="19"/>
          <w:szCs w:val="19"/>
          <w:color w:val="auto"/>
        </w:rPr>
        <w:t>. Each time that the Company wishes to issue and sell Placement Shares hereunder (each, a “</w:t>
      </w:r>
      <w:r>
        <w:rPr>
          <w:rFonts w:ascii="Arial" w:cs="Arial" w:eastAsia="Arial" w:hAnsi="Arial"/>
          <w:sz w:val="19"/>
          <w:szCs w:val="19"/>
          <w:b w:val="1"/>
          <w:bCs w:val="1"/>
          <w:u w:val="single" w:color="auto"/>
          <w:color w:val="auto"/>
        </w:rPr>
        <w:t>Placement</w:t>
      </w:r>
      <w:r>
        <w:rPr>
          <w:rFonts w:ascii="Arial" w:cs="Arial" w:eastAsia="Arial" w:hAnsi="Arial"/>
          <w:sz w:val="19"/>
          <w:szCs w:val="19"/>
          <w:color w:val="auto"/>
        </w:rPr>
        <w:t>”), it will notify the Agent by email notice (or other method mutually agreed to in writing by the parties) of the number of Placement Shares to be issued, the time period during which sales are requested to be made, any limitation on the number of Placement Shares that may be sold in any one Trading Day (as defined in Section 3) and any minimum price below which sales may not be made (a “</w:t>
      </w:r>
      <w:r>
        <w:rPr>
          <w:rFonts w:ascii="Arial" w:cs="Arial" w:eastAsia="Arial" w:hAnsi="Arial"/>
          <w:sz w:val="19"/>
          <w:szCs w:val="19"/>
          <w:b w:val="1"/>
          <w:bCs w:val="1"/>
          <w:u w:val="single" w:color="auto"/>
          <w:color w:val="auto"/>
        </w:rPr>
        <w:t>Placement Notice</w:t>
      </w:r>
      <w:r>
        <w:rPr>
          <w:rFonts w:ascii="Arial" w:cs="Arial" w:eastAsia="Arial" w:hAnsi="Arial"/>
          <w:sz w:val="19"/>
          <w:szCs w:val="19"/>
          <w:color w:val="auto"/>
        </w:rPr>
        <w:t xml:space="preserve">”), the form of which is attached hereto as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The Placement Notice shall originate from any of the individuals from the Company set forth on </w:t>
      </w:r>
      <w:r>
        <w:rPr>
          <w:rFonts w:ascii="Arial" w:cs="Arial" w:eastAsia="Arial" w:hAnsi="Arial"/>
          <w:sz w:val="19"/>
          <w:szCs w:val="19"/>
          <w:u w:val="single" w:color="auto"/>
          <w:color w:val="auto"/>
        </w:rPr>
        <w:t>Schedule 3</w:t>
      </w:r>
      <w:r>
        <w:rPr>
          <w:rFonts w:ascii="Arial" w:cs="Arial" w:eastAsia="Arial" w:hAnsi="Arial"/>
          <w:sz w:val="19"/>
          <w:szCs w:val="19"/>
          <w:color w:val="auto"/>
        </w:rPr>
        <w:t xml:space="preserve"> (with a copy to each of the other individuals from the Company listed on such schedule), and shall be addressed to each of the individuals from the Agent set forth on </w:t>
      </w:r>
      <w:r>
        <w:rPr>
          <w:rFonts w:ascii="Arial" w:cs="Arial" w:eastAsia="Arial" w:hAnsi="Arial"/>
          <w:sz w:val="19"/>
          <w:szCs w:val="19"/>
          <w:u w:val="single" w:color="auto"/>
          <w:color w:val="auto"/>
        </w:rPr>
        <w:t>Schedule 3</w:t>
      </w:r>
      <w:r>
        <w:rPr>
          <w:rFonts w:ascii="Arial" w:cs="Arial" w:eastAsia="Arial" w:hAnsi="Arial"/>
          <w:sz w:val="19"/>
          <w:szCs w:val="19"/>
          <w:color w:val="auto"/>
        </w:rPr>
        <w:t xml:space="preserve">, as such </w:t>
      </w:r>
      <w:r>
        <w:rPr>
          <w:rFonts w:ascii="Arial" w:cs="Arial" w:eastAsia="Arial" w:hAnsi="Arial"/>
          <w:sz w:val="19"/>
          <w:szCs w:val="19"/>
          <w:u w:val="single" w:color="auto"/>
          <w:color w:val="auto"/>
        </w:rPr>
        <w:t>Schedule 3</w:t>
      </w:r>
      <w:r>
        <w:rPr>
          <w:rFonts w:ascii="Arial" w:cs="Arial" w:eastAsia="Arial" w:hAnsi="Arial"/>
          <w:sz w:val="19"/>
          <w:szCs w:val="19"/>
          <w:color w:val="auto"/>
        </w:rPr>
        <w:t xml:space="preserve"> may be amended from time to time. The Placement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5" w:name="page6"/>
    <w:bookmarkEnd w:id="5"/>
    <w:p>
      <w:pPr>
        <w:jc w:val="both"/>
        <w:spacing w:after="0" w:line="273" w:lineRule="auto"/>
        <w:rPr>
          <w:sz w:val="20"/>
          <w:szCs w:val="20"/>
          <w:color w:val="auto"/>
        </w:rPr>
      </w:pPr>
      <w:r>
        <w:rPr>
          <w:rFonts w:ascii="Arial" w:cs="Arial" w:eastAsia="Arial" w:hAnsi="Arial"/>
          <w:sz w:val="19"/>
          <w:szCs w:val="19"/>
          <w:color w:val="auto"/>
        </w:rPr>
        <w:t xml:space="preserve">Notice shall be effective unless and until (i) the Agent declines to accept the terms contained therein for any reason, in its sole discretion, within two (2) Business Days (as defined below) of receipt of such Placement Notice, (ii) the entire amount of the Placement Shares thereunder have been sold, (iii) the Company suspends or terminates the Placement Notice or (iv) this Agreement has been terminated under the provisions of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The amount of any discount, commission or other compensation to be paid by the Company to the Agent in connection with the sale of the Placement Shares shall be calculated in accordance with the terms set forth in </w:t>
      </w:r>
      <w:r>
        <w:rPr>
          <w:rFonts w:ascii="Arial" w:cs="Arial" w:eastAsia="Arial" w:hAnsi="Arial"/>
          <w:sz w:val="19"/>
          <w:szCs w:val="19"/>
          <w:u w:val="single" w:color="auto"/>
          <w:color w:val="auto"/>
        </w:rPr>
        <w:t>Schedule 2</w:t>
      </w:r>
      <w:r>
        <w:rPr>
          <w:rFonts w:ascii="Arial" w:cs="Arial" w:eastAsia="Arial" w:hAnsi="Arial"/>
          <w:sz w:val="19"/>
          <w:szCs w:val="19"/>
          <w:color w:val="auto"/>
        </w:rPr>
        <w:t>. It is expressly acknowledged and agreed that neither the Company nor the Agent will have any obligation whatsoever with respect to a Placement or any Placement Shares unless and until the Company delivers a Placement Notice to the Agent and the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156" w:lineRule="exact"/>
        <w:rPr>
          <w:sz w:val="20"/>
          <w:szCs w:val="20"/>
          <w:color w:val="auto"/>
        </w:rPr>
      </w:pPr>
    </w:p>
    <w:p>
      <w:pPr>
        <w:jc w:val="both"/>
        <w:ind w:firstLine="648"/>
        <w:spacing w:after="0" w:line="271" w:lineRule="auto"/>
        <w:tabs>
          <w:tab w:leader="none" w:pos="1472" w:val="left"/>
        </w:tabs>
        <w:numPr>
          <w:ilvl w:val="0"/>
          <w:numId w:val="5"/>
        </w:numPr>
        <w:rPr>
          <w:rFonts w:ascii="Arial" w:cs="Arial" w:eastAsia="Arial" w:hAnsi="Arial"/>
          <w:sz w:val="19"/>
          <w:szCs w:val="19"/>
          <w:color w:val="auto"/>
        </w:rPr>
      </w:pPr>
      <w:r>
        <w:rPr>
          <w:rFonts w:ascii="Arial" w:cs="Arial" w:eastAsia="Arial" w:hAnsi="Arial"/>
          <w:sz w:val="19"/>
          <w:szCs w:val="19"/>
          <w:u w:val="single" w:color="auto"/>
          <w:color w:val="auto"/>
        </w:rPr>
        <w:t>Sale of Placement Shares by Agent</w:t>
      </w:r>
      <w:r>
        <w:rPr>
          <w:rFonts w:ascii="Arial" w:cs="Arial" w:eastAsia="Arial" w:hAnsi="Arial"/>
          <w:sz w:val="19"/>
          <w:szCs w:val="19"/>
          <w:color w:val="auto"/>
        </w:rPr>
        <w:t xml:space="preserve">. Subject to the provisions of </w:t>
      </w:r>
      <w:r>
        <w:rPr>
          <w:rFonts w:ascii="Arial" w:cs="Arial" w:eastAsia="Arial" w:hAnsi="Arial"/>
          <w:sz w:val="19"/>
          <w:szCs w:val="19"/>
          <w:u w:val="single" w:color="auto"/>
          <w:color w:val="auto"/>
        </w:rPr>
        <w:t>Section 5(a)</w:t>
      </w:r>
      <w:r>
        <w:rPr>
          <w:rFonts w:ascii="Arial" w:cs="Arial" w:eastAsia="Arial" w:hAnsi="Arial"/>
          <w:sz w:val="19"/>
          <w:szCs w:val="19"/>
          <w:color w:val="auto"/>
        </w:rPr>
        <w:t>, the Agent, for the period specified in the Placement Notice, will use its commercially reasonable efforts consistent with its normal trading and sales practices and applicable state and federal laws, rules and regulations and the rules of the NASDAQ Global Market (the “</w:t>
      </w:r>
      <w:r>
        <w:rPr>
          <w:rFonts w:ascii="Arial" w:cs="Arial" w:eastAsia="Arial" w:hAnsi="Arial"/>
          <w:sz w:val="19"/>
          <w:szCs w:val="19"/>
          <w:b w:val="1"/>
          <w:bCs w:val="1"/>
          <w:u w:val="single" w:color="auto"/>
          <w:color w:val="auto"/>
        </w:rPr>
        <w:t>Exchange</w:t>
      </w:r>
      <w:r>
        <w:rPr>
          <w:rFonts w:ascii="Arial" w:cs="Arial" w:eastAsia="Arial" w:hAnsi="Arial"/>
          <w:sz w:val="19"/>
          <w:szCs w:val="19"/>
          <w:color w:val="auto"/>
        </w:rPr>
        <w:t xml:space="preserve">”), to sell the Placement Shares up to the amount specified, and otherwise in accordance with the terms of such Placement Notice. The Agent will provide written confirmation to the Company no later than the opening of the Trading Day (as defined below) immediately following the Trading Day on which it has made sales of Placement Shares hereunder setting forth the number of Placement Shares sold on such day, the compensation payable by the Company to the Agent pursuant to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with respect to such sales, and the Net Proceeds (as defined below) payable to the Company, with an itemization of the deductions made by the Agent (as set forth in </w:t>
      </w:r>
      <w:r>
        <w:rPr>
          <w:rFonts w:ascii="Arial" w:cs="Arial" w:eastAsia="Arial" w:hAnsi="Arial"/>
          <w:sz w:val="19"/>
          <w:szCs w:val="19"/>
          <w:u w:val="single" w:color="auto"/>
          <w:color w:val="auto"/>
        </w:rPr>
        <w:t>Section 5(b)</w:t>
      </w:r>
      <w:r>
        <w:rPr>
          <w:rFonts w:ascii="Arial" w:cs="Arial" w:eastAsia="Arial" w:hAnsi="Arial"/>
          <w:sz w:val="19"/>
          <w:szCs w:val="19"/>
          <w:color w:val="auto"/>
        </w:rPr>
        <w:t>) from the gross proceeds that it receives from such sales. Subject to the terms of the Placement Notice, the Agent may sell Placement Shares by any method permitted by law deemed to be an “at the market offering” as defined in Rule 415(a)(4) of the Securities Act Regulations including, without limitation, sales made directly on the Exchange or on any other existing trading market for the Common Stock. If expressly authorized by the Company in a Placement Notice, the Agent may also sell Placement Shares in negotiated transactions. “</w:t>
      </w:r>
      <w:r>
        <w:rPr>
          <w:rFonts w:ascii="Arial" w:cs="Arial" w:eastAsia="Arial" w:hAnsi="Arial"/>
          <w:sz w:val="19"/>
          <w:szCs w:val="19"/>
          <w:b w:val="1"/>
          <w:bCs w:val="1"/>
          <w:u w:val="single" w:color="auto"/>
          <w:color w:val="auto"/>
        </w:rPr>
        <w:t>Trading Day</w:t>
      </w:r>
      <w:r>
        <w:rPr>
          <w:rFonts w:ascii="Arial" w:cs="Arial" w:eastAsia="Arial" w:hAnsi="Arial"/>
          <w:sz w:val="19"/>
          <w:szCs w:val="19"/>
          <w:color w:val="auto"/>
        </w:rPr>
        <w:t>” means any day on which Common Stock is traded on the Exchange.</w:t>
      </w:r>
    </w:p>
    <w:p>
      <w:pPr>
        <w:spacing w:after="0" w:line="161" w:lineRule="exact"/>
        <w:rPr>
          <w:rFonts w:ascii="Arial" w:cs="Arial" w:eastAsia="Arial" w:hAnsi="Arial"/>
          <w:sz w:val="19"/>
          <w:szCs w:val="19"/>
          <w:color w:val="auto"/>
        </w:rPr>
      </w:pPr>
    </w:p>
    <w:p>
      <w:pPr>
        <w:ind w:left="1300" w:hanging="652"/>
        <w:spacing w:after="0"/>
        <w:tabs>
          <w:tab w:leader="none" w:pos="1300"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Suspension of Sales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296"/>
        <w:spacing w:after="0" w:line="245" w:lineRule="auto"/>
        <w:tabs>
          <w:tab w:leader="none" w:pos="1969" w:val="left"/>
        </w:tabs>
        <w:numPr>
          <w:ilvl w:val="1"/>
          <w:numId w:val="5"/>
        </w:numPr>
        <w:rPr>
          <w:rFonts w:ascii="Arial" w:cs="Arial" w:eastAsia="Arial" w:hAnsi="Arial"/>
          <w:sz w:val="21"/>
          <w:szCs w:val="21"/>
          <w:color w:val="auto"/>
        </w:rPr>
      </w:pPr>
      <w:r>
        <w:rPr>
          <w:rFonts w:ascii="Arial" w:cs="Arial" w:eastAsia="Arial" w:hAnsi="Arial"/>
          <w:sz w:val="21"/>
          <w:szCs w:val="21"/>
          <w:color w:val="auto"/>
        </w:rPr>
        <w:t xml:space="preserve">The Company or the Agent may, upon notice to the other party in writing (including by email correspondence to each of the individuals of the other party set forth on </w:t>
      </w:r>
      <w:r>
        <w:rPr>
          <w:rFonts w:ascii="Arial" w:cs="Arial" w:eastAsia="Arial" w:hAnsi="Arial"/>
          <w:sz w:val="21"/>
          <w:szCs w:val="21"/>
          <w:u w:val="single" w:color="auto"/>
          <w:color w:val="auto"/>
        </w:rPr>
        <w:t>Schedule 3</w:t>
      </w:r>
      <w:r>
        <w:rPr>
          <w:rFonts w:ascii="Arial" w:cs="Arial" w:eastAsia="Arial" w:hAnsi="Arial"/>
          <w:sz w:val="21"/>
          <w:szCs w:val="21"/>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Arial" w:cs="Arial" w:eastAsia="Arial" w:hAnsi="Arial"/>
          <w:sz w:val="21"/>
          <w:szCs w:val="21"/>
          <w:u w:val="single" w:color="auto"/>
          <w:color w:val="auto"/>
        </w:rPr>
        <w:t>Schedule 3</w:t>
      </w:r>
      <w:r>
        <w:rPr>
          <w:rFonts w:ascii="Arial" w:cs="Arial" w:eastAsia="Arial" w:hAnsi="Arial"/>
          <w:sz w:val="21"/>
          <w:szCs w:val="21"/>
          <w:color w:val="auto"/>
        </w:rPr>
        <w:t>), suspend any sale of Placement Shares (a “</w:t>
      </w:r>
      <w:r>
        <w:rPr>
          <w:rFonts w:ascii="Arial" w:cs="Arial" w:eastAsia="Arial" w:hAnsi="Arial"/>
          <w:sz w:val="21"/>
          <w:szCs w:val="21"/>
          <w:b w:val="1"/>
          <w:bCs w:val="1"/>
          <w:u w:val="single" w:color="auto"/>
          <w:color w:val="auto"/>
        </w:rPr>
        <w:t>Suspension</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such Suspension shall not affect or impair any party’s obligations with respect to any Placement Shares sold hereunder prior to the receipt of such notice. While a Suspension is in effect any obligation under </w:t>
      </w:r>
      <w:r>
        <w:rPr>
          <w:rFonts w:ascii="Arial" w:cs="Arial" w:eastAsia="Arial" w:hAnsi="Arial"/>
          <w:sz w:val="21"/>
          <w:szCs w:val="21"/>
          <w:u w:val="single" w:color="auto"/>
          <w:color w:val="auto"/>
        </w:rPr>
        <w:t>Sections 7(l)</w:t>
      </w:r>
      <w:r>
        <w:rPr>
          <w:rFonts w:ascii="Arial" w:cs="Arial" w:eastAsia="Arial" w:hAnsi="Arial"/>
          <w:sz w:val="21"/>
          <w:szCs w:val="21"/>
          <w:color w:val="auto"/>
        </w:rPr>
        <w:t xml:space="preserve">, </w:t>
      </w:r>
      <w:r>
        <w:rPr>
          <w:rFonts w:ascii="Arial" w:cs="Arial" w:eastAsia="Arial" w:hAnsi="Arial"/>
          <w:sz w:val="21"/>
          <w:szCs w:val="21"/>
          <w:u w:val="single" w:color="auto"/>
          <w:color w:val="auto"/>
        </w:rPr>
        <w:t>7(m), 7(n)</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7(o)</w:t>
      </w:r>
      <w:r>
        <w:rPr>
          <w:rFonts w:ascii="Arial" w:cs="Arial" w:eastAsia="Arial" w:hAnsi="Arial"/>
          <w:sz w:val="21"/>
          <w:szCs w:val="21"/>
          <w:color w:val="auto"/>
        </w:rPr>
        <w:t xml:space="preserve"> with respect to the delivery of certificates, opinions, or comfort letters to the Agent, shall be waived. Each of the parties agrees that no such notice under this </w:t>
      </w:r>
      <w:r>
        <w:rPr>
          <w:rFonts w:ascii="Arial" w:cs="Arial" w:eastAsia="Arial" w:hAnsi="Arial"/>
          <w:sz w:val="21"/>
          <w:szCs w:val="21"/>
          <w:u w:val="single" w:color="auto"/>
          <w:color w:val="auto"/>
        </w:rPr>
        <w:t>Section 4</w:t>
      </w:r>
      <w:r>
        <w:rPr>
          <w:rFonts w:ascii="Arial" w:cs="Arial" w:eastAsia="Arial" w:hAnsi="Arial"/>
          <w:sz w:val="21"/>
          <w:szCs w:val="21"/>
          <w:color w:val="auto"/>
        </w:rPr>
        <w:t xml:space="preserve"> shall be effective against any other party unless it is made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6" w:name="page7"/>
    <w:bookmarkEnd w:id="6"/>
    <w:p>
      <w:pPr>
        <w:spacing w:after="0"/>
        <w:rPr>
          <w:sz w:val="20"/>
          <w:szCs w:val="20"/>
          <w:color w:val="auto"/>
        </w:rPr>
      </w:pPr>
      <w:r>
        <w:rPr>
          <w:rFonts w:ascii="Arial" w:cs="Arial" w:eastAsia="Arial" w:hAnsi="Arial"/>
          <w:sz w:val="19"/>
          <w:szCs w:val="19"/>
          <w:color w:val="auto"/>
        </w:rPr>
        <w:t xml:space="preserve">to one of the individuals named on </w:t>
      </w:r>
      <w:r>
        <w:rPr>
          <w:rFonts w:ascii="Arial" w:cs="Arial" w:eastAsia="Arial" w:hAnsi="Arial"/>
          <w:sz w:val="19"/>
          <w:szCs w:val="19"/>
          <w:u w:val="single" w:color="auto"/>
          <w:color w:val="auto"/>
        </w:rPr>
        <w:t>Schedule 3</w:t>
      </w:r>
      <w:r>
        <w:rPr>
          <w:rFonts w:ascii="Arial" w:cs="Arial" w:eastAsia="Arial" w:hAnsi="Arial"/>
          <w:sz w:val="19"/>
          <w:szCs w:val="19"/>
          <w:color w:val="auto"/>
        </w:rPr>
        <w:t xml:space="preserve"> hereto, as such Schedule may be amended from time to time.</w:t>
      </w:r>
    </w:p>
    <w:p>
      <w:pPr>
        <w:spacing w:after="0" w:line="241" w:lineRule="exact"/>
        <w:rPr>
          <w:sz w:val="20"/>
          <w:szCs w:val="20"/>
          <w:color w:val="auto"/>
        </w:rPr>
      </w:pPr>
    </w:p>
    <w:p>
      <w:pPr>
        <w:jc w:val="both"/>
        <w:ind w:firstLine="1296"/>
        <w:spacing w:after="0" w:line="252" w:lineRule="auto"/>
        <w:tabs>
          <w:tab w:leader="none" w:pos="2191" w:val="left"/>
        </w:tabs>
        <w:numPr>
          <w:ilvl w:val="1"/>
          <w:numId w:val="6"/>
        </w:numPr>
        <w:rPr>
          <w:rFonts w:ascii="Arial" w:cs="Arial" w:eastAsia="Arial" w:hAnsi="Arial"/>
          <w:sz w:val="21"/>
          <w:szCs w:val="21"/>
          <w:color w:val="auto"/>
        </w:rPr>
      </w:pPr>
      <w:r>
        <w:rPr>
          <w:rFonts w:ascii="Arial" w:cs="Arial" w:eastAsia="Arial" w:hAnsi="Arial"/>
          <w:sz w:val="21"/>
          <w:szCs w:val="21"/>
          <w:color w:val="auto"/>
        </w:rPr>
        <w:t>Notwithstanding any other provision of this Agreement, during any period in which the Company is in possession of material non-public information, the Company and the Agent agree that (i) no sale of Placement Shares will take place, (ii) the Company shall not request the sale of any Placement Shares, and (iii) the Agent shall not be obligated to sell or offer to sell any Placement Shares.</w:t>
      </w:r>
    </w:p>
    <w:p>
      <w:pPr>
        <w:spacing w:after="0" w:line="174" w:lineRule="exact"/>
        <w:rPr>
          <w:rFonts w:ascii="Arial" w:cs="Arial" w:eastAsia="Arial" w:hAnsi="Arial"/>
          <w:sz w:val="21"/>
          <w:szCs w:val="21"/>
          <w:color w:val="auto"/>
        </w:rPr>
      </w:pPr>
    </w:p>
    <w:p>
      <w:pPr>
        <w:jc w:val="both"/>
        <w:ind w:firstLine="1296"/>
        <w:spacing w:after="0" w:line="238" w:lineRule="auto"/>
        <w:tabs>
          <w:tab w:leader="none" w:pos="2072" w:val="left"/>
        </w:tabs>
        <w:numPr>
          <w:ilvl w:val="1"/>
          <w:numId w:val="6"/>
        </w:numPr>
        <w:rPr>
          <w:rFonts w:ascii="Arial" w:cs="Arial" w:eastAsia="Arial" w:hAnsi="Arial"/>
          <w:sz w:val="22"/>
          <w:szCs w:val="22"/>
          <w:color w:val="auto"/>
        </w:rPr>
      </w:pPr>
      <w:r>
        <w:rPr>
          <w:rFonts w:ascii="Arial" w:cs="Arial" w:eastAsia="Arial" w:hAnsi="Arial"/>
          <w:sz w:val="22"/>
          <w:szCs w:val="22"/>
          <w:color w:val="auto"/>
        </w:rPr>
        <w:t>If either the Agent or the Company has reason to believe that the exemptive provisions set forth in Rule 101(c)(1) of Regulation M under the Exchange Act are not satisfied with respect to the Common Stock, it shall promptly notify the other party, and the Agent may, at its sole discretion, suspend sales of the Placement Shares under this Agreement.</w:t>
      </w:r>
    </w:p>
    <w:p>
      <w:pPr>
        <w:spacing w:after="0" w:line="185" w:lineRule="exact"/>
        <w:rPr>
          <w:rFonts w:ascii="Arial" w:cs="Arial" w:eastAsia="Arial" w:hAnsi="Arial"/>
          <w:sz w:val="22"/>
          <w:szCs w:val="22"/>
          <w:color w:val="auto"/>
        </w:rPr>
      </w:pPr>
    </w:p>
    <w:p>
      <w:pPr>
        <w:ind w:left="1300" w:hanging="652"/>
        <w:spacing w:after="0"/>
        <w:tabs>
          <w:tab w:leader="none" w:pos="1300"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Sale and Delivery to the Agent; Settlement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296"/>
        <w:spacing w:after="0" w:line="272" w:lineRule="auto"/>
        <w:tabs>
          <w:tab w:leader="none" w:pos="2293" w:val="left"/>
        </w:tabs>
        <w:numPr>
          <w:ilvl w:val="1"/>
          <w:numId w:val="7"/>
        </w:numPr>
        <w:rPr>
          <w:rFonts w:ascii="Arial" w:cs="Arial" w:eastAsia="Arial" w:hAnsi="Arial"/>
          <w:sz w:val="19"/>
          <w:szCs w:val="19"/>
          <w:color w:val="auto"/>
        </w:rPr>
      </w:pPr>
      <w:r>
        <w:rPr>
          <w:rFonts w:ascii="Arial" w:cs="Arial" w:eastAsia="Arial" w:hAnsi="Arial"/>
          <w:sz w:val="19"/>
          <w:szCs w:val="19"/>
          <w:u w:val="single" w:color="auto"/>
          <w:color w:val="auto"/>
        </w:rPr>
        <w:t>Sale of Placement Shares</w:t>
      </w:r>
      <w:r>
        <w:rPr>
          <w:rFonts w:ascii="Arial" w:cs="Arial" w:eastAsia="Arial" w:hAnsi="Arial"/>
          <w:sz w:val="19"/>
          <w:szCs w:val="19"/>
          <w:i w:val="1"/>
          <w:iCs w:val="1"/>
          <w:color w:val="auto"/>
        </w:rPr>
        <w:t>.</w:t>
      </w:r>
      <w:r>
        <w:rPr>
          <w:rFonts w:ascii="Arial" w:cs="Arial" w:eastAsia="Arial" w:hAnsi="Arial"/>
          <w:sz w:val="19"/>
          <w:szCs w:val="19"/>
          <w:color w:val="auto"/>
        </w:rPr>
        <w:t xml:space="preserve"> On the basis of the representations and warranties herein contained and subject to the terms and conditions herein set forth, upon the Agent’s acceptance of the terms of a Placement Notice, and unless the sale of the Placement Shares described therein has been declined, suspended, or otherwise terminated in accordance with the terms of this Agreement, the Agent, for the period specified in the Placement Notice, will use its commercially reasonable efforts consistent with its normal trading and sales practices and applicable law, rules and regulations to sell such Placement Shares up to the amount specified in, and otherwise in accordance with the terms of such Placement Notice. The Company acknowledges and agrees that (i) there can be no assurance that the Agent will be successful in selling Placement Shares,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and applicable law, rules and regulations to sell such Placement Shares as required under this Agreement and (iii) the Agent shall be under no obligation to purchase Placement Shares on a principal basis pursuant to this Agreement, except as otherwise agreed by the Agent and the Company.</w:t>
      </w:r>
    </w:p>
    <w:p>
      <w:pPr>
        <w:spacing w:after="0" w:line="157" w:lineRule="exact"/>
        <w:rPr>
          <w:rFonts w:ascii="Arial" w:cs="Arial" w:eastAsia="Arial" w:hAnsi="Arial"/>
          <w:sz w:val="19"/>
          <w:szCs w:val="19"/>
          <w:color w:val="auto"/>
        </w:rPr>
      </w:pPr>
    </w:p>
    <w:p>
      <w:pPr>
        <w:jc w:val="both"/>
        <w:ind w:firstLine="1296"/>
        <w:spacing w:after="0" w:line="275" w:lineRule="auto"/>
        <w:tabs>
          <w:tab w:leader="none" w:pos="2156" w:val="left"/>
        </w:tabs>
        <w:numPr>
          <w:ilvl w:val="1"/>
          <w:numId w:val="7"/>
        </w:numPr>
        <w:rPr>
          <w:rFonts w:ascii="Arial" w:cs="Arial" w:eastAsia="Arial" w:hAnsi="Arial"/>
          <w:sz w:val="19"/>
          <w:szCs w:val="19"/>
          <w:color w:val="auto"/>
        </w:rPr>
      </w:pPr>
      <w:r>
        <w:rPr>
          <w:rFonts w:ascii="Arial" w:cs="Arial" w:eastAsia="Arial" w:hAnsi="Arial"/>
          <w:sz w:val="19"/>
          <w:szCs w:val="19"/>
          <w:u w:val="single" w:color="auto"/>
          <w:color w:val="auto"/>
        </w:rPr>
        <w:t>Settlement of Placement Shares</w:t>
      </w:r>
      <w:r>
        <w:rPr>
          <w:rFonts w:ascii="Arial" w:cs="Arial" w:eastAsia="Arial" w:hAnsi="Arial"/>
          <w:sz w:val="19"/>
          <w:szCs w:val="19"/>
          <w:i w:val="1"/>
          <w:iCs w:val="1"/>
          <w:color w:val="auto"/>
        </w:rPr>
        <w:t>.</w:t>
      </w:r>
      <w:r>
        <w:rPr>
          <w:rFonts w:ascii="Arial" w:cs="Arial" w:eastAsia="Arial" w:hAnsi="Arial"/>
          <w:sz w:val="19"/>
          <w:szCs w:val="19"/>
          <w:color w:val="auto"/>
        </w:rPr>
        <w:t xml:space="preserve"> Unless otherwise specified in the applicable Placement Notice, settlement for sales of Placement Shares will occur on the second (2</w:t>
      </w:r>
      <w:r>
        <w:rPr>
          <w:rFonts w:ascii="Arial" w:cs="Arial" w:eastAsia="Arial" w:hAnsi="Arial"/>
          <w:sz w:val="9"/>
          <w:szCs w:val="9"/>
          <w:color w:val="auto"/>
        </w:rPr>
        <w:t>nd</w:t>
      </w:r>
      <w:r>
        <w:rPr>
          <w:rFonts w:ascii="Arial" w:cs="Arial" w:eastAsia="Arial" w:hAnsi="Arial"/>
          <w:sz w:val="19"/>
          <w:szCs w:val="19"/>
          <w:color w:val="auto"/>
        </w:rPr>
        <w:t>) Trading Day (or such earlier day as is industry practice for regular-way trading) following the date on which such sales are made (each, a “</w:t>
      </w:r>
      <w:r>
        <w:rPr>
          <w:rFonts w:ascii="Arial" w:cs="Arial" w:eastAsia="Arial" w:hAnsi="Arial"/>
          <w:sz w:val="19"/>
          <w:szCs w:val="19"/>
          <w:b w:val="1"/>
          <w:bCs w:val="1"/>
          <w:u w:val="single" w:color="auto"/>
          <w:color w:val="auto"/>
        </w:rPr>
        <w:t>Settlement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Date</w:t>
      </w:r>
      <w:r>
        <w:rPr>
          <w:rFonts w:ascii="Arial" w:cs="Arial" w:eastAsia="Arial" w:hAnsi="Arial"/>
          <w:sz w:val="19"/>
          <w:szCs w:val="19"/>
          <w:color w:val="auto"/>
        </w:rPr>
        <w:t>”). The Agent shall notify the Company of each sale of Placement Shares as set forth in Section 3. The amount</w:t>
      </w:r>
      <w:r>
        <w:rPr>
          <w:rFonts w:ascii="Arial" w:cs="Arial" w:eastAsia="Arial" w:hAnsi="Arial"/>
          <w:sz w:val="19"/>
          <w:szCs w:val="19"/>
          <w:b w:val="1"/>
          <w:bCs w:val="1"/>
          <w:color w:val="auto"/>
        </w:rPr>
        <w:t xml:space="preserve"> </w:t>
      </w:r>
      <w:r>
        <w:rPr>
          <w:rFonts w:ascii="Arial" w:cs="Arial" w:eastAsia="Arial" w:hAnsi="Arial"/>
          <w:sz w:val="19"/>
          <w:szCs w:val="19"/>
          <w:color w:val="auto"/>
        </w:rPr>
        <w:t>of proceeds to be delivered to the Company on a Settlement Date against receipt of the Placement Shares sold (the “</w:t>
      </w:r>
      <w:r>
        <w:rPr>
          <w:rFonts w:ascii="Arial" w:cs="Arial" w:eastAsia="Arial" w:hAnsi="Arial"/>
          <w:sz w:val="19"/>
          <w:szCs w:val="19"/>
          <w:b w:val="1"/>
          <w:bCs w:val="1"/>
          <w:u w:val="single" w:color="auto"/>
          <w:color w:val="auto"/>
        </w:rPr>
        <w:t>Net Proceeds</w:t>
      </w:r>
      <w:r>
        <w:rPr>
          <w:rFonts w:ascii="Arial" w:cs="Arial" w:eastAsia="Arial" w:hAnsi="Arial"/>
          <w:sz w:val="19"/>
          <w:szCs w:val="19"/>
          <w:color w:val="auto"/>
        </w:rPr>
        <w:t xml:space="preserve">”) will be equal to the aggregate sales price received by the Agent, after deduction for (i) the Agent’s commission, discount or other compensation for such sales payable by the Company pursuant to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hereof, and (ii) any transaction fees imposed by any governmental or self-regulatory organization in respect of such sales.</w:t>
      </w:r>
    </w:p>
    <w:p>
      <w:pPr>
        <w:spacing w:after="0" w:line="158" w:lineRule="exact"/>
        <w:rPr>
          <w:rFonts w:ascii="Arial" w:cs="Arial" w:eastAsia="Arial" w:hAnsi="Arial"/>
          <w:sz w:val="19"/>
          <w:szCs w:val="19"/>
          <w:color w:val="auto"/>
        </w:rPr>
      </w:pPr>
    </w:p>
    <w:p>
      <w:pPr>
        <w:jc w:val="both"/>
        <w:ind w:firstLine="1296"/>
        <w:spacing w:after="0" w:line="238" w:lineRule="auto"/>
        <w:tabs>
          <w:tab w:leader="none" w:pos="1968" w:val="left"/>
        </w:tabs>
        <w:numPr>
          <w:ilvl w:val="1"/>
          <w:numId w:val="7"/>
        </w:numPr>
        <w:rPr>
          <w:rFonts w:ascii="Arial" w:cs="Arial" w:eastAsia="Arial" w:hAnsi="Arial"/>
          <w:sz w:val="22"/>
          <w:szCs w:val="22"/>
          <w:color w:val="auto"/>
        </w:rPr>
      </w:pPr>
      <w:r>
        <w:rPr>
          <w:rFonts w:ascii="Arial" w:cs="Arial" w:eastAsia="Arial" w:hAnsi="Arial"/>
          <w:sz w:val="22"/>
          <w:szCs w:val="22"/>
          <w:u w:val="single" w:color="auto"/>
          <w:color w:val="auto"/>
        </w:rPr>
        <w:t>Delivery of Placement Shares</w:t>
      </w:r>
      <w:r>
        <w:rPr>
          <w:rFonts w:ascii="Arial" w:cs="Arial" w:eastAsia="Arial" w:hAnsi="Arial"/>
          <w:sz w:val="22"/>
          <w:szCs w:val="22"/>
          <w:color w:val="auto"/>
        </w:rPr>
        <w:t>. On or before each Settlement Date, the Company will, or will cause its transfer agent to, electronically transfer the Placement Shares being sold by crediting the Agent’s or its designee’s account (provided the Agent shall have given the Company written notice of such designee at least one Trading Day prior to the Settlement Date) at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7" w:name="page8"/>
    <w:bookmarkEnd w:id="7"/>
    <w:p>
      <w:pPr>
        <w:jc w:val="both"/>
        <w:spacing w:after="0" w:line="273" w:lineRule="auto"/>
        <w:rPr>
          <w:sz w:val="20"/>
          <w:szCs w:val="20"/>
          <w:color w:val="auto"/>
        </w:rPr>
      </w:pPr>
      <w:r>
        <w:rPr>
          <w:rFonts w:ascii="Arial" w:cs="Arial" w:eastAsia="Arial" w:hAnsi="Arial"/>
          <w:sz w:val="19"/>
          <w:szCs w:val="19"/>
          <w:color w:val="auto"/>
        </w:rPr>
        <w:t xml:space="preserve">The Depository Trust Company through its Deposit and Withdrawal at Custodian System or by such other means of delivery as may be mutually agreed upon by the parties hereto which in all cases shall be freely tradable, transferable, registered shares in good deliverable form. On each Settlement Date, the Agent will deliver the related Net Proceeds in same day funds to an account designated by the Company on, or prior to, the Settlement Date. The Company agrees that if the Company, or its transfer agent (if applicable), defaults in its obligation to deliver Placement Shares on a Settlement Date through no fault of the Agent, the Company agrees that in addition to and in no way limiting the rights and obligations set forth in </w:t>
      </w:r>
      <w:r>
        <w:rPr>
          <w:rFonts w:ascii="Arial" w:cs="Arial" w:eastAsia="Arial" w:hAnsi="Arial"/>
          <w:sz w:val="19"/>
          <w:szCs w:val="19"/>
          <w:u w:val="single" w:color="auto"/>
          <w:color w:val="auto"/>
        </w:rPr>
        <w:t>Section 11(a)</w:t>
      </w:r>
      <w:r>
        <w:rPr>
          <w:rFonts w:ascii="Arial" w:cs="Arial" w:eastAsia="Arial" w:hAnsi="Arial"/>
          <w:sz w:val="19"/>
          <w:szCs w:val="19"/>
          <w:color w:val="auto"/>
        </w:rPr>
        <w:t xml:space="preserve"> hereto, it will (i) hold the Agent harmless against any loss, claim, damage, or reasonable documented expense (including reasonable and documented legal fees and expenses), as incurred, arising out of or in connection with such default by the Company or its transfer agent (if applicable) and (ii) pay to the Agent any commission, discount, or other compensation to which it would otherwise have been entitled absent such default.</w:t>
      </w:r>
    </w:p>
    <w:p>
      <w:pPr>
        <w:spacing w:after="0" w:line="200" w:lineRule="exact"/>
        <w:rPr>
          <w:sz w:val="20"/>
          <w:szCs w:val="20"/>
          <w:color w:val="auto"/>
        </w:rPr>
      </w:pPr>
    </w:p>
    <w:p>
      <w:pPr>
        <w:spacing w:after="0" w:line="205" w:lineRule="exact"/>
        <w:rPr>
          <w:sz w:val="20"/>
          <w:szCs w:val="20"/>
          <w:color w:val="auto"/>
        </w:rPr>
      </w:pPr>
    </w:p>
    <w:p>
      <w:pPr>
        <w:jc w:val="both"/>
        <w:ind w:firstLine="1296"/>
        <w:spacing w:after="0" w:line="236" w:lineRule="auto"/>
        <w:tabs>
          <w:tab w:leader="none" w:pos="2048" w:val="left"/>
        </w:tabs>
        <w:numPr>
          <w:ilvl w:val="1"/>
          <w:numId w:val="8"/>
        </w:numPr>
        <w:rPr>
          <w:rFonts w:ascii="Arial" w:cs="Arial" w:eastAsia="Arial" w:hAnsi="Arial"/>
          <w:sz w:val="22"/>
          <w:szCs w:val="22"/>
          <w:color w:val="auto"/>
        </w:rPr>
      </w:pPr>
      <w:r>
        <w:rPr>
          <w:rFonts w:ascii="Arial" w:cs="Arial" w:eastAsia="Arial" w:hAnsi="Arial"/>
          <w:sz w:val="22"/>
          <w:szCs w:val="22"/>
          <w:u w:val="single" w:color="auto"/>
          <w:color w:val="auto"/>
        </w:rPr>
        <w:t>Denominations; Registration</w:t>
      </w:r>
      <w:r>
        <w:rPr>
          <w:rFonts w:ascii="Arial" w:cs="Arial" w:eastAsia="Arial" w:hAnsi="Arial"/>
          <w:sz w:val="22"/>
          <w:szCs w:val="22"/>
          <w:i w:val="1"/>
          <w:iCs w:val="1"/>
          <w:color w:val="auto"/>
        </w:rPr>
        <w:t>.</w:t>
      </w:r>
      <w:r>
        <w:rPr>
          <w:rFonts w:ascii="Arial" w:cs="Arial" w:eastAsia="Arial" w:hAnsi="Arial"/>
          <w:sz w:val="22"/>
          <w:szCs w:val="22"/>
          <w:color w:val="auto"/>
        </w:rPr>
        <w:t xml:space="preserve"> Certificates for the Placement Shares, if any, shall be in such denominations and registered in such names as the Agent may request in writing at least one full Trading Day before the Settlement Date. The certificates for the Placement Shares, if any, will be made available by the Company for examination and packaging by the Agent in The City of New York not later than noon (New York time) on the Trading Day prior to the Settlement Date.</w:t>
      </w:r>
    </w:p>
    <w:p>
      <w:pPr>
        <w:spacing w:after="0" w:line="187" w:lineRule="exact"/>
        <w:rPr>
          <w:rFonts w:ascii="Arial" w:cs="Arial" w:eastAsia="Arial" w:hAnsi="Arial"/>
          <w:sz w:val="22"/>
          <w:szCs w:val="22"/>
          <w:color w:val="auto"/>
        </w:rPr>
      </w:pPr>
    </w:p>
    <w:p>
      <w:pPr>
        <w:jc w:val="both"/>
        <w:ind w:firstLine="1296"/>
        <w:spacing w:after="0" w:line="272" w:lineRule="auto"/>
        <w:tabs>
          <w:tab w:leader="none" w:pos="2050" w:val="left"/>
        </w:tabs>
        <w:numPr>
          <w:ilvl w:val="1"/>
          <w:numId w:val="8"/>
        </w:numPr>
        <w:rPr>
          <w:rFonts w:ascii="Arial" w:cs="Arial" w:eastAsia="Arial" w:hAnsi="Arial"/>
          <w:sz w:val="19"/>
          <w:szCs w:val="19"/>
          <w:color w:val="auto"/>
        </w:rPr>
      </w:pPr>
      <w:r>
        <w:rPr>
          <w:rFonts w:ascii="Arial" w:cs="Arial" w:eastAsia="Arial" w:hAnsi="Arial"/>
          <w:sz w:val="19"/>
          <w:szCs w:val="19"/>
          <w:u w:val="single" w:color="auto"/>
          <w:color w:val="auto"/>
        </w:rPr>
        <w:t>Limitations on Offering Size</w:t>
      </w:r>
      <w:r>
        <w:rPr>
          <w:rFonts w:ascii="Arial" w:cs="Arial" w:eastAsia="Arial" w:hAnsi="Arial"/>
          <w:sz w:val="19"/>
          <w:szCs w:val="19"/>
          <w:i w:val="1"/>
          <w:iCs w:val="1"/>
          <w:color w:val="auto"/>
        </w:rPr>
        <w:t>.</w:t>
      </w:r>
      <w:r>
        <w:rPr>
          <w:rFonts w:ascii="Arial" w:cs="Arial" w:eastAsia="Arial" w:hAnsi="Arial"/>
          <w:sz w:val="19"/>
          <w:szCs w:val="19"/>
          <w:color w:val="auto"/>
        </w:rPr>
        <w:t xml:space="preserve"> Under no circumstances shall the Company cause or request the offer or sale of any Placement Shares if, after giving effect to the sale of such Placement Shares, the aggregate gross sales proceeds of Placement Shares sold pursuant to this Agreement would exceed the lesser of (A) together with all sales of Placement Shares under this Agreement, the Maximum Amount, (B) the amount available for offer and sale under the currently effective Registration Statement and (C) the amount authorized from time to time to be issued and sold under this Agreement by the Company’s board of directors, a duly authorized committee thereof or a duly authorized committee composed of one or more executive officers of the Company (an “</w:t>
      </w:r>
      <w:r>
        <w:rPr>
          <w:rFonts w:ascii="Arial" w:cs="Arial" w:eastAsia="Arial" w:hAnsi="Arial"/>
          <w:sz w:val="19"/>
          <w:szCs w:val="19"/>
          <w:b w:val="1"/>
          <w:bCs w:val="1"/>
          <w:u w:val="single" w:color="auto"/>
          <w:color w:val="auto"/>
        </w:rPr>
        <w:t>Executive</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Committee</w:t>
      </w:r>
      <w:r>
        <w:rPr>
          <w:rFonts w:ascii="Arial" w:cs="Arial" w:eastAsia="Arial" w:hAnsi="Arial"/>
          <w:sz w:val="19"/>
          <w:szCs w:val="19"/>
          <w:color w:val="auto"/>
        </w:rPr>
        <w:t>”), and notified to the Agent in writing. Under no circumstances shall the Company cause or request the</w:t>
      </w:r>
      <w:r>
        <w:rPr>
          <w:rFonts w:ascii="Arial" w:cs="Arial" w:eastAsia="Arial" w:hAnsi="Arial"/>
          <w:sz w:val="19"/>
          <w:szCs w:val="19"/>
          <w:b w:val="1"/>
          <w:bCs w:val="1"/>
          <w:color w:val="auto"/>
        </w:rPr>
        <w:t xml:space="preserve"> </w:t>
      </w:r>
      <w:r>
        <w:rPr>
          <w:rFonts w:ascii="Arial" w:cs="Arial" w:eastAsia="Arial" w:hAnsi="Arial"/>
          <w:sz w:val="19"/>
          <w:szCs w:val="19"/>
          <w:color w:val="auto"/>
        </w:rPr>
        <w:t>offer or sale of any Placement Shares pursuant to this Agreement at a price lower than the minimum price authorized from time to time by the Company’s board of directors, a duly authorized committee thereof or a duly authorized Executive Committee, and notified to the Agent in writing. Further, under no circumstances shall the Company cause or permit the aggregate offering amount of Placement Shares sold pursuant to this Agreement to exceed the Maximum Amount.</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jc w:val="both"/>
        <w:ind w:firstLine="648"/>
        <w:spacing w:after="0"/>
        <w:tabs>
          <w:tab w:leader="none" w:pos="1513"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 of the Company</w:t>
      </w:r>
      <w:r>
        <w:rPr>
          <w:rFonts w:ascii="Arial" w:cs="Arial" w:eastAsia="Arial" w:hAnsi="Arial"/>
          <w:sz w:val="22"/>
          <w:szCs w:val="22"/>
          <w:color w:val="auto"/>
        </w:rPr>
        <w:t>. The Company represents and warrants to, and agrees with the Agent that as of the date of this Agreement and as of each Applicable Time (as defined below), unless such representation, warranty or agreement specifies a different time:</w:t>
      </w:r>
    </w:p>
    <w:p>
      <w:pPr>
        <w:spacing w:after="0" w:line="186" w:lineRule="exact"/>
        <w:rPr>
          <w:rFonts w:ascii="Arial" w:cs="Arial" w:eastAsia="Arial" w:hAnsi="Arial"/>
          <w:sz w:val="22"/>
          <w:szCs w:val="22"/>
          <w:color w:val="auto"/>
        </w:rPr>
      </w:pPr>
    </w:p>
    <w:p>
      <w:pPr>
        <w:jc w:val="both"/>
        <w:ind w:firstLine="1296"/>
        <w:spacing w:after="0" w:line="235" w:lineRule="auto"/>
        <w:tabs>
          <w:tab w:leader="none" w:pos="2036" w:val="left"/>
        </w:tabs>
        <w:numPr>
          <w:ilvl w:val="1"/>
          <w:numId w:val="9"/>
        </w:numPr>
        <w:rPr>
          <w:rFonts w:ascii="Arial" w:cs="Arial" w:eastAsia="Arial" w:hAnsi="Arial"/>
          <w:sz w:val="22"/>
          <w:szCs w:val="22"/>
          <w:color w:val="auto"/>
        </w:rPr>
      </w:pPr>
      <w:r>
        <w:rPr>
          <w:rFonts w:ascii="Arial" w:cs="Arial" w:eastAsia="Arial" w:hAnsi="Arial"/>
          <w:sz w:val="22"/>
          <w:szCs w:val="22"/>
          <w:u w:val="single" w:color="auto"/>
          <w:color w:val="auto"/>
        </w:rPr>
        <w:t>Registration Statement and Prospectus</w:t>
      </w:r>
      <w:r>
        <w:rPr>
          <w:rFonts w:ascii="Arial" w:cs="Arial" w:eastAsia="Arial" w:hAnsi="Arial"/>
          <w:sz w:val="22"/>
          <w:szCs w:val="22"/>
          <w:color w:val="auto"/>
        </w:rPr>
        <w:t>. The Company and the transactions contemplated by this Agreement meet the requirements for and comply with the applicable conditions for the use of Form S-3 (including General Instructions I.A and I.B) under the Securities Act. The Registration Statement has been filed with the Commission and has been declared effective by the Commission under the Securities Act. The Prospectus Supplement will name the Agent as the agent in the section entitled “Plan of Distribution.” The Company has not received,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8" w:name="page9"/>
    <w:bookmarkEnd w:id="8"/>
    <w:p>
      <w:pPr>
        <w:jc w:val="both"/>
        <w:spacing w:after="0" w:line="270" w:lineRule="auto"/>
        <w:rPr>
          <w:sz w:val="20"/>
          <w:szCs w:val="20"/>
          <w:color w:val="auto"/>
        </w:rPr>
      </w:pPr>
      <w:r>
        <w:rPr>
          <w:rFonts w:ascii="Arial" w:cs="Arial" w:eastAsia="Arial" w:hAnsi="Arial"/>
          <w:sz w:val="19"/>
          <w:szCs w:val="19"/>
          <w:color w:val="auto"/>
        </w:rPr>
        <w:t>and has no notice of, any order of the Commission preventing or suspending the use of the Registration Statement, or threatening or instituting proceedings for that purpose. The Registration Statement and the offer and sale of Placement Shares as contemplated hereby meet the requirements of Rule 415 under the Securities Act and comply in all material respects with said Rule. Any statutes, regulations, contracts or other documents that are required to be described in the Registration Statement or the Prospectus or to be filed as exhibits to the Registration Statement have been so described or filed. Copies of the Registration Statement, the Prospectus, and any amendments or supplements thereto and all Incorporated Documents that were filed with the Commission on or prior to the date of this Agreement have been delivered, or are available through EDGAR, to the Agent and its counsel. The Company has not distributed, and, prior to the later to occur of each Settlement Date and completion of the distribution of the Placement Shares, will not distribute, any offering material in connection with the offering or sale of the Placement Shares other than the Registration Statement and the Prospectus and any Issuer Free Writing Prospectus (as defined below) to which the Agent has consented, such consent not to be unreasonably withheld, conditioned or delayed. The Common Stock is registered pursuant to Section 12(b) of the Exchange Act and is currently listed on the Exchange under the trading symbol “ARDX.” The Company has taken no action designed to terminate, or likely to have the effect of terminating, the registration of the Common Stock under the Exchange Act or delisting the Common Stock from the Exchange, nor has the Company received any notification that the Commission or the Exchange is contemplating terminating such registration or listing. To the Company’s knowledge, it is in compliance with all applicable listing requirements of the Exchange.</w:t>
      </w:r>
    </w:p>
    <w:p>
      <w:pPr>
        <w:spacing w:after="0" w:line="167" w:lineRule="exact"/>
        <w:rPr>
          <w:sz w:val="20"/>
          <w:szCs w:val="20"/>
          <w:color w:val="auto"/>
        </w:rPr>
      </w:pPr>
    </w:p>
    <w:p>
      <w:pPr>
        <w:jc w:val="both"/>
        <w:ind w:firstLine="1296"/>
        <w:spacing w:after="0" w:line="271" w:lineRule="auto"/>
        <w:tabs>
          <w:tab w:leader="none" w:pos="2183"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No Misstatement or Omission</w:t>
      </w:r>
      <w:r>
        <w:rPr>
          <w:rFonts w:ascii="Arial" w:cs="Arial" w:eastAsia="Arial" w:hAnsi="Arial"/>
          <w:sz w:val="19"/>
          <w:szCs w:val="19"/>
          <w:color w:val="auto"/>
        </w:rPr>
        <w:t>. The Registration Statement, when it became or becomes effective, and the Prospectus, and any amendment or supplement thereto, on the date of such Prospectus or amendment or supplement, conformed and will conform in all material respects with the requirements of the Securities Act. At each Settlement Date, the Registration Statement and the Prospectus, as of such date, will conform in all material respects with the requirements of the Securities Act. The Registration Statement, as of the date it became or becomes effective, did not or will not contain an untrue statement of a material fact or omit to state a material fact required to be stated therein or necessary to make the statements therein not misleading. The Prospectus and any amendment and supplement thereto, on the date thereof and at each Applicable Time (as defined below), did not or will not include an untrue statement of a material fact or omit to state a material fact necessary to make the statements therein, in light of the circumstances under which they were made, not misleading. The documents incorporated by reference in the Prospectus or any Prospectus Supplement did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Agent specifically for use in the preparation thereof.</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jc w:val="both"/>
        <w:ind w:firstLine="1296"/>
        <w:spacing w:after="0" w:line="282" w:lineRule="auto"/>
        <w:tabs>
          <w:tab w:leader="none" w:pos="2360"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Conformity with Securities Act and Exchange Act</w:t>
      </w:r>
      <w:r>
        <w:rPr>
          <w:rFonts w:ascii="Arial" w:cs="Arial" w:eastAsia="Arial" w:hAnsi="Arial"/>
          <w:sz w:val="19"/>
          <w:szCs w:val="19"/>
          <w:color w:val="auto"/>
        </w:rPr>
        <w:t>. The Registration Statement, the Prospectus, any Issuer Free Writing Prospectus or any amendment or supplement thereto, and the Incorporated Documents, when such documents were or are filed with the Commission under the Securities Act or the Exchange Act or became or become effective under the Securities Act, as the case may be, conformed or will conform in all material respects with the requirements of the Securities Act and the Exchange Act, as applicable.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9" w:name="page10"/>
    <w:bookmarkEnd w:id="9"/>
    <w:p>
      <w:pPr>
        <w:jc w:val="both"/>
        <w:ind w:firstLine="1296"/>
        <w:spacing w:after="0" w:line="269" w:lineRule="auto"/>
        <w:tabs>
          <w:tab w:leader="none" w:pos="1994"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Financial Information</w:t>
      </w:r>
      <w:r>
        <w:rPr>
          <w:rFonts w:ascii="Arial" w:cs="Arial" w:eastAsia="Arial" w:hAnsi="Arial"/>
          <w:sz w:val="19"/>
          <w:szCs w:val="19"/>
          <w:color w:val="auto"/>
        </w:rPr>
        <w:t>. The financial statements of the Company included or incorporated by reference in the Registration Statement, the Prospectus and the Issuer Free Writing Prospectuses, if any, together with the related notes and schedules, present fairly, in all material respects, the financial position of the Company as of the dates indicated and the results of operations, cash flows and changes in stockholders’ equity of the Company for the periods specified (subject, in the case of unaudited statements, to normal and recurring year-end audit adjustments) and have been prepared in compliance with the requirements of the Securities Act and Exchange Act, as applicable, and in conformity with U.S. generally accepted accounting principles (“</w:t>
      </w:r>
      <w:r>
        <w:rPr>
          <w:rFonts w:ascii="Arial" w:cs="Arial" w:eastAsia="Arial" w:hAnsi="Arial"/>
          <w:sz w:val="19"/>
          <w:szCs w:val="19"/>
          <w:b w:val="1"/>
          <w:bCs w:val="1"/>
          <w:u w:val="single" w:color="auto"/>
          <w:color w:val="auto"/>
        </w:rPr>
        <w:t>GAAP</w:t>
      </w:r>
      <w:r>
        <w:rPr>
          <w:rFonts w:ascii="Arial" w:cs="Arial" w:eastAsia="Arial" w:hAnsi="Arial"/>
          <w:sz w:val="19"/>
          <w:szCs w:val="19"/>
          <w:color w:val="auto"/>
        </w:rPr>
        <w:t>”) applied on a consistent basis (except for such adjustments to accounting standards and practices as are noted therein) during the periods involved (except that any interim statements are in condensed form and do not contain all footnotes that would be required under GAAP and are subject to year-end audit adjustments); the other financial and statistical data with respect to the Company contained or incorporated by reference in the Registration Statement, the Prospectus and the Issuer Free Writing Prospectuses, if any, are accurately and fairly presented in all material respects and prepared on a basis consistent, in all material respects, with the financial statements (in the case of financial data only) and books and records of the Company; there are no financial statements (historical or pro forma) that are required to be included or incorporated by reference in the Registration Statement or the Prospectus that are not included or incorporated by reference as required; the Company does not have any material liabilities or obligations, direct or contingent (including any off-balance sheet obligations), that are required to be described in the Registration Statement and the Prospectus that are not described in the Registration Statement (excluding the exhibits thereto) and the Prospectus; and all disclosures contained or incorporated by reference in the Registration Statement, the Prospectus and the Issuer Free Writing Prospectuses, if any, regarding “non-GAAP financial measures” (as such term is defined by the rules and regulations of the Commission) comply in all material respects with Regulation G of the Exchange Act and Item 10 of Regulation S-K under the Securities Act, to the extent applicable. The interactive data in eXtensible Business Reporting Language included or incorporated by reference in the Registration Statement and the Prospectus fairly presents the information called for in all material respects and has been prepared in accordance with the Commission’s rules and guidelines applicable thereto.</w:t>
      </w:r>
    </w:p>
    <w:p>
      <w:pPr>
        <w:spacing w:after="0" w:line="171" w:lineRule="exact"/>
        <w:rPr>
          <w:rFonts w:ascii="Arial" w:cs="Arial" w:eastAsia="Arial" w:hAnsi="Arial"/>
          <w:sz w:val="19"/>
          <w:szCs w:val="19"/>
          <w:color w:val="auto"/>
        </w:rPr>
      </w:pPr>
    </w:p>
    <w:p>
      <w:pPr>
        <w:jc w:val="both"/>
        <w:ind w:firstLine="1296"/>
        <w:spacing w:after="0" w:line="251" w:lineRule="exact"/>
        <w:tabs>
          <w:tab w:leader="none" w:pos="2090"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Conformity with EDGAR Filing</w:t>
      </w:r>
      <w:r>
        <w:rPr>
          <w:rFonts w:ascii="Arial" w:cs="Arial" w:eastAsia="Arial" w:hAnsi="Arial"/>
          <w:sz w:val="22"/>
          <w:szCs w:val="22"/>
          <w:color w:val="auto"/>
        </w:rPr>
        <w:t>. The Prospectus delivered to Agent for use in connection with the sale of the Placement Shares pursuant to this Agreement will be identical to the versions of the Prospectus created to be transmitted to the Commission for filing via EDGAR, except to the extent permitted by Regulation S</w:t>
      </w:r>
      <w:r>
        <w:rPr>
          <w:rFonts w:ascii="MS PGothic" w:cs="MS PGothic" w:eastAsia="MS PGothic" w:hAnsi="MS PGothic"/>
          <w:sz w:val="22"/>
          <w:szCs w:val="22"/>
          <w:color w:val="auto"/>
        </w:rPr>
        <w:t>‑</w:t>
      </w:r>
      <w:r>
        <w:rPr>
          <w:rFonts w:ascii="Arial" w:cs="Arial" w:eastAsia="Arial" w:hAnsi="Arial"/>
          <w:sz w:val="22"/>
          <w:szCs w:val="22"/>
          <w:color w:val="auto"/>
        </w:rPr>
        <w:t>T under the Securities Act.</w:t>
      </w:r>
    </w:p>
    <w:p>
      <w:pPr>
        <w:spacing w:after="0" w:line="185" w:lineRule="exact"/>
        <w:rPr>
          <w:rFonts w:ascii="Arial" w:cs="Arial" w:eastAsia="Arial" w:hAnsi="Arial"/>
          <w:sz w:val="22"/>
          <w:szCs w:val="22"/>
          <w:color w:val="auto"/>
        </w:rPr>
      </w:pPr>
    </w:p>
    <w:p>
      <w:pPr>
        <w:jc w:val="both"/>
        <w:ind w:firstLine="1296"/>
        <w:spacing w:after="0" w:line="245" w:lineRule="auto"/>
        <w:tabs>
          <w:tab w:leader="none" w:pos="2107" w:val="left"/>
        </w:tabs>
        <w:numPr>
          <w:ilvl w:val="0"/>
          <w:numId w:val="11"/>
        </w:numPr>
        <w:rPr>
          <w:rFonts w:ascii="Arial" w:cs="Arial" w:eastAsia="Arial" w:hAnsi="Arial"/>
          <w:sz w:val="21"/>
          <w:szCs w:val="21"/>
          <w:color w:val="auto"/>
        </w:rPr>
      </w:pPr>
      <w:r>
        <w:rPr>
          <w:rFonts w:ascii="Arial" w:cs="Arial" w:eastAsia="Arial" w:hAnsi="Arial"/>
          <w:sz w:val="21"/>
          <w:szCs w:val="21"/>
          <w:u w:val="single" w:color="auto"/>
          <w:color w:val="auto"/>
        </w:rPr>
        <w:t>Organization</w:t>
      </w:r>
      <w:r>
        <w:rPr>
          <w:rFonts w:ascii="Arial" w:cs="Arial" w:eastAsia="Arial" w:hAnsi="Arial"/>
          <w:sz w:val="21"/>
          <w:szCs w:val="21"/>
          <w:color w:val="auto"/>
        </w:rPr>
        <w:t>. The Company is duly incorporated, validly existing as a corporation and in good standing under the laws of its jurisdiction of incorporation. The Company is duly licensed or qualified as a foreign corporation for the transaction of business and in good standing under the laws of each other jurisdiction in which its ownership or lease of property or the conduct of its business requires such license or qualification, and has all corporate power and authority necessary to own or hold its properties and to conduct its business as described in the Registration Statement and the Prospectus, except where the failure to be so qualified or in good standing or have such power or authority would not, individually or in the aggregate, have a material adverse effect or would reasonably be expected to have a material adverse effect on the assets, business, operations, earnings, properties, condition (financial or otherwise), prospects,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0" w:name="page11"/>
    <w:bookmarkEnd w:id="10"/>
    <w:p>
      <w:pPr>
        <w:ind w:left="1"/>
        <w:spacing w:after="0" w:line="251" w:lineRule="auto"/>
        <w:rPr>
          <w:sz w:val="20"/>
          <w:szCs w:val="20"/>
          <w:color w:val="auto"/>
        </w:rPr>
      </w:pPr>
      <w:r>
        <w:rPr>
          <w:rFonts w:ascii="Arial" w:cs="Arial" w:eastAsia="Arial" w:hAnsi="Arial"/>
          <w:sz w:val="22"/>
          <w:szCs w:val="22"/>
          <w:color w:val="auto"/>
        </w:rPr>
        <w:t>stockholders’ equity or results of operations of the Company, or prevent or materially interfere with consummation of the transactions contemplated hereby (a “</w:t>
      </w:r>
      <w:r>
        <w:rPr>
          <w:rFonts w:ascii="Arial" w:cs="Arial" w:eastAsia="Arial" w:hAnsi="Arial"/>
          <w:sz w:val="22"/>
          <w:szCs w:val="22"/>
          <w:b w:val="1"/>
          <w:bCs w:val="1"/>
          <w:u w:val="single" w:color="auto"/>
          <w:color w:val="auto"/>
        </w:rPr>
        <w:t>Material Adverse Effect</w:t>
      </w:r>
      <w:r>
        <w:rPr>
          <w:rFonts w:ascii="Arial" w:cs="Arial" w:eastAsia="Arial" w:hAnsi="Arial"/>
          <w:sz w:val="22"/>
          <w:szCs w:val="22"/>
          <w:color w:val="auto"/>
        </w:rPr>
        <w:t>”).</w:t>
      </w:r>
    </w:p>
    <w:p>
      <w:pPr>
        <w:spacing w:after="0" w:line="173" w:lineRule="exact"/>
        <w:rPr>
          <w:sz w:val="20"/>
          <w:szCs w:val="20"/>
          <w:color w:val="auto"/>
        </w:rPr>
      </w:pPr>
    </w:p>
    <w:p>
      <w:pPr>
        <w:ind w:left="2041" w:hanging="744"/>
        <w:spacing w:after="0"/>
        <w:tabs>
          <w:tab w:leader="none" w:pos="2041"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Subsidiaries</w:t>
      </w:r>
      <w:r>
        <w:rPr>
          <w:rFonts w:ascii="Arial" w:cs="Arial" w:eastAsia="Arial" w:hAnsi="Arial"/>
          <w:sz w:val="19"/>
          <w:szCs w:val="19"/>
          <w:color w:val="auto"/>
        </w:rPr>
        <w:t>. The Company has no subsidiaries (as defined in Rule 405 under the Securities</w:t>
      </w:r>
    </w:p>
    <w:p>
      <w:pPr>
        <w:spacing w:after="0" w:line="43" w:lineRule="exact"/>
        <w:rPr>
          <w:sz w:val="20"/>
          <w:szCs w:val="20"/>
          <w:color w:val="auto"/>
        </w:rPr>
      </w:pPr>
    </w:p>
    <w:p>
      <w:pPr>
        <w:ind w:left="1"/>
        <w:spacing w:after="0"/>
        <w:rPr>
          <w:sz w:val="20"/>
          <w:szCs w:val="20"/>
          <w:color w:val="auto"/>
        </w:rPr>
      </w:pPr>
      <w:r>
        <w:rPr>
          <w:rFonts w:ascii="Arial" w:cs="Arial" w:eastAsia="Arial" w:hAnsi="Arial"/>
          <w:sz w:val="22"/>
          <w:szCs w:val="22"/>
          <w:color w:val="auto"/>
        </w:rPr>
        <w:t>Act).</w:t>
      </w:r>
    </w:p>
    <w:p>
      <w:pPr>
        <w:spacing w:after="0" w:line="188" w:lineRule="exact"/>
        <w:rPr>
          <w:sz w:val="20"/>
          <w:szCs w:val="20"/>
          <w:color w:val="auto"/>
        </w:rPr>
      </w:pPr>
    </w:p>
    <w:p>
      <w:pPr>
        <w:jc w:val="both"/>
        <w:ind w:left="1" w:firstLine="1296"/>
        <w:spacing w:after="0" w:line="275" w:lineRule="auto"/>
        <w:tabs>
          <w:tab w:leader="none" w:pos="2022" w:val="left"/>
        </w:tabs>
        <w:numPr>
          <w:ilvl w:val="1"/>
          <w:numId w:val="13"/>
        </w:numPr>
        <w:rPr>
          <w:rFonts w:ascii="Arial" w:cs="Arial" w:eastAsia="Arial" w:hAnsi="Arial"/>
          <w:sz w:val="19"/>
          <w:szCs w:val="19"/>
          <w:color w:val="auto"/>
        </w:rPr>
      </w:pPr>
      <w:r>
        <w:rPr>
          <w:rFonts w:ascii="Arial" w:cs="Arial" w:eastAsia="Arial" w:hAnsi="Arial"/>
          <w:sz w:val="19"/>
          <w:szCs w:val="19"/>
          <w:u w:val="single" w:color="auto"/>
          <w:color w:val="auto"/>
        </w:rPr>
        <w:t>No Violation or Default</w:t>
      </w:r>
      <w:r>
        <w:rPr>
          <w:rFonts w:ascii="Arial" w:cs="Arial" w:eastAsia="Arial" w:hAnsi="Arial"/>
          <w:sz w:val="19"/>
          <w:szCs w:val="19"/>
          <w:color w:val="auto"/>
        </w:rPr>
        <w:t>. The Company is not (i) in violation of its charter or by-laws;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or by which the Company is bound or to which any of the property or assets of the Company are subject; or (iii) in violation of any law or statute or any judgment, order, rule or regulation of any Governmental Authority, except, in the case of each of clauses (ii) and (iii) above, for any such violation or default that would not, individually or in the aggregate, reasonably be expected to have a Material Adverse Effect.</w:t>
      </w:r>
    </w:p>
    <w:p>
      <w:pPr>
        <w:spacing w:after="0" w:line="158" w:lineRule="exact"/>
        <w:rPr>
          <w:rFonts w:ascii="Arial" w:cs="Arial" w:eastAsia="Arial" w:hAnsi="Arial"/>
          <w:sz w:val="19"/>
          <w:szCs w:val="19"/>
          <w:color w:val="auto"/>
        </w:rPr>
      </w:pPr>
    </w:p>
    <w:p>
      <w:pPr>
        <w:jc w:val="both"/>
        <w:ind w:left="1" w:firstLine="1296"/>
        <w:spacing w:after="0" w:line="269" w:lineRule="auto"/>
        <w:tabs>
          <w:tab w:leader="none" w:pos="2041" w:val="left"/>
        </w:tabs>
        <w:numPr>
          <w:ilvl w:val="1"/>
          <w:numId w:val="13"/>
        </w:numPr>
        <w:rPr>
          <w:rFonts w:ascii="Arial" w:cs="Arial" w:eastAsia="Arial" w:hAnsi="Arial"/>
          <w:sz w:val="19"/>
          <w:szCs w:val="19"/>
          <w:color w:val="auto"/>
        </w:rPr>
      </w:pPr>
      <w:r>
        <w:rPr>
          <w:rFonts w:ascii="Arial" w:cs="Arial" w:eastAsia="Arial" w:hAnsi="Arial"/>
          <w:sz w:val="19"/>
          <w:szCs w:val="19"/>
          <w:u w:val="single" w:color="auto"/>
          <w:color w:val="auto"/>
        </w:rPr>
        <w:t>No Material Adverse Change</w:t>
      </w:r>
      <w:r>
        <w:rPr>
          <w:rFonts w:ascii="Arial" w:cs="Arial" w:eastAsia="Arial" w:hAnsi="Arial"/>
          <w:sz w:val="19"/>
          <w:szCs w:val="19"/>
          <w:color w:val="auto"/>
        </w:rPr>
        <w:t>. Subsequent to the respective dates as of which information is given in the Registration Statement, the Prospectus and the Issuer Free Writing Prospectuses, if any (including any Incorporated Document), there has not been (i) any Material Adverse Effect or the occurrence of any development that the Company reasonably expects will result in a Material Adverse Effect, (ii) any transaction which is material to the Company , (iii) any material obligation or liability, direct or contingent (including any off-balance sheet obligations), incurred by the Company, (iv) any material change in the capital stock or any material increase in the outstanding long-term indebtedness of the Company (other than (a) as a result of the sale of Placement Shares, or</w:t>
      </w:r>
    </w:p>
    <w:p>
      <w:pPr>
        <w:spacing w:after="0" w:line="5" w:lineRule="exact"/>
        <w:rPr>
          <w:rFonts w:ascii="Arial" w:cs="Arial" w:eastAsia="Arial" w:hAnsi="Arial"/>
          <w:sz w:val="19"/>
          <w:szCs w:val="19"/>
          <w:color w:val="auto"/>
        </w:rPr>
      </w:pPr>
    </w:p>
    <w:p>
      <w:pPr>
        <w:jc w:val="both"/>
        <w:ind w:left="1" w:hanging="1"/>
        <w:spacing w:after="0" w:line="244" w:lineRule="auto"/>
        <w:tabs>
          <w:tab w:leader="none" w:pos="323" w:val="left"/>
        </w:tabs>
        <w:numPr>
          <w:ilvl w:val="0"/>
          <w:numId w:val="14"/>
        </w:numPr>
        <w:rPr>
          <w:rFonts w:ascii="Arial" w:cs="Arial" w:eastAsia="Arial" w:hAnsi="Arial"/>
          <w:sz w:val="21"/>
          <w:szCs w:val="21"/>
          <w:color w:val="auto"/>
        </w:rPr>
      </w:pPr>
      <w:r>
        <w:rPr>
          <w:rFonts w:ascii="Arial" w:cs="Arial" w:eastAsia="Arial" w:hAnsi="Arial"/>
          <w:sz w:val="21"/>
          <w:szCs w:val="21"/>
          <w:color w:val="auto"/>
        </w:rPr>
        <w:t>changes in the number of shares of outstanding Common Stock of the Company due to the issuance of shares upon the exercise or conversion of securities exercisable for, or convertible into, shares of Common Stock outstanding on the date hereof, or the vesting of restricted stock units outstanding on the date hereof) or (v) any dividend or distribution of any kind declared, paid or made on the capital stock of the Company, other than in each case above in the ordinary course of business or as otherwise disclosed in the Registration Statement or Prospectus (including any document deemed incorporated by reference therein).</w:t>
      </w:r>
    </w:p>
    <w:p>
      <w:pPr>
        <w:spacing w:after="0" w:line="183" w:lineRule="exact"/>
        <w:rPr>
          <w:rFonts w:ascii="Arial" w:cs="Arial" w:eastAsia="Arial" w:hAnsi="Arial"/>
          <w:sz w:val="21"/>
          <w:szCs w:val="21"/>
          <w:color w:val="auto"/>
        </w:rPr>
      </w:pPr>
    </w:p>
    <w:p>
      <w:pPr>
        <w:jc w:val="both"/>
        <w:ind w:left="1" w:firstLine="1296"/>
        <w:spacing w:after="0" w:line="271" w:lineRule="auto"/>
        <w:tabs>
          <w:tab w:leader="none" w:pos="2014" w:val="left"/>
        </w:tabs>
        <w:numPr>
          <w:ilvl w:val="1"/>
          <w:numId w:val="14"/>
        </w:numPr>
        <w:rPr>
          <w:rFonts w:ascii="Arial" w:cs="Arial" w:eastAsia="Arial" w:hAnsi="Arial"/>
          <w:sz w:val="19"/>
          <w:szCs w:val="19"/>
          <w:color w:val="auto"/>
        </w:rPr>
      </w:pPr>
      <w:r>
        <w:rPr>
          <w:rFonts w:ascii="Arial" w:cs="Arial" w:eastAsia="Arial" w:hAnsi="Arial"/>
          <w:sz w:val="19"/>
          <w:szCs w:val="19"/>
          <w:u w:val="single" w:color="auto"/>
          <w:color w:val="auto"/>
        </w:rPr>
        <w:t>Capitalization</w:t>
      </w:r>
      <w:r>
        <w:rPr>
          <w:rFonts w:ascii="Arial" w:cs="Arial" w:eastAsia="Arial" w:hAnsi="Arial"/>
          <w:sz w:val="19"/>
          <w:szCs w:val="19"/>
          <w:color w:val="auto"/>
        </w:rPr>
        <w:t>. The issued and outstanding shares of capital stock of the Company have been validly issued, are fully paid and nonassessable and, other than as disclosed in the Registration Statement or the Prospectus, are not subject to any preemptive rights, rights of first refusal or similar rights to subscribe for or purchase securities of the Company. The Company has an authorized, issued and outstanding capitalization as set forth in the Registration Statement and the Prospectus as of the dates referred to therein (other than the grant of additional options or other securities under the Company’s existing employee benefits plans, or changes in the number of outstanding shares of Common Stock of the Company due to the issuance of shares upon the exercise or conversion of securities exercisable for, or convertible into, Common Stock outstanding on the date hereof, or due to the issuance of shares in connection with Company’s Employee Stock Purchase Plan) and such authorized capital stock conforms to the description thereof set forth in the Registration Statement and the Prospectus. The description of the securities of the Company in the Registration Statement and the Prospectus is complete and accurate in all material respects. Except as disclosed in or contemplated by the Registration Statement or the Prospectus, as of the date referred to therein, the Company does not have outstanding any options to purchase, or any rights or warrants to subscribe for, or any securities or obligations convertible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11" w:name="page12"/>
    <w:bookmarkEnd w:id="11"/>
    <w:p>
      <w:pPr>
        <w:ind w:left="1"/>
        <w:spacing w:after="0" w:line="251" w:lineRule="auto"/>
        <w:rPr>
          <w:sz w:val="20"/>
          <w:szCs w:val="20"/>
          <w:color w:val="auto"/>
        </w:rPr>
      </w:pPr>
      <w:r>
        <w:rPr>
          <w:rFonts w:ascii="Arial" w:cs="Arial" w:eastAsia="Arial" w:hAnsi="Arial"/>
          <w:sz w:val="22"/>
          <w:szCs w:val="22"/>
          <w:color w:val="auto"/>
        </w:rPr>
        <w:t>into, or exchangeable for, or any contracts or commitments to issue or sell, any shares of capital stock or other securities.</w:t>
      </w:r>
    </w:p>
    <w:p>
      <w:pPr>
        <w:spacing w:after="0" w:line="173" w:lineRule="exact"/>
        <w:rPr>
          <w:sz w:val="20"/>
          <w:szCs w:val="20"/>
          <w:color w:val="auto"/>
        </w:rPr>
      </w:pPr>
    </w:p>
    <w:p>
      <w:pPr>
        <w:jc w:val="both"/>
        <w:ind w:left="1" w:firstLine="1296"/>
        <w:spacing w:after="0" w:line="247" w:lineRule="auto"/>
        <w:tabs>
          <w:tab w:leader="none" w:pos="2157" w:val="left"/>
        </w:tabs>
        <w:numPr>
          <w:ilvl w:val="1"/>
          <w:numId w:val="15"/>
        </w:numPr>
        <w:rPr>
          <w:rFonts w:ascii="Arial" w:cs="Arial" w:eastAsia="Arial" w:hAnsi="Arial"/>
          <w:sz w:val="21"/>
          <w:szCs w:val="21"/>
          <w:color w:val="auto"/>
        </w:rPr>
      </w:pPr>
      <w:r>
        <w:rPr>
          <w:rFonts w:ascii="Arial" w:cs="Arial" w:eastAsia="Arial" w:hAnsi="Arial"/>
          <w:sz w:val="21"/>
          <w:szCs w:val="21"/>
          <w:u w:val="single" w:color="auto"/>
          <w:color w:val="auto"/>
        </w:rPr>
        <w:t>Authorization; Enforceability</w:t>
      </w:r>
      <w:r>
        <w:rPr>
          <w:rFonts w:ascii="Arial" w:cs="Arial" w:eastAsia="Arial" w:hAnsi="Arial"/>
          <w:sz w:val="21"/>
          <w:szCs w:val="21"/>
          <w:color w:val="auto"/>
        </w:rPr>
        <w:t>. The Company has full legal right, power and authority to enter into this Agreement and perform the transactions contemplated hereby. This Agreement has been duly authorized, executed and delivered by the Company and is a legal, valid and binding agreement of the Company enforceable in accordance with its terms, except to the extent that enforceability may be limited by bankruptcy, insolvency, reorganization, moratorium or similar laws affecting creditors’ rights generally and by general equitable principles and that the enforceability of the indemnification and contribution provisions may be limited by federal and state securities laws and principles of public policy.</w:t>
      </w:r>
    </w:p>
    <w:p>
      <w:pPr>
        <w:spacing w:after="0" w:line="178" w:lineRule="exact"/>
        <w:rPr>
          <w:rFonts w:ascii="Arial" w:cs="Arial" w:eastAsia="Arial" w:hAnsi="Arial"/>
          <w:sz w:val="21"/>
          <w:szCs w:val="21"/>
          <w:color w:val="auto"/>
        </w:rPr>
      </w:pPr>
    </w:p>
    <w:p>
      <w:pPr>
        <w:jc w:val="both"/>
        <w:ind w:left="1" w:firstLine="1296"/>
        <w:spacing w:after="0" w:line="274" w:lineRule="auto"/>
        <w:tabs>
          <w:tab w:leader="none" w:pos="2244" w:val="left"/>
        </w:tabs>
        <w:numPr>
          <w:ilvl w:val="1"/>
          <w:numId w:val="15"/>
        </w:numPr>
        <w:rPr>
          <w:rFonts w:ascii="Arial" w:cs="Arial" w:eastAsia="Arial" w:hAnsi="Arial"/>
          <w:sz w:val="19"/>
          <w:szCs w:val="19"/>
          <w:color w:val="auto"/>
        </w:rPr>
      </w:pPr>
      <w:r>
        <w:rPr>
          <w:rFonts w:ascii="Arial" w:cs="Arial" w:eastAsia="Arial" w:hAnsi="Arial"/>
          <w:sz w:val="19"/>
          <w:szCs w:val="19"/>
          <w:u w:val="single" w:color="auto"/>
          <w:color w:val="auto"/>
        </w:rPr>
        <w:t>Authorization of Placement Shares</w:t>
      </w:r>
      <w:r>
        <w:rPr>
          <w:rFonts w:ascii="Arial" w:cs="Arial" w:eastAsia="Arial" w:hAnsi="Arial"/>
          <w:sz w:val="19"/>
          <w:szCs w:val="19"/>
          <w:color w:val="auto"/>
        </w:rPr>
        <w:t>. The Placement Shares, when issued and delivered pursuant to the terms approved by the board of directors of the Company or a duly authorized committee thereof, or a duly authorized Executive Committee, against payment therefor as provided herein, will be duly authorized, validly issued, fully paid and nonassessable, free and clear of any pledge, lien, encumbrance, security interest or other claim (other than any pledge, lien, encumbrance, security interest or other claim arising from an act or omission of the Agent or a purchaser), including any statutory or contractual preemptive rights, resale rights, rights of first refusal or other similar rights to subscribe for or purchase the Placement Shares, and will be registered pursuant to Section 12 of the Exchange Act. The Placement Shares, when issued, will conform in all material respects to the description thereof set forth in or incorporated into the Prospectus.</w:t>
      </w:r>
    </w:p>
    <w:p>
      <w:pPr>
        <w:spacing w:after="0" w:line="158" w:lineRule="exact"/>
        <w:rPr>
          <w:rFonts w:ascii="Arial" w:cs="Arial" w:eastAsia="Arial" w:hAnsi="Arial"/>
          <w:sz w:val="19"/>
          <w:szCs w:val="19"/>
          <w:color w:val="auto"/>
        </w:rPr>
      </w:pPr>
    </w:p>
    <w:p>
      <w:pPr>
        <w:jc w:val="both"/>
        <w:ind w:left="1" w:firstLine="1296"/>
        <w:spacing w:after="0" w:line="247" w:lineRule="exact"/>
        <w:tabs>
          <w:tab w:leader="none" w:pos="2433" w:val="left"/>
        </w:tabs>
        <w:numPr>
          <w:ilvl w:val="1"/>
          <w:numId w:val="15"/>
        </w:numPr>
        <w:rPr>
          <w:rFonts w:ascii="Arial" w:cs="Arial" w:eastAsia="Arial" w:hAnsi="Arial"/>
          <w:sz w:val="22"/>
          <w:szCs w:val="22"/>
          <w:color w:val="auto"/>
        </w:rPr>
      </w:pPr>
      <w:r>
        <w:rPr>
          <w:rFonts w:ascii="Arial" w:cs="Arial" w:eastAsia="Arial" w:hAnsi="Arial"/>
          <w:sz w:val="22"/>
          <w:szCs w:val="22"/>
          <w:u w:val="single" w:color="auto"/>
          <w:color w:val="auto"/>
        </w:rPr>
        <w:t>No Consents Required</w:t>
      </w:r>
      <w:r>
        <w:rPr>
          <w:rFonts w:ascii="Arial" w:cs="Arial" w:eastAsia="Arial" w:hAnsi="Arial"/>
          <w:sz w:val="22"/>
          <w:szCs w:val="22"/>
          <w:color w:val="auto"/>
        </w:rPr>
        <w:t>. No consent, approval, authorization, order, registration or qualification of or with any Governmental Authority is required for the execution, delivery and performance by the Company of this Agreement, the issuance and sale by the Company of the Placement Shares, except for the registration of the Placement Shares under the Securities Act and such consents, approvals, authorizations, orders and registrations or qualifications as may be required under applicable state securities laws or by the by</w:t>
      </w:r>
      <w:r>
        <w:rPr>
          <w:rFonts w:ascii="MS PGothic" w:cs="MS PGothic" w:eastAsia="MS PGothic" w:hAnsi="MS PGothic"/>
          <w:sz w:val="22"/>
          <w:szCs w:val="22"/>
          <w:color w:val="auto"/>
        </w:rPr>
        <w:t>‑</w:t>
      </w:r>
      <w:r>
        <w:rPr>
          <w:rFonts w:ascii="Arial" w:cs="Arial" w:eastAsia="Arial" w:hAnsi="Arial"/>
          <w:sz w:val="22"/>
          <w:szCs w:val="22"/>
          <w:color w:val="auto"/>
        </w:rPr>
        <w:t>laws and rules of the Financial Industry Regulatory Authority (“</w:t>
      </w:r>
      <w:r>
        <w:rPr>
          <w:rFonts w:ascii="Arial" w:cs="Arial" w:eastAsia="Arial" w:hAnsi="Arial"/>
          <w:sz w:val="22"/>
          <w:szCs w:val="22"/>
          <w:b w:val="1"/>
          <w:bCs w:val="1"/>
          <w:u w:val="single" w:color="auto"/>
          <w:color w:val="auto"/>
        </w:rPr>
        <w:t>FINRA</w:t>
      </w:r>
      <w:r>
        <w:rPr>
          <w:rFonts w:ascii="Arial" w:cs="Arial" w:eastAsia="Arial" w:hAnsi="Arial"/>
          <w:sz w:val="22"/>
          <w:szCs w:val="22"/>
          <w:color w:val="auto"/>
        </w:rPr>
        <w:t>”) or the Exchange in connection with the sale of the Placement Shares by the Agent.</w:t>
      </w:r>
    </w:p>
    <w:p>
      <w:pPr>
        <w:spacing w:after="0" w:line="191" w:lineRule="exact"/>
        <w:rPr>
          <w:rFonts w:ascii="Arial" w:cs="Arial" w:eastAsia="Arial" w:hAnsi="Arial"/>
          <w:sz w:val="22"/>
          <w:szCs w:val="22"/>
          <w:color w:val="auto"/>
        </w:rPr>
      </w:pPr>
    </w:p>
    <w:p>
      <w:pPr>
        <w:ind w:left="2021" w:hanging="724"/>
        <w:spacing w:after="0"/>
        <w:tabs>
          <w:tab w:leader="none" w:pos="2021" w:val="left"/>
        </w:tabs>
        <w:numPr>
          <w:ilvl w:val="1"/>
          <w:numId w:val="15"/>
        </w:numPr>
        <w:rPr>
          <w:rFonts w:ascii="Arial" w:cs="Arial" w:eastAsia="Arial" w:hAnsi="Arial"/>
          <w:sz w:val="19"/>
          <w:szCs w:val="19"/>
          <w:color w:val="auto"/>
        </w:rPr>
      </w:pPr>
      <w:r>
        <w:rPr>
          <w:rFonts w:ascii="Arial" w:cs="Arial" w:eastAsia="Arial" w:hAnsi="Arial"/>
          <w:sz w:val="19"/>
          <w:szCs w:val="19"/>
          <w:u w:val="single" w:color="auto"/>
          <w:color w:val="auto"/>
        </w:rPr>
        <w:t>No Preferential Rights</w:t>
      </w:r>
      <w:r>
        <w:rPr>
          <w:rFonts w:ascii="Arial" w:cs="Arial" w:eastAsia="Arial" w:hAnsi="Arial"/>
          <w:sz w:val="19"/>
          <w:szCs w:val="19"/>
          <w:color w:val="auto"/>
        </w:rPr>
        <w:t>. Except as set forth in the Registration Statement and the Prospectus,</w:t>
      </w:r>
    </w:p>
    <w:p>
      <w:pPr>
        <w:spacing w:after="0" w:line="42" w:lineRule="exact"/>
        <w:rPr>
          <w:rFonts w:ascii="Arial" w:cs="Arial" w:eastAsia="Arial" w:hAnsi="Arial"/>
          <w:sz w:val="19"/>
          <w:szCs w:val="19"/>
          <w:color w:val="auto"/>
        </w:rPr>
      </w:pPr>
    </w:p>
    <w:p>
      <w:pPr>
        <w:jc w:val="both"/>
        <w:ind w:left="1" w:hanging="1"/>
        <w:spacing w:after="0" w:line="270" w:lineRule="auto"/>
        <w:tabs>
          <w:tab w:leader="none" w:pos="264" w:val="left"/>
        </w:tabs>
        <w:numPr>
          <w:ilvl w:val="0"/>
          <w:numId w:val="16"/>
        </w:numPr>
        <w:rPr>
          <w:rFonts w:ascii="Arial" w:cs="Arial" w:eastAsia="Arial" w:hAnsi="Arial"/>
          <w:sz w:val="19"/>
          <w:szCs w:val="19"/>
          <w:color w:val="auto"/>
        </w:rPr>
      </w:pPr>
      <w:r>
        <w:rPr>
          <w:rFonts w:ascii="Arial" w:cs="Arial" w:eastAsia="Arial" w:hAnsi="Arial"/>
          <w:sz w:val="19"/>
          <w:szCs w:val="19"/>
          <w:color w:val="auto"/>
        </w:rPr>
        <w:t>no person, as such term is defined in Rule 1-02 of Regulation S-X promulgated under the Securities Act (each, a “</w:t>
      </w:r>
      <w:r>
        <w:rPr>
          <w:rFonts w:ascii="Arial" w:cs="Arial" w:eastAsia="Arial" w:hAnsi="Arial"/>
          <w:sz w:val="19"/>
          <w:szCs w:val="19"/>
          <w:b w:val="1"/>
          <w:bCs w:val="1"/>
          <w:u w:val="single" w:color="auto"/>
          <w:color w:val="auto"/>
        </w:rPr>
        <w:t>Person</w:t>
      </w:r>
      <w:r>
        <w:rPr>
          <w:rFonts w:ascii="Arial" w:cs="Arial" w:eastAsia="Arial" w:hAnsi="Arial"/>
          <w:sz w:val="19"/>
          <w:szCs w:val="19"/>
          <w:color w:val="auto"/>
        </w:rPr>
        <w:t>”), has the right, contractual or otherwise, to cause the Company to issue or sell to such Person any Common Stock or shares of any other capital stock or other securities of the Company (other than upon the exercise of options or warrants to purchase Common Stock or upon the exercise of options or other securities that may be granted from time to time under the Company’s equity incentive plans and which are disclosed in the Registration Statement and Prospectus), (ii) no Person has any preemptive rights, resale rights, rights of first refusal, rights of co-sale, or any other rights (whether pursuant to a “poison pill” provision or otherwise) to purchase any Common Stock or shares of any other capital stock or other securities of the Company, (iii) no Person has the right to act as an underwriter or as a financial advisor to the Company in connection with the offer and sale of the Placement Shares, and (iv) no Person has the right, contractual or otherwise, to require the Company to register under the Securities Act any Common Stock or shares of any other capital stock or other securities of the Company, or to include any such shares or other securities in the Registration Statement or the offering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12" w:name="page13"/>
    <w:bookmarkEnd w:id="12"/>
    <w:p>
      <w:pPr>
        <w:jc w:val="both"/>
        <w:spacing w:after="0"/>
        <w:rPr>
          <w:sz w:val="20"/>
          <w:szCs w:val="20"/>
          <w:color w:val="auto"/>
        </w:rPr>
      </w:pPr>
      <w:r>
        <w:rPr>
          <w:rFonts w:ascii="Arial" w:cs="Arial" w:eastAsia="Arial" w:hAnsi="Arial"/>
          <w:sz w:val="22"/>
          <w:szCs w:val="22"/>
          <w:color w:val="auto"/>
        </w:rPr>
        <w:t>contemplated thereby, whether as a result of the filing or effectiveness of the Registration Statement or the sale of the Placement Shares as contemplated thereby or otherwise, except for such rights as have been waived in writing on or prior to the date hereof.</w:t>
      </w:r>
    </w:p>
    <w:p>
      <w:pPr>
        <w:spacing w:after="0" w:line="180" w:lineRule="exact"/>
        <w:rPr>
          <w:sz w:val="20"/>
          <w:szCs w:val="20"/>
          <w:color w:val="auto"/>
        </w:rPr>
      </w:pPr>
    </w:p>
    <w:p>
      <w:pPr>
        <w:jc w:val="both"/>
        <w:ind w:firstLine="1296"/>
        <w:spacing w:after="0" w:line="247" w:lineRule="auto"/>
        <w:tabs>
          <w:tab w:leader="none" w:pos="1981"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Independent Public Accounting Firm</w:t>
      </w:r>
      <w:r>
        <w:rPr>
          <w:rFonts w:ascii="Arial" w:cs="Arial" w:eastAsia="Arial" w:hAnsi="Arial"/>
          <w:sz w:val="21"/>
          <w:szCs w:val="21"/>
          <w:color w:val="auto"/>
        </w:rPr>
        <w:t>. Ernst &amp; Young LLP (the “</w:t>
      </w:r>
      <w:r>
        <w:rPr>
          <w:rFonts w:ascii="Arial" w:cs="Arial" w:eastAsia="Arial" w:hAnsi="Arial"/>
          <w:sz w:val="21"/>
          <w:szCs w:val="21"/>
          <w:b w:val="1"/>
          <w:bCs w:val="1"/>
          <w:u w:val="single" w:color="auto"/>
          <w:color w:val="auto"/>
        </w:rPr>
        <w:t>Accountant</w:t>
      </w:r>
      <w:r>
        <w:rPr>
          <w:rFonts w:ascii="Arial" w:cs="Arial" w:eastAsia="Arial" w:hAnsi="Arial"/>
          <w:sz w:val="21"/>
          <w:szCs w:val="21"/>
          <w:color w:val="auto"/>
        </w:rPr>
        <w:t>”), whose report on the financial statements of the Company is filed with the Commission as part of the Company’s most recent Annual Report on Form 10-K filed with the Commission and incorporated by reference into the Registration Statement and the Prospectus, is, and during the periods covered by the Accountant’s report was, an independent registered public accounting firm within the meaning of the Securities Act and the Public Company Accounting Oversight Board (United States) (the “</w:t>
      </w:r>
      <w:r>
        <w:rPr>
          <w:rFonts w:ascii="Arial" w:cs="Arial" w:eastAsia="Arial" w:hAnsi="Arial"/>
          <w:sz w:val="21"/>
          <w:szCs w:val="21"/>
          <w:b w:val="1"/>
          <w:bCs w:val="1"/>
          <w:u w:val="single" w:color="auto"/>
          <w:color w:val="auto"/>
        </w:rPr>
        <w:t>PCAOB</w:t>
      </w:r>
      <w:r>
        <w:rPr>
          <w:rFonts w:ascii="Arial" w:cs="Arial" w:eastAsia="Arial" w:hAnsi="Arial"/>
          <w:sz w:val="21"/>
          <w:szCs w:val="21"/>
          <w:color w:val="auto"/>
        </w:rPr>
        <w:t>”). To the Company’s knowledge, the Accountant is not in violation of the auditor independence requirements of the Sarbanes-Oxley Act of 2002 (the “</w:t>
      </w:r>
      <w:r>
        <w:rPr>
          <w:rFonts w:ascii="Arial" w:cs="Arial" w:eastAsia="Arial" w:hAnsi="Arial"/>
          <w:sz w:val="21"/>
          <w:szCs w:val="21"/>
          <w:b w:val="1"/>
          <w:bCs w:val="1"/>
          <w:u w:val="single" w:color="auto"/>
          <w:color w:val="auto"/>
        </w:rPr>
        <w:t>Sarbanes-Oxley Act</w:t>
      </w:r>
      <w:r>
        <w:rPr>
          <w:rFonts w:ascii="Arial" w:cs="Arial" w:eastAsia="Arial" w:hAnsi="Arial"/>
          <w:sz w:val="21"/>
          <w:szCs w:val="21"/>
          <w:color w:val="auto"/>
        </w:rPr>
        <w:t>”) with respect to the Company.</w:t>
      </w:r>
    </w:p>
    <w:p>
      <w:pPr>
        <w:spacing w:after="0" w:line="178" w:lineRule="exact"/>
        <w:rPr>
          <w:rFonts w:ascii="Arial" w:cs="Arial" w:eastAsia="Arial" w:hAnsi="Arial"/>
          <w:sz w:val="21"/>
          <w:szCs w:val="21"/>
          <w:color w:val="auto"/>
        </w:rPr>
      </w:pPr>
    </w:p>
    <w:p>
      <w:pPr>
        <w:jc w:val="both"/>
        <w:ind w:firstLine="1296"/>
        <w:spacing w:after="0" w:line="273" w:lineRule="auto"/>
        <w:tabs>
          <w:tab w:leader="none" w:pos="2062"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No Litigation</w:t>
      </w:r>
      <w:r>
        <w:rPr>
          <w:rFonts w:ascii="Arial" w:cs="Arial" w:eastAsia="Arial" w:hAnsi="Arial"/>
          <w:sz w:val="19"/>
          <w:szCs w:val="19"/>
          <w:color w:val="auto"/>
        </w:rPr>
        <w:t>. Except as set forth in the Registration Statement or the Prospectus, there are no legal, governmental or regulatory actions, suits, or proceedings pending, nor, to the Company’s knowledge, any legal, governmental or regulatory audits or investigations, to which the Company is a party or of which any property of the Company is the subject that, if determined adversely to the Company, would reasonably be expected to have a Material Adverse Effect, and, to the Company’s knowledge, no such actions, suits or proceedings are threatened by any Governmental Authority or threatened by others that, individually or in the aggregate, if determined adversely to the Company, would reasonably be expected to have a Material Adverse Effect; and (i) there are no pending legal, governmental or regulatory audits, actions, suits or proceedings, or, to the Company’s knowledge, investigations, that are required under the Securities Act to be described in the Prospectus that are not so described; and (ii) there are no contracts or other documents that are required under the Securities Act to be filed as exhibits to the Registration Statement that are not so filed.</w:t>
      </w:r>
    </w:p>
    <w:p>
      <w:pPr>
        <w:spacing w:after="0" w:line="156" w:lineRule="exact"/>
        <w:rPr>
          <w:rFonts w:ascii="Arial" w:cs="Arial" w:eastAsia="Arial" w:hAnsi="Arial"/>
          <w:sz w:val="19"/>
          <w:szCs w:val="19"/>
          <w:color w:val="auto"/>
        </w:rPr>
      </w:pPr>
    </w:p>
    <w:p>
      <w:pPr>
        <w:jc w:val="both"/>
        <w:ind w:firstLine="1296"/>
        <w:spacing w:after="0" w:line="279" w:lineRule="auto"/>
        <w:tabs>
          <w:tab w:leader="none" w:pos="2089"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Permits</w:t>
      </w:r>
      <w:r>
        <w:rPr>
          <w:rFonts w:ascii="Arial" w:cs="Arial" w:eastAsia="Arial" w:hAnsi="Arial"/>
          <w:sz w:val="19"/>
          <w:szCs w:val="19"/>
          <w:color w:val="auto"/>
        </w:rPr>
        <w:t>. The Company possesses all licenses, certificates, permits and other authorizations issued by all applicable authorities necessary to conduct its business, and the Company has not received any notice of proceedings relating to the revocation or modification of any such certificate, authorization or permit which, singly or in the aggregate, if the subject of an unfavorable decision, ruling or finding, would have a Material Adverse Effect, whether or not arising from transactions in the ordinary course of business, except as set forth in or contemplated in the Disclosure Package and the Prospectus (exclusive of any supplement thereto).</w:t>
      </w:r>
    </w:p>
    <w:p>
      <w:pPr>
        <w:spacing w:after="0" w:line="150" w:lineRule="exact"/>
        <w:rPr>
          <w:rFonts w:ascii="Arial" w:cs="Arial" w:eastAsia="Arial" w:hAnsi="Arial"/>
          <w:sz w:val="19"/>
          <w:szCs w:val="19"/>
          <w:color w:val="auto"/>
        </w:rPr>
      </w:pPr>
    </w:p>
    <w:p>
      <w:pPr>
        <w:jc w:val="both"/>
        <w:ind w:firstLine="1296"/>
        <w:spacing w:after="0" w:line="244" w:lineRule="auto"/>
        <w:tabs>
          <w:tab w:leader="none" w:pos="1958"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Regulatory Filings</w:t>
      </w:r>
      <w:r>
        <w:rPr>
          <w:rFonts w:ascii="Arial" w:cs="Arial" w:eastAsia="Arial" w:hAnsi="Arial"/>
          <w:sz w:val="21"/>
          <w:szCs w:val="21"/>
          <w:color w:val="auto"/>
        </w:rPr>
        <w:t>. Except as described in the Registration Statement and Prospectus, and as would not, individually or in the aggregate, result in a Material Adverse Effect: (i) the Company and, to its knowledge, its Collaborators are and have been in compliance with statutes, laws, ordinances, rules and regulations applicable to the Company and its Collaborators for the ownership, testing, development, manufacture, packaging, processing, use, labeling, storage, or disposal of any product manufactured by or on behalf of the Company or out-licensed by the Company to such Collaborator (a “</w:t>
      </w:r>
      <w:r>
        <w:rPr>
          <w:rFonts w:ascii="Arial" w:cs="Arial" w:eastAsia="Arial" w:hAnsi="Arial"/>
          <w:sz w:val="21"/>
          <w:szCs w:val="21"/>
          <w:b w:val="1"/>
          <w:bCs w:val="1"/>
          <w:u w:val="single" w:color="auto"/>
          <w:color w:val="auto"/>
        </w:rPr>
        <w:t>Company Product</w:t>
      </w:r>
      <w:r>
        <w:rPr>
          <w:rFonts w:ascii="Arial" w:cs="Arial" w:eastAsia="Arial" w:hAnsi="Arial"/>
          <w:sz w:val="21"/>
          <w:szCs w:val="21"/>
          <w:color w:val="auto"/>
        </w:rPr>
        <w:t>”), including without limitation, the Federal Food, Drug, and Cosmetic Act, 21 U.S.C. §301, et seq., the Public Health Service Act, 42 U.S.C. §262, similar laws of other governmental entities and the regulations promulgated pursuant to such laws (collectively, “</w:t>
      </w:r>
      <w:r>
        <w:rPr>
          <w:rFonts w:ascii="Arial" w:cs="Arial" w:eastAsia="Arial" w:hAnsi="Arial"/>
          <w:sz w:val="21"/>
          <w:szCs w:val="21"/>
          <w:b w:val="1"/>
          <w:bCs w:val="1"/>
          <w:u w:val="single" w:color="auto"/>
          <w:color w:val="auto"/>
        </w:rPr>
        <w:t>Applicable</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Laws</w:t>
      </w:r>
      <w:r>
        <w:rPr>
          <w:rFonts w:ascii="Arial" w:cs="Arial" w:eastAsia="Arial" w:hAnsi="Arial"/>
          <w:sz w:val="21"/>
          <w:szCs w:val="21"/>
          <w:color w:val="auto"/>
        </w:rPr>
        <w:t>”); (ii) the Company and, to its knowledge, its Collaborators, possess all licenses, certificates, approvals,</w:t>
      </w:r>
      <w:r>
        <w:rPr>
          <w:rFonts w:ascii="Arial" w:cs="Arial" w:eastAsia="Arial" w:hAnsi="Arial"/>
          <w:sz w:val="21"/>
          <w:szCs w:val="21"/>
          <w:b w:val="1"/>
          <w:bCs w:val="1"/>
          <w:color w:val="auto"/>
        </w:rPr>
        <w:t xml:space="preserve"> </w:t>
      </w:r>
      <w:r>
        <w:rPr>
          <w:rFonts w:ascii="Arial" w:cs="Arial" w:eastAsia="Arial" w:hAnsi="Arial"/>
          <w:sz w:val="21"/>
          <w:szCs w:val="21"/>
          <w:color w:val="auto"/>
        </w:rPr>
        <w:t>authorizations, permits and supplements or amendments thereto required by any such Applicable Laws and/or for the ownership of its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3" w:name="page14"/>
    <w:bookmarkEnd w:id="13"/>
    <w:p>
      <w:pPr>
        <w:jc w:val="both"/>
        <w:ind w:left="1"/>
        <w:spacing w:after="0" w:line="269" w:lineRule="auto"/>
        <w:rPr>
          <w:sz w:val="20"/>
          <w:szCs w:val="20"/>
          <w:color w:val="auto"/>
        </w:rPr>
      </w:pPr>
      <w:r>
        <w:rPr>
          <w:rFonts w:ascii="Arial" w:cs="Arial" w:eastAsia="Arial" w:hAnsi="Arial"/>
          <w:sz w:val="19"/>
          <w:szCs w:val="19"/>
          <w:color w:val="auto"/>
        </w:rPr>
        <w:t>properties or the conduct of its business as it relates to a Company Product and as described in the Registration Statement and the Prospectus (collectively, “</w:t>
      </w:r>
      <w:r>
        <w:rPr>
          <w:rFonts w:ascii="Arial" w:cs="Arial" w:eastAsia="Arial" w:hAnsi="Arial"/>
          <w:sz w:val="19"/>
          <w:szCs w:val="19"/>
          <w:b w:val="1"/>
          <w:bCs w:val="1"/>
          <w:u w:val="single" w:color="auto"/>
          <w:color w:val="auto"/>
        </w:rPr>
        <w:t>Authorizations</w:t>
      </w:r>
      <w:r>
        <w:rPr>
          <w:rFonts w:ascii="Arial" w:cs="Arial" w:eastAsia="Arial" w:hAnsi="Arial"/>
          <w:sz w:val="19"/>
          <w:szCs w:val="19"/>
          <w:color w:val="auto"/>
        </w:rPr>
        <w:t>”) and such Authorizations are valid and in full force and effect and the Company and, to its knowledge, its Collaborators are not in violation of any term of any such Authorizations; (iii) neither the Company nor, to its knowledge, its Collaborators, have received any written notice of adverse finding, warning letter or other written correspondence or notice from the U.S. Food and Drug Administration (“</w:t>
      </w:r>
      <w:r>
        <w:rPr>
          <w:rFonts w:ascii="Arial" w:cs="Arial" w:eastAsia="Arial" w:hAnsi="Arial"/>
          <w:sz w:val="19"/>
          <w:szCs w:val="19"/>
          <w:b w:val="1"/>
          <w:bCs w:val="1"/>
          <w:u w:val="single" w:color="auto"/>
          <w:color w:val="auto"/>
        </w:rPr>
        <w:t>FDA</w:t>
      </w:r>
      <w:r>
        <w:rPr>
          <w:rFonts w:ascii="Arial" w:cs="Arial" w:eastAsia="Arial" w:hAnsi="Arial"/>
          <w:sz w:val="19"/>
          <w:szCs w:val="19"/>
          <w:color w:val="auto"/>
        </w:rPr>
        <w:t>”) or any other governmental entity alleging or asserting noncompliance with any Applicable Laws or Authorizations relating to a Company Product; (iv) the Company has not received written notice of any ongoing claim, action, suit, proceeding, hearing, enforcement, investigation, arbitration or other action from any governmental entity or third party alleging that any Company Product, operation or activity related to a Company Product is in violation of any Applicable Laws or Authorizations or has any knowledge that any such governmental entity or third party is considering any such claim, litigation, arbitration, action, suit, investigation or proceeding, nor, to the best of the Company’s knowledge, has there been any noncompliance with or violation of any Applicable Laws by the Company or its Collaborators that could reasonably be expected to require the issuance of any such written notice or result in an investigation, corrective action, or enforcement action by FDA or similar governmental entity with respect to a Company Product; (v) the Company and, to its knowledge, its Collaborators have not received written notice that any governmental entity has taken, is taking or intends to take action to limit, suspend, modify or revoke any Authorizations or has any knowledge that any such governmental entity has threatened or is considering such action with respect to a Company Product; and (vi) the Company and, to its knowledge, its Collaborators have filed, obtained, maintained or submitted all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correct and not misleading on the date filed (or were corrected or supplemented by a subsequent submission). To the Company’s knowledge, neither the Company nor any of its directors, officers, employees or agents, has made, or caused the making of, any false statements on, or material omissions from, any other records or documentation prepared or maintained to comply with the requirements of the FDA or any other governmental entity.</w:t>
      </w:r>
    </w:p>
    <w:p>
      <w:pPr>
        <w:spacing w:after="0" w:line="200" w:lineRule="exact"/>
        <w:rPr>
          <w:sz w:val="20"/>
          <w:szCs w:val="20"/>
          <w:color w:val="auto"/>
        </w:rPr>
      </w:pPr>
    </w:p>
    <w:p>
      <w:pPr>
        <w:spacing w:after="0" w:line="214" w:lineRule="exact"/>
        <w:rPr>
          <w:sz w:val="20"/>
          <w:szCs w:val="20"/>
          <w:color w:val="auto"/>
        </w:rPr>
      </w:pPr>
    </w:p>
    <w:p>
      <w:pPr>
        <w:jc w:val="both"/>
        <w:ind w:left="1" w:firstLine="1296"/>
        <w:spacing w:after="0" w:line="268" w:lineRule="auto"/>
        <w:tabs>
          <w:tab w:leader="none" w:pos="2011" w:val="left"/>
        </w:tabs>
        <w:numPr>
          <w:ilvl w:val="1"/>
          <w:numId w:val="18"/>
        </w:numPr>
        <w:rPr>
          <w:rFonts w:ascii="Arial" w:cs="Arial" w:eastAsia="Arial" w:hAnsi="Arial"/>
          <w:sz w:val="19"/>
          <w:szCs w:val="19"/>
          <w:color w:val="auto"/>
        </w:rPr>
      </w:pPr>
      <w:r>
        <w:rPr>
          <w:rFonts w:ascii="Arial" w:cs="Arial" w:eastAsia="Arial" w:hAnsi="Arial"/>
          <w:sz w:val="19"/>
          <w:szCs w:val="19"/>
          <w:u w:val="single" w:color="auto"/>
          <w:color w:val="auto"/>
        </w:rPr>
        <w:t>Intellectual Property</w:t>
      </w:r>
      <w:r>
        <w:rPr>
          <w:rFonts w:ascii="Arial" w:cs="Arial" w:eastAsia="Arial" w:hAnsi="Arial"/>
          <w:sz w:val="19"/>
          <w:szCs w:val="19"/>
          <w:color w:val="auto"/>
        </w:rPr>
        <w:t>. Except as described in the Registration Statement and Prospectus, the Company owns, possesses, licenses or has other rights to use all foreign and domestic patents, patent applications, trade and service marks, trade and service mark registrations, trade names, copyrights, inventions, trade secrets, technology, Internet domain names, know-how and other intellectual property (collectively, the “</w:t>
      </w:r>
      <w:r>
        <w:rPr>
          <w:rFonts w:ascii="Arial" w:cs="Arial" w:eastAsia="Arial" w:hAnsi="Arial"/>
          <w:sz w:val="19"/>
          <w:szCs w:val="19"/>
          <w:b w:val="1"/>
          <w:bCs w:val="1"/>
          <w:u w:val="single" w:color="auto"/>
          <w:color w:val="auto"/>
        </w:rPr>
        <w:t>Intellectual</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Property</w:t>
      </w:r>
      <w:r>
        <w:rPr>
          <w:rFonts w:ascii="Arial" w:cs="Arial" w:eastAsia="Arial" w:hAnsi="Arial"/>
          <w:sz w:val="19"/>
          <w:szCs w:val="19"/>
          <w:color w:val="auto"/>
        </w:rPr>
        <w:t>”), necessary for the conduct of its business as now conducted except to the extent that the failure to own,</w:t>
      </w:r>
      <w:r>
        <w:rPr>
          <w:rFonts w:ascii="Arial" w:cs="Arial" w:eastAsia="Arial" w:hAnsi="Arial"/>
          <w:sz w:val="19"/>
          <w:szCs w:val="19"/>
          <w:b w:val="1"/>
          <w:bCs w:val="1"/>
          <w:color w:val="auto"/>
        </w:rPr>
        <w:t xml:space="preserve"> </w:t>
      </w:r>
      <w:r>
        <w:rPr>
          <w:rFonts w:ascii="Arial" w:cs="Arial" w:eastAsia="Arial" w:hAnsi="Arial"/>
          <w:sz w:val="19"/>
          <w:szCs w:val="19"/>
          <w:color w:val="auto"/>
        </w:rPr>
        <w:t>possess, license or otherwise hold adequate rights to use such Intellectual Property would not, individually or in the aggregate, reasonably be expected to have a Material Adverse Effect. Except as described in the Registration Statement and Prospectus, and except in each of (i) through (vii) below, as would not, individually or in the aggregate, reasonably be expected to result in a Material Adverse Effect: (i) to the Company’s knowledge, there are no rights of third parties to any such Intellectual Property owned by the Company, except for rights granted to independent contractors of the Company or to academic or other research institutions under research agreements;</w:t>
      </w:r>
    </w:p>
    <w:p>
      <w:pPr>
        <w:spacing w:after="0" w:line="8" w:lineRule="exact"/>
        <w:rPr>
          <w:rFonts w:ascii="Arial" w:cs="Arial" w:eastAsia="Arial" w:hAnsi="Arial"/>
          <w:sz w:val="19"/>
          <w:szCs w:val="19"/>
          <w:color w:val="auto"/>
        </w:rPr>
      </w:pPr>
    </w:p>
    <w:p>
      <w:pPr>
        <w:ind w:left="361" w:hanging="361"/>
        <w:spacing w:after="0"/>
        <w:tabs>
          <w:tab w:leader="none" w:pos="361" w:val="left"/>
        </w:tabs>
        <w:numPr>
          <w:ilvl w:val="0"/>
          <w:numId w:val="19"/>
        </w:numPr>
        <w:rPr>
          <w:rFonts w:ascii="Arial" w:cs="Arial" w:eastAsia="Arial" w:hAnsi="Arial"/>
          <w:sz w:val="21"/>
          <w:szCs w:val="21"/>
          <w:color w:val="auto"/>
        </w:rPr>
      </w:pPr>
      <w:r>
        <w:rPr>
          <w:rFonts w:ascii="Arial" w:cs="Arial" w:eastAsia="Arial" w:hAnsi="Arial"/>
          <w:sz w:val="21"/>
          <w:szCs w:val="21"/>
          <w:color w:val="auto"/>
        </w:rPr>
        <w:t>to the Company’s knowledge, there is no infringement by third parties of any such Intellectual Property;</w:t>
      </w:r>
    </w:p>
    <w:p>
      <w:pPr>
        <w:spacing w:after="0" w:line="1" w:lineRule="exact"/>
        <w:rPr>
          <w:rFonts w:ascii="Arial" w:cs="Arial" w:eastAsia="Arial" w:hAnsi="Arial"/>
          <w:sz w:val="21"/>
          <w:szCs w:val="21"/>
          <w:color w:val="auto"/>
        </w:rPr>
      </w:pPr>
    </w:p>
    <w:p>
      <w:pPr>
        <w:ind w:left="1" w:hanging="1"/>
        <w:spacing w:after="0" w:line="237" w:lineRule="auto"/>
        <w:tabs>
          <w:tab w:leader="none" w:pos="407"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there is no pending or, to the Company’s knowledge, threatened action, suit, proceeding or claim by others challenging the Company’s rights in or to any such Intellectual Property; (iv) there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14" w:name="page15"/>
    <w:bookmarkEnd w:id="14"/>
    <w:p>
      <w:pPr>
        <w:jc w:val="both"/>
        <w:ind w:left="1"/>
        <w:spacing w:after="0" w:line="269" w:lineRule="auto"/>
        <w:rPr>
          <w:sz w:val="20"/>
          <w:szCs w:val="20"/>
          <w:color w:val="auto"/>
        </w:rPr>
      </w:pPr>
      <w:r>
        <w:rPr>
          <w:rFonts w:ascii="Arial" w:cs="Arial" w:eastAsia="Arial" w:hAnsi="Arial"/>
          <w:sz w:val="19"/>
          <w:szCs w:val="19"/>
          <w:color w:val="auto"/>
        </w:rPr>
        <w:t>is no pending or, to the Company’s knowledge, threatened action, suit, proceeding or claim by others challenging the validity or scope of any issued patent included in such Intellectual Property; (v) there is no pending or, to the Company’s knowledge, threatened action, suit, proceeding or claim by others that the Company infringes or otherwise violates any patent, trademark, copyright, trade secret or other proprietary rights of others; (vi) to the Company’s knowledge, there is no U.S. patent or published U.S. patent application owned by a third-party which contains claims for which an Interference Proceeding (as defined in 35 U.S.C. §135) has been commenced against any patent or patent application described in the Prospectus as being owned by or licensed to the Company; and</w:t>
      </w:r>
    </w:p>
    <w:p>
      <w:pPr>
        <w:spacing w:after="0" w:line="5" w:lineRule="exact"/>
        <w:rPr>
          <w:sz w:val="20"/>
          <w:szCs w:val="20"/>
          <w:color w:val="auto"/>
        </w:rPr>
      </w:pPr>
    </w:p>
    <w:p>
      <w:pPr>
        <w:ind w:left="1" w:hanging="1"/>
        <w:spacing w:after="0" w:line="256" w:lineRule="auto"/>
        <w:tabs>
          <w:tab w:leader="none" w:pos="473" w:val="left"/>
        </w:tabs>
        <w:numPr>
          <w:ilvl w:val="0"/>
          <w:numId w:val="20"/>
        </w:numPr>
        <w:rPr>
          <w:rFonts w:ascii="Arial" w:cs="Arial" w:eastAsia="Arial" w:hAnsi="Arial"/>
          <w:sz w:val="21"/>
          <w:szCs w:val="21"/>
          <w:color w:val="auto"/>
        </w:rPr>
      </w:pPr>
      <w:r>
        <w:rPr>
          <w:rFonts w:ascii="Arial" w:cs="Arial" w:eastAsia="Arial" w:hAnsi="Arial"/>
          <w:sz w:val="21"/>
          <w:szCs w:val="21"/>
          <w:color w:val="auto"/>
        </w:rPr>
        <w:t>the Company has not failed to comply with the terms of each agreement pursuant to which Intellectual Property has been licensed to the Company, and all such agreements are in full force and effect.</w:t>
      </w:r>
    </w:p>
    <w:p>
      <w:pPr>
        <w:spacing w:after="0" w:line="169" w:lineRule="exact"/>
        <w:rPr>
          <w:rFonts w:ascii="Arial" w:cs="Arial" w:eastAsia="Arial" w:hAnsi="Arial"/>
          <w:sz w:val="21"/>
          <w:szCs w:val="21"/>
          <w:color w:val="auto"/>
        </w:rPr>
      </w:pPr>
    </w:p>
    <w:p>
      <w:pPr>
        <w:jc w:val="both"/>
        <w:ind w:left="1" w:firstLine="1296"/>
        <w:spacing w:after="0" w:line="273" w:lineRule="auto"/>
        <w:tabs>
          <w:tab w:leader="none" w:pos="2339" w:val="left"/>
        </w:tabs>
        <w:numPr>
          <w:ilvl w:val="1"/>
          <w:numId w:val="20"/>
        </w:numPr>
        <w:rPr>
          <w:rFonts w:ascii="Arial" w:cs="Arial" w:eastAsia="Arial" w:hAnsi="Arial"/>
          <w:sz w:val="19"/>
          <w:szCs w:val="19"/>
          <w:color w:val="auto"/>
        </w:rPr>
      </w:pPr>
      <w:r>
        <w:rPr>
          <w:rFonts w:ascii="Arial" w:cs="Arial" w:eastAsia="Arial" w:hAnsi="Arial"/>
          <w:sz w:val="19"/>
          <w:szCs w:val="19"/>
          <w:u w:val="single" w:color="auto"/>
          <w:color w:val="auto"/>
        </w:rPr>
        <w:t>Clinical Studies</w:t>
      </w:r>
      <w:r>
        <w:rPr>
          <w:rFonts w:ascii="Arial" w:cs="Arial" w:eastAsia="Arial" w:hAnsi="Arial"/>
          <w:sz w:val="19"/>
          <w:szCs w:val="19"/>
          <w:color w:val="auto"/>
        </w:rPr>
        <w:t>. The clinical studies and tests conducted by the Company, or to the knowledge of the Company, by its Collaborators or on behalf of the Company, have been and, if still pending, are being conducted in all material respects pursuant to all Applicable Laws and Authorizations; the descriptions of the results of such clinical studies and tests contained in the Registration Statement and the Prospectus are accurate and complete in all material respects and fairly present the data derived from such clinical studies and tests; except to the extent disclosed in the Registration Statement and the Prospectus, the Company is not aware of any clinical studies or tests, the results of which the Company believes reasonably call into question the research, nonclinical or clinical study or test results described or referred to in the Registration Statement and the Prospectus when viewed in the context in which such results are described; and the Company has not received any written notices or correspondence from any governmental entity requiring the termination, suspension or material modification of any clinical study or test conducted by or on behalf of the Company.</w:t>
      </w:r>
    </w:p>
    <w:p>
      <w:pPr>
        <w:spacing w:after="0" w:line="156" w:lineRule="exact"/>
        <w:rPr>
          <w:rFonts w:ascii="Arial" w:cs="Arial" w:eastAsia="Arial" w:hAnsi="Arial"/>
          <w:sz w:val="19"/>
          <w:szCs w:val="19"/>
          <w:color w:val="auto"/>
        </w:rPr>
      </w:pPr>
    </w:p>
    <w:p>
      <w:pPr>
        <w:jc w:val="both"/>
        <w:ind w:left="1" w:firstLine="1296"/>
        <w:spacing w:after="0" w:line="274" w:lineRule="auto"/>
        <w:tabs>
          <w:tab w:leader="none" w:pos="2292" w:val="left"/>
        </w:tabs>
        <w:numPr>
          <w:ilvl w:val="1"/>
          <w:numId w:val="20"/>
        </w:numPr>
        <w:rPr>
          <w:rFonts w:ascii="Arial" w:cs="Arial" w:eastAsia="Arial" w:hAnsi="Arial"/>
          <w:sz w:val="19"/>
          <w:szCs w:val="19"/>
          <w:color w:val="auto"/>
        </w:rPr>
      </w:pPr>
      <w:r>
        <w:rPr>
          <w:rFonts w:ascii="Arial" w:cs="Arial" w:eastAsia="Arial" w:hAnsi="Arial"/>
          <w:sz w:val="19"/>
          <w:szCs w:val="19"/>
          <w:u w:val="single" w:color="auto"/>
          <w:color w:val="auto"/>
        </w:rPr>
        <w:t>Market Capitalization</w:t>
      </w:r>
      <w:r>
        <w:rPr>
          <w:rFonts w:ascii="Arial" w:cs="Arial" w:eastAsia="Arial" w:hAnsi="Arial"/>
          <w:sz w:val="19"/>
          <w:szCs w:val="19"/>
          <w:color w:val="auto"/>
        </w:rPr>
        <w:t>. At the time the Registration Statement was originally declared effective, and at the time the Company’s most recent Annual Report on Form 10-K was filed with the Commission, the Company met or will meet the then applicable requirements for the use of Form S-3 under the Securities Act, including, but not limited to, General Instruction I.B.1 of Form S-3. The Company satisfies the pre-1992 eligibility requirements for the use of a registration statement on Form S-3 in connection with this offering. The Company is not a shell company (as defined in Rule 405 under the Securities Act) and has not been a shell company for at least 12 calendar months previously and if it has been a shell company at any time previously, has filed current Form 10 information (as defined in General Instruction I.B.6 of Form S-3) with the Commission at least 12 calendar months previously reflecting its status as an entity that is not a shell company.</w:t>
      </w:r>
    </w:p>
    <w:p>
      <w:pPr>
        <w:spacing w:after="0" w:line="158" w:lineRule="exact"/>
        <w:rPr>
          <w:rFonts w:ascii="Arial" w:cs="Arial" w:eastAsia="Arial" w:hAnsi="Arial"/>
          <w:sz w:val="19"/>
          <w:szCs w:val="19"/>
          <w:color w:val="auto"/>
        </w:rPr>
      </w:pPr>
    </w:p>
    <w:p>
      <w:pPr>
        <w:jc w:val="both"/>
        <w:ind w:left="1" w:firstLine="1296"/>
        <w:spacing w:after="0" w:line="247" w:lineRule="auto"/>
        <w:tabs>
          <w:tab w:leader="none" w:pos="2090" w:val="left"/>
        </w:tabs>
        <w:numPr>
          <w:ilvl w:val="1"/>
          <w:numId w:val="20"/>
        </w:numPr>
        <w:rPr>
          <w:rFonts w:ascii="Arial" w:cs="Arial" w:eastAsia="Arial" w:hAnsi="Arial"/>
          <w:sz w:val="21"/>
          <w:szCs w:val="21"/>
          <w:color w:val="auto"/>
        </w:rPr>
      </w:pPr>
      <w:r>
        <w:rPr>
          <w:rFonts w:ascii="Arial" w:cs="Arial" w:eastAsia="Arial" w:hAnsi="Arial"/>
          <w:sz w:val="21"/>
          <w:szCs w:val="21"/>
          <w:u w:val="single" w:color="auto"/>
          <w:color w:val="auto"/>
        </w:rPr>
        <w:t>No Material Defaults</w:t>
      </w:r>
      <w:r>
        <w:rPr>
          <w:rFonts w:ascii="Arial" w:cs="Arial" w:eastAsia="Arial" w:hAnsi="Arial"/>
          <w:sz w:val="21"/>
          <w:szCs w:val="21"/>
          <w:color w:val="auto"/>
        </w:rPr>
        <w:t>. The Company has not defaulted on any installment on indebtedness for borrowed money or on any rental on one or more long-term leases, which defaults, individually or in the aggregate, would have a Material Adverse Effect. The Company has not filed a report pursuant to Section 13(a) or 15(d) of the Exchange Act since the filing of its last Annual Report on Form 10-K indicating that it (i) has failed to pay any dividend or sinking fund installment on preferred stock or (ii) has defaulted on any installment on indebtedness for borrowed money or on any rental on one or more long-term leases, which defaults, individually or in the aggregate, would have a Material Adverse Effect.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15" w:name="page16"/>
    <w:bookmarkEnd w:id="15"/>
    <w:p>
      <w:pPr>
        <w:jc w:val="both"/>
        <w:ind w:firstLine="1296"/>
        <w:spacing w:after="0" w:line="236" w:lineRule="auto"/>
        <w:tabs>
          <w:tab w:leader="none" w:pos="2056"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Certain Market Activities</w:t>
      </w:r>
      <w:r>
        <w:rPr>
          <w:rFonts w:ascii="Arial" w:cs="Arial" w:eastAsia="Arial" w:hAnsi="Arial"/>
          <w:sz w:val="22"/>
          <w:szCs w:val="22"/>
          <w:color w:val="auto"/>
        </w:rPr>
        <w:t>. Neither the Company, nor, to the Company’s knowledge, any of its respective directors, officers or controlling persons has taken, directly or indirectly, any action designed, or that has constituted or might reasonably be expected to cause or result in, under the Exchange Act or otherwise, the stabilization or manipulation of the price of any security of the Company to facilitate the sale or resale of the Placement Shares.</w:t>
      </w:r>
    </w:p>
    <w:p>
      <w:pPr>
        <w:spacing w:after="0" w:line="187" w:lineRule="exact"/>
        <w:rPr>
          <w:rFonts w:ascii="Arial" w:cs="Arial" w:eastAsia="Arial" w:hAnsi="Arial"/>
          <w:sz w:val="22"/>
          <w:szCs w:val="22"/>
          <w:color w:val="auto"/>
        </w:rPr>
      </w:pPr>
    </w:p>
    <w:p>
      <w:pPr>
        <w:jc w:val="both"/>
        <w:ind w:firstLine="1296"/>
        <w:spacing w:after="0" w:line="238" w:lineRule="auto"/>
        <w:tabs>
          <w:tab w:leader="none" w:pos="2116"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Broker/Dealer Relationships</w:t>
      </w:r>
      <w:r>
        <w:rPr>
          <w:rFonts w:ascii="Arial" w:cs="Arial" w:eastAsia="Arial" w:hAnsi="Arial"/>
          <w:sz w:val="22"/>
          <w:szCs w:val="22"/>
          <w:color w:val="auto"/>
        </w:rPr>
        <w:t>. The Company (i) is not required to register as a “broker” or “dealer” in accordance with the provisions of the Exchange Act and (ii) is not, and does not directly or indirectly through one or more intermediaries, control, a “person associated with a member” or “associated person of a member” (within the meaning set forth in the FINRA Manual).</w:t>
      </w:r>
    </w:p>
    <w:p>
      <w:pPr>
        <w:spacing w:after="0" w:line="185" w:lineRule="exact"/>
        <w:rPr>
          <w:rFonts w:ascii="Arial" w:cs="Arial" w:eastAsia="Arial" w:hAnsi="Arial"/>
          <w:sz w:val="22"/>
          <w:szCs w:val="22"/>
          <w:color w:val="auto"/>
        </w:rPr>
      </w:pPr>
    </w:p>
    <w:p>
      <w:pPr>
        <w:ind w:firstLine="1296"/>
        <w:spacing w:after="0" w:line="328" w:lineRule="auto"/>
        <w:tabs>
          <w:tab w:leader="none" w:pos="2021"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No Reliance</w:t>
      </w:r>
      <w:r>
        <w:rPr>
          <w:rFonts w:ascii="Arial" w:cs="Arial" w:eastAsia="Arial" w:hAnsi="Arial"/>
          <w:sz w:val="19"/>
          <w:szCs w:val="19"/>
          <w:color w:val="auto"/>
        </w:rPr>
        <w:t>. The Company has not relied upon the Agent or legal counsel for the Agent for any legal, tax or accounting advice in connection with the offering and sale of the Placement Shares.</w:t>
      </w:r>
    </w:p>
    <w:p>
      <w:pPr>
        <w:spacing w:after="0" w:line="105" w:lineRule="exact"/>
        <w:rPr>
          <w:rFonts w:ascii="Arial" w:cs="Arial" w:eastAsia="Arial" w:hAnsi="Arial"/>
          <w:sz w:val="19"/>
          <w:szCs w:val="19"/>
          <w:color w:val="auto"/>
        </w:rPr>
      </w:pPr>
    </w:p>
    <w:p>
      <w:pPr>
        <w:jc w:val="both"/>
        <w:ind w:firstLine="1296"/>
        <w:spacing w:after="0" w:line="275" w:lineRule="auto"/>
        <w:tabs>
          <w:tab w:leader="none" w:pos="2131"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Taxes</w:t>
      </w:r>
      <w:r>
        <w:rPr>
          <w:rFonts w:ascii="Arial" w:cs="Arial" w:eastAsia="Arial" w:hAnsi="Arial"/>
          <w:sz w:val="19"/>
          <w:szCs w:val="19"/>
          <w:color w:val="auto"/>
        </w:rPr>
        <w:t>. The Company has filed all federal, state, local and foreign tax returns which have been required to be filed and paid all taxes shown thereon through the date hereof, to the extent that such taxes have become due and are not being contested in good faith, except where the failure to so file or pay would not reasonably be expected to have a Material Adverse Effect. Except as otherwise disclosed in or contemplated by the Registration Statement or the Prospectus, no tax deficiency has been determined adversely to the Company which has had, or would reasonably be expected to have, individually or in the aggregate, a Material Adverse Effect. The Company has no knowledge of any federal, state or other governmental tax deficiency, penalty or assessment which has been asserted or threatened against it which would reasonably be expected to have a Material Adverse Effect.</w:t>
      </w:r>
    </w:p>
    <w:p>
      <w:pPr>
        <w:spacing w:after="0" w:line="158" w:lineRule="exact"/>
        <w:rPr>
          <w:sz w:val="20"/>
          <w:szCs w:val="20"/>
          <w:color w:val="auto"/>
        </w:rPr>
      </w:pPr>
    </w:p>
    <w:p>
      <w:pPr>
        <w:jc w:val="both"/>
        <w:ind w:firstLine="1296"/>
        <w:spacing w:after="0" w:line="271" w:lineRule="auto"/>
        <w:tabs>
          <w:tab w:leader="none" w:pos="2024"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Title to Real and Personal Property</w:t>
      </w:r>
      <w:r>
        <w:rPr>
          <w:rFonts w:ascii="Arial" w:cs="Arial" w:eastAsia="Arial" w:hAnsi="Arial"/>
          <w:sz w:val="19"/>
          <w:szCs w:val="19"/>
          <w:color w:val="auto"/>
        </w:rPr>
        <w:t>. Except as set forth in the Registration Statement or the Prospectus, the Company has good and valid title to all personal property described in the Registration Statement or Prospectus as being owned by it that are material to the businesses of the Company, in each case free and clear of all liens, encumbrances and claims, except those matters that (i) do not materially interfere with the use made and proposed to be made of such property by the Company or (ii) would not reasonably be expected, individually or in the aggregate, to have a Material Adverse Effect. The Company does not own any real property. Any real or personal property described in the Registration Statement or Prospectus as being leased by the Company is held by it under valid, existing and enforceable leases, except those that (A) do not materially interfere with the use made or proposed to be made of such property by the Company or (B) would not be reasonably expected, individually or in the aggregate, to have a Material Adverse Effect. To the Company’s knowledge, each of the properties of the Company complies in all material respects with all applicable codes, laws and regulations (including, without limitation, building and zoning codes, laws and regulations and laws relating to access to such properties), except if and to the extent disclosed in the Registration Statement or Prospectus or except for such failures to comply that would not, individually or in the aggregate, reasonably be expected to interfere in any material respect with the use made and proposed to be made of such property by the Company or otherwise have a Material Adverse Effect.</w:t>
      </w:r>
    </w:p>
    <w:p>
      <w:pPr>
        <w:spacing w:after="0" w:line="161" w:lineRule="exact"/>
        <w:rPr>
          <w:rFonts w:ascii="Arial" w:cs="Arial" w:eastAsia="Arial" w:hAnsi="Arial"/>
          <w:sz w:val="19"/>
          <w:szCs w:val="19"/>
          <w:color w:val="auto"/>
        </w:rPr>
      </w:pPr>
    </w:p>
    <w:p>
      <w:pPr>
        <w:ind w:firstLine="1296"/>
        <w:spacing w:after="0" w:line="251" w:lineRule="auto"/>
        <w:tabs>
          <w:tab w:leader="none" w:pos="2008"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Environmental Laws</w:t>
      </w:r>
      <w:r>
        <w:rPr>
          <w:rFonts w:ascii="Arial" w:cs="Arial" w:eastAsia="Arial" w:hAnsi="Arial"/>
          <w:sz w:val="22"/>
          <w:szCs w:val="22"/>
          <w:color w:val="auto"/>
        </w:rPr>
        <w:t>. Except as set forth in the Registration Statement or the Prospectus, the Company (i) is in compliance in all material respects with any and all</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6" w:name="page17"/>
    <w:bookmarkEnd w:id="16"/>
    <w:p>
      <w:pPr>
        <w:jc w:val="both"/>
        <w:spacing w:after="0" w:line="274" w:lineRule="auto"/>
        <w:rPr>
          <w:sz w:val="20"/>
          <w:szCs w:val="20"/>
          <w:color w:val="auto"/>
        </w:rPr>
      </w:pPr>
      <w:r>
        <w:rPr>
          <w:rFonts w:ascii="Arial" w:cs="Arial" w:eastAsia="Arial" w:hAnsi="Arial"/>
          <w:sz w:val="19"/>
          <w:szCs w:val="19"/>
          <w:color w:val="auto"/>
        </w:rPr>
        <w:t>applicable federal, state, local and foreign laws, rules, regulations, decisions and orders relating to the protection of human health and safety, the environment or hazardous or toxic substances or wastes, pollutants or contaminants (collectively, “</w:t>
      </w:r>
      <w:r>
        <w:rPr>
          <w:rFonts w:ascii="Arial" w:cs="Arial" w:eastAsia="Arial" w:hAnsi="Arial"/>
          <w:sz w:val="19"/>
          <w:szCs w:val="19"/>
          <w:b w:val="1"/>
          <w:bCs w:val="1"/>
          <w:u w:val="single" w:color="auto"/>
          <w:color w:val="auto"/>
        </w:rPr>
        <w:t>Environmental Laws</w:t>
      </w:r>
      <w:r>
        <w:rPr>
          <w:rFonts w:ascii="Arial" w:cs="Arial" w:eastAsia="Arial" w:hAnsi="Arial"/>
          <w:sz w:val="19"/>
          <w:szCs w:val="19"/>
          <w:color w:val="auto"/>
        </w:rPr>
        <w:t>”); (ii) has received and is in compliance in all material respects with all permits, licenses or other approvals required of it under applicable Environmental Laws to conduct its business as described in the Registration Statement and the Prospectus; and (iii) has not received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other approvals or liability as would not, individually or in the aggregate, reasonably be expected to have a Material Adverse Effect.</w:t>
      </w:r>
    </w:p>
    <w:p>
      <w:pPr>
        <w:spacing w:after="0" w:line="159" w:lineRule="exact"/>
        <w:rPr>
          <w:sz w:val="20"/>
          <w:szCs w:val="20"/>
          <w:color w:val="auto"/>
        </w:rPr>
      </w:pPr>
    </w:p>
    <w:p>
      <w:pPr>
        <w:jc w:val="both"/>
        <w:ind w:firstLine="1296"/>
        <w:spacing w:after="0" w:line="269" w:lineRule="auto"/>
        <w:tabs>
          <w:tab w:leader="none" w:pos="2159"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Disclosure Controls</w:t>
      </w:r>
      <w:r>
        <w:rPr>
          <w:rFonts w:ascii="Arial" w:cs="Arial" w:eastAsia="Arial" w:hAnsi="Arial"/>
          <w:sz w:val="19"/>
          <w:szCs w:val="19"/>
          <w:color w:val="auto"/>
        </w:rPr>
        <w:t>. 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As of the end of the Company’s most recently completed fiscal year, the Company’s internal control over financial reporting was effective and the Company was not aware of any material weaknesses in its internal control over financial reporting (other than as set forth in the Prospectus). Except as set forth in the Registration Statement or Prospectus, since the date of the latest audited financial statements of the Company included in the Prospectus, there have been no material weaknesses in the Company’s internal control over financial reporting (whether or not remediated) and, to the Company’s knowledge, there has been no change in the Company’s internal control over financial reporting that has materially and adversely affected, or is reasonably likely to materially and adversely affect, the Company’s internal control over financial reporting. The Company has established disclosure controls and procedures (as defined in Exchange Act Rules 13a-15 and 15d-15) for the Company and designed such disclosure controls and procedures to ensure that material information relating to the Company is made known to the certifying officers by others within the Company, particularly during the period in which the Company’s Annual Report on Form 10-K or Quarterly Report on Form 10-Q, as the case may be, is being prepared. To the extent required by law, the Company’s certifying officers have evaluated the effectiveness of the Company’s disclosure controls and procedures as of a date within 90 days prior to the filing date of the Annual Report on Form 10-K for the fiscal year most recently ended (such date, the “</w:t>
      </w:r>
      <w:r>
        <w:rPr>
          <w:rFonts w:ascii="Arial" w:cs="Arial" w:eastAsia="Arial" w:hAnsi="Arial"/>
          <w:sz w:val="19"/>
          <w:szCs w:val="19"/>
          <w:b w:val="1"/>
          <w:bCs w:val="1"/>
          <w:u w:val="single" w:color="auto"/>
          <w:color w:val="auto"/>
        </w:rPr>
        <w:t>Evaluation Date</w:t>
      </w:r>
      <w:r>
        <w:rPr>
          <w:rFonts w:ascii="Arial" w:cs="Arial" w:eastAsia="Arial" w:hAnsi="Arial"/>
          <w:sz w:val="19"/>
          <w:szCs w:val="19"/>
          <w:color w:val="auto"/>
        </w:rPr>
        <w:t>”). The Company presented in its Annual Report on Form 10-K for the fiscal year most recently ended the conclusions of the certifying officers about the effectiveness of the disclosure controls and procedures based on their evaluations as of the Evaluation Date and the disclosure controls and procedures are effective in all material respects for which they were established. Since the Evaluation Date, there have been no significant adverse changes in the Company’s internal controls (as such term is defined in Item 307(b) of Regulation S-K under the Securities Act) or, to the Company’s knowledge, in other factors that would significantly and adversely affect the Company’s internal controls.</w:t>
      </w:r>
    </w:p>
    <w:p>
      <w:pPr>
        <w:spacing w:after="0" w:line="167" w:lineRule="exact"/>
        <w:rPr>
          <w:rFonts w:ascii="Arial" w:cs="Arial" w:eastAsia="Arial" w:hAnsi="Arial"/>
          <w:sz w:val="19"/>
          <w:szCs w:val="19"/>
          <w:color w:val="auto"/>
        </w:rPr>
      </w:pPr>
    </w:p>
    <w:p>
      <w:pPr>
        <w:ind w:firstLine="1296"/>
        <w:spacing w:after="0" w:line="251" w:lineRule="auto"/>
        <w:tabs>
          <w:tab w:leader="none" w:pos="2143"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Sarbanes-Oxley</w:t>
      </w:r>
      <w:r>
        <w:rPr>
          <w:rFonts w:ascii="Arial" w:cs="Arial" w:eastAsia="Arial" w:hAnsi="Arial"/>
          <w:sz w:val="22"/>
          <w:szCs w:val="22"/>
          <w:color w:val="auto"/>
        </w:rPr>
        <w:t>. There is and has been no failure on the part of the Company or, to the Company’s knowledge, any of the Company’s directors or officers, in their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9"/>
          <w:szCs w:val="19"/>
          <w:color w:val="auto"/>
        </w:rPr>
        <w:t>capacities as such, to comply in all material respects with any applicable provisions of the Sarbanes-Oxley Act and the rules and regulations promulgated thereunder. Each of the principal executive officer and the principal financial officer of the Company (or each former principal executive officer of the Company and each former principal financial officer of the Company as applicable) has made the certifications required by Sections 302 and 906 of the Sarbanes-Oxley Act with respect to all reports, schedules, forms, statements and other documents required to be filed by it or furnished by it to the Commission. For purposes of the preceding sentence, “principal executive officer” and “principal financial officer” shall have the meanings given to such terms in the Sarbanes-Oxley Act.</w:t>
      </w:r>
    </w:p>
    <w:p>
      <w:pPr>
        <w:spacing w:after="0" w:line="153" w:lineRule="exact"/>
        <w:rPr>
          <w:sz w:val="20"/>
          <w:szCs w:val="20"/>
          <w:color w:val="auto"/>
        </w:rPr>
      </w:pPr>
    </w:p>
    <w:p>
      <w:pPr>
        <w:jc w:val="both"/>
        <w:ind w:firstLine="1296"/>
        <w:spacing w:after="0"/>
        <w:tabs>
          <w:tab w:leader="none" w:pos="2051"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Finder’s Fees</w:t>
      </w:r>
      <w:r>
        <w:rPr>
          <w:rFonts w:ascii="Arial" w:cs="Arial" w:eastAsia="Arial" w:hAnsi="Arial"/>
          <w:sz w:val="22"/>
          <w:szCs w:val="22"/>
          <w:color w:val="auto"/>
        </w:rPr>
        <w:t>. The Company has not incurred any liability for any finder’s fees, brokerage commissions or similar payments in connection with the transactions herein contemplated, except as may otherwise exist with respect to Agent pursuant to this Agreement.</w:t>
      </w:r>
    </w:p>
    <w:p>
      <w:pPr>
        <w:spacing w:after="0" w:line="186" w:lineRule="exact"/>
        <w:rPr>
          <w:rFonts w:ascii="Arial" w:cs="Arial" w:eastAsia="Arial" w:hAnsi="Arial"/>
          <w:sz w:val="22"/>
          <w:szCs w:val="22"/>
          <w:color w:val="auto"/>
        </w:rPr>
      </w:pPr>
    </w:p>
    <w:p>
      <w:pPr>
        <w:ind w:firstLine="1296"/>
        <w:spacing w:after="0" w:line="328" w:lineRule="auto"/>
        <w:tabs>
          <w:tab w:leader="none" w:pos="1959"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Labor Disputes</w:t>
      </w:r>
      <w:r>
        <w:rPr>
          <w:rFonts w:ascii="Arial" w:cs="Arial" w:eastAsia="Arial" w:hAnsi="Arial"/>
          <w:sz w:val="19"/>
          <w:szCs w:val="19"/>
          <w:color w:val="auto"/>
        </w:rPr>
        <w:t>. No labor dispute with employees of the Company exists or, to the knowledge of the Company, is threatened which would reasonably be expected to result in a Material Adverse Effect.</w:t>
      </w:r>
    </w:p>
    <w:p>
      <w:pPr>
        <w:spacing w:after="0" w:line="105" w:lineRule="exact"/>
        <w:rPr>
          <w:rFonts w:ascii="Arial" w:cs="Arial" w:eastAsia="Arial" w:hAnsi="Arial"/>
          <w:sz w:val="19"/>
          <w:szCs w:val="19"/>
          <w:color w:val="auto"/>
        </w:rPr>
      </w:pPr>
    </w:p>
    <w:p>
      <w:pPr>
        <w:jc w:val="both"/>
        <w:ind w:firstLine="1296"/>
        <w:spacing w:after="0" w:line="238" w:lineRule="auto"/>
        <w:tabs>
          <w:tab w:leader="none" w:pos="2075"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Investment Company Act</w:t>
      </w:r>
      <w:r>
        <w:rPr>
          <w:rFonts w:ascii="Arial" w:cs="Arial" w:eastAsia="Arial" w:hAnsi="Arial"/>
          <w:sz w:val="22"/>
          <w:szCs w:val="22"/>
          <w:color w:val="auto"/>
        </w:rPr>
        <w:t>. The Company is not and, after giving effect to the offering and sale of the Placement Shares will not be, an “investment company” or an entity “controlled” by an “investment company,” as such terms are defined in the Investment Company Act of 1940, as amended (the “</w:t>
      </w:r>
      <w:r>
        <w:rPr>
          <w:rFonts w:ascii="Arial" w:cs="Arial" w:eastAsia="Arial" w:hAnsi="Arial"/>
          <w:sz w:val="22"/>
          <w:szCs w:val="22"/>
          <w:b w:val="1"/>
          <w:bCs w:val="1"/>
          <w:u w:val="single" w:color="auto"/>
          <w:color w:val="auto"/>
        </w:rPr>
        <w:t>Investment</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Company Act</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jc w:val="both"/>
        <w:ind w:firstLine="1296"/>
        <w:spacing w:after="0" w:line="275" w:lineRule="auto"/>
        <w:tabs>
          <w:tab w:leader="none" w:pos="2129"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Operations</w:t>
      </w:r>
      <w:r>
        <w:rPr>
          <w:rFonts w:ascii="Arial" w:cs="Arial" w:eastAsia="Arial" w:hAnsi="Arial"/>
          <w:sz w:val="19"/>
          <w:szCs w:val="19"/>
          <w:color w:val="auto"/>
        </w:rPr>
        <w:t>. The operations of the Company are and have been conducted at all times in compliance in all material respects with applicable financial record keeping and reporting requirements of the Currency and Foreign Transactions Reporting Act of 1970, as amended, the money laundering statutes of all jurisdictions to which the Company is subject, the rules and regulations thereunder and any related or similar rules, regulations or guidelines, issued, administered or enforced by any Governmental Authority (collectively, the “</w:t>
      </w:r>
      <w:r>
        <w:rPr>
          <w:rFonts w:ascii="Arial" w:cs="Arial" w:eastAsia="Arial" w:hAnsi="Arial"/>
          <w:sz w:val="19"/>
          <w:szCs w:val="19"/>
          <w:b w:val="1"/>
          <w:bCs w:val="1"/>
          <w:u w:val="single" w:color="auto"/>
          <w:color w:val="auto"/>
        </w:rPr>
        <w:t>Money Laundering Laws</w:t>
      </w:r>
      <w:r>
        <w:rPr>
          <w:rFonts w:ascii="Arial" w:cs="Arial" w:eastAsia="Arial" w:hAnsi="Arial"/>
          <w:sz w:val="19"/>
          <w:szCs w:val="19"/>
          <w:color w:val="auto"/>
        </w:rPr>
        <w:t>”), except as would not reasonably be expected to result in a Material Adverse Effect; and no action, suit or proceeding by or before any Governmental Authority involving the Company with respect to the Money Laundering Laws is pending or, to the knowledge of the Company, threatened.</w:t>
      </w:r>
    </w:p>
    <w:p>
      <w:pPr>
        <w:spacing w:after="0" w:line="158" w:lineRule="exact"/>
        <w:rPr>
          <w:rFonts w:ascii="Arial" w:cs="Arial" w:eastAsia="Arial" w:hAnsi="Arial"/>
          <w:sz w:val="19"/>
          <w:szCs w:val="19"/>
          <w:color w:val="auto"/>
        </w:rPr>
      </w:pPr>
    </w:p>
    <w:p>
      <w:pPr>
        <w:jc w:val="both"/>
        <w:ind w:firstLine="1296"/>
        <w:spacing w:after="0" w:line="275" w:lineRule="auto"/>
        <w:tabs>
          <w:tab w:leader="none" w:pos="2290"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Off-Balance Sheet Arrangements</w:t>
      </w:r>
      <w:r>
        <w:rPr>
          <w:rFonts w:ascii="Arial" w:cs="Arial" w:eastAsia="Arial" w:hAnsi="Arial"/>
          <w:sz w:val="19"/>
          <w:szCs w:val="19"/>
          <w:color w:val="auto"/>
        </w:rPr>
        <w:t>. There are no transactions, arrangements and other relationships between and/or among the Company and/or, to the knowledge of the Company, any of its affiliates and any unconsolidated entity, including, but not limited to, any structural finance, special purpose or limited purpose entity (each, an “</w:t>
      </w:r>
      <w:r>
        <w:rPr>
          <w:rFonts w:ascii="Arial" w:cs="Arial" w:eastAsia="Arial" w:hAnsi="Arial"/>
          <w:sz w:val="19"/>
          <w:szCs w:val="19"/>
          <w:b w:val="1"/>
          <w:bCs w:val="1"/>
          <w:u w:val="single" w:color="auto"/>
          <w:color w:val="auto"/>
        </w:rPr>
        <w:t>Off-Balance Sheet Transaction</w:t>
      </w:r>
      <w:r>
        <w:rPr>
          <w:rFonts w:ascii="Arial" w:cs="Arial" w:eastAsia="Arial" w:hAnsi="Arial"/>
          <w:sz w:val="19"/>
          <w:szCs w:val="19"/>
          <w:color w:val="auto"/>
        </w:rPr>
        <w:t>”) that could reasonably be expected to affect materially the Company’s liquidity or the availability of or requirements for its capital resources, including those Off-Balance Sheet Transactions described in the Commission’s Statement about Management’s Discussion and Analysis of Financial Conditions and Results of Operations (Release Nos. 33-8056; 34-45321; FR-61), required to be described in the Prospectus which have not been described as required.</w:t>
      </w:r>
    </w:p>
    <w:p>
      <w:pPr>
        <w:spacing w:after="0" w:line="158" w:lineRule="exact"/>
        <w:rPr>
          <w:rFonts w:ascii="Arial" w:cs="Arial" w:eastAsia="Arial" w:hAnsi="Arial"/>
          <w:sz w:val="19"/>
          <w:szCs w:val="19"/>
          <w:color w:val="auto"/>
        </w:rPr>
      </w:pPr>
    </w:p>
    <w:p>
      <w:pPr>
        <w:ind w:firstLine="1296"/>
        <w:spacing w:after="0" w:line="251" w:lineRule="auto"/>
        <w:tabs>
          <w:tab w:leader="none" w:pos="2087"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Underwriter Agreements</w:t>
      </w:r>
      <w:r>
        <w:rPr>
          <w:rFonts w:ascii="Arial" w:cs="Arial" w:eastAsia="Arial" w:hAnsi="Arial"/>
          <w:sz w:val="22"/>
          <w:szCs w:val="22"/>
          <w:color w:val="auto"/>
        </w:rPr>
        <w:t>. The Company is not a party to any agreement with an agent or underwriter for any other “at-the-market” or continuous equity transaction.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18" w:name="page19"/>
    <w:bookmarkEnd w:id="18"/>
    <w:p>
      <w:pPr>
        <w:jc w:val="both"/>
        <w:ind w:left="1" w:firstLine="1296"/>
        <w:spacing w:after="0" w:line="272" w:lineRule="auto"/>
        <w:tabs>
          <w:tab w:leader="none" w:pos="2009" w:val="left"/>
        </w:tabs>
        <w:numPr>
          <w:ilvl w:val="1"/>
          <w:numId w:val="25"/>
        </w:numPr>
        <w:rPr>
          <w:rFonts w:ascii="Arial" w:cs="Arial" w:eastAsia="Arial" w:hAnsi="Arial"/>
          <w:sz w:val="19"/>
          <w:szCs w:val="19"/>
          <w:color w:val="auto"/>
        </w:rPr>
      </w:pPr>
      <w:r>
        <w:rPr>
          <w:rFonts w:ascii="Arial" w:cs="Arial" w:eastAsia="Arial" w:hAnsi="Arial"/>
          <w:sz w:val="19"/>
          <w:szCs w:val="19"/>
          <w:u w:val="single" w:color="auto"/>
          <w:color w:val="auto"/>
        </w:rPr>
        <w:t>ERISA</w:t>
      </w:r>
      <w:r>
        <w:rPr>
          <w:rFonts w:ascii="Arial" w:cs="Arial" w:eastAsia="Arial" w:hAnsi="Arial"/>
          <w:sz w:val="19"/>
          <w:szCs w:val="19"/>
          <w:color w:val="auto"/>
        </w:rPr>
        <w:t>. To the knowledge of the Company, each material employee benefit plan, within the meaning of Section 3(3) of the Employee Retirement Income Security Act of 1974, as amended (“</w:t>
      </w:r>
      <w:r>
        <w:rPr>
          <w:rFonts w:ascii="Arial" w:cs="Arial" w:eastAsia="Arial" w:hAnsi="Arial"/>
          <w:sz w:val="19"/>
          <w:szCs w:val="19"/>
          <w:b w:val="1"/>
          <w:bCs w:val="1"/>
          <w:u w:val="single" w:color="auto"/>
          <w:color w:val="auto"/>
        </w:rPr>
        <w:t>ERISA</w:t>
      </w:r>
      <w:r>
        <w:rPr>
          <w:rFonts w:ascii="Arial" w:cs="Arial" w:eastAsia="Arial" w:hAnsi="Arial"/>
          <w:sz w:val="19"/>
          <w:szCs w:val="19"/>
          <w:color w:val="auto"/>
        </w:rPr>
        <w:t>”), that is maintained, administered or contributed to by the Company or any of its affiliates for employees or former employees of the Company has been maintained in material compliance with the terms and requirements of any applicable statutes, orders, rules and regulations under ERISA and the Internal Revenue Code of 1986, as amended (the “</w:t>
      </w:r>
      <w:r>
        <w:rPr>
          <w:rFonts w:ascii="Arial" w:cs="Arial" w:eastAsia="Arial" w:hAnsi="Arial"/>
          <w:sz w:val="19"/>
          <w:szCs w:val="19"/>
          <w:b w:val="1"/>
          <w:bCs w:val="1"/>
          <w:u w:val="single" w:color="auto"/>
          <w:color w:val="auto"/>
        </w:rPr>
        <w:t>Code</w:t>
      </w:r>
      <w:r>
        <w:rPr>
          <w:rFonts w:ascii="Arial" w:cs="Arial" w:eastAsia="Arial" w:hAnsi="Arial"/>
          <w:sz w:val="19"/>
          <w:szCs w:val="19"/>
          <w:color w:val="auto"/>
        </w:rPr>
        <w:t>”); no prohibited transaction, within the meaning of Section 406 of ERISA or Section 4975 of the Code, has occurred which would result in a material liability to the Company with respect to any such plan excluding transactions effected pursuant to a statutory or administrative exemption; and for each such plan that is subject to the funding rules of Section 412 of the Code or Section 302 of ERISA, no “accumulated funding deficiency” as defined in Section 431 of the Code has been incurred, whether or not waived, and the fair market value of the assets of each such plan (excluding for these purposes accrued but unpaid contributions) exceeds the present value of all benefits accrued under such plan determined using reasonable actuarial assumptions.</w:t>
      </w:r>
    </w:p>
    <w:p>
      <w:pPr>
        <w:spacing w:after="0" w:line="161" w:lineRule="exact"/>
        <w:rPr>
          <w:rFonts w:ascii="Arial" w:cs="Arial" w:eastAsia="Arial" w:hAnsi="Arial"/>
          <w:sz w:val="19"/>
          <w:szCs w:val="19"/>
          <w:color w:val="auto"/>
        </w:rPr>
      </w:pPr>
    </w:p>
    <w:p>
      <w:pPr>
        <w:jc w:val="both"/>
        <w:ind w:left="1" w:firstLine="1296"/>
        <w:spacing w:after="0" w:line="252" w:lineRule="auto"/>
        <w:tabs>
          <w:tab w:leader="none" w:pos="2277" w:val="left"/>
        </w:tabs>
        <w:numPr>
          <w:ilvl w:val="1"/>
          <w:numId w:val="25"/>
        </w:numPr>
        <w:rPr>
          <w:rFonts w:ascii="Arial" w:cs="Arial" w:eastAsia="Arial" w:hAnsi="Arial"/>
          <w:sz w:val="21"/>
          <w:szCs w:val="21"/>
          <w:color w:val="auto"/>
        </w:rPr>
      </w:pPr>
      <w:r>
        <w:rPr>
          <w:rFonts w:ascii="Arial" w:cs="Arial" w:eastAsia="Arial" w:hAnsi="Arial"/>
          <w:sz w:val="21"/>
          <w:szCs w:val="21"/>
          <w:u w:val="single" w:color="auto"/>
          <w:color w:val="auto"/>
        </w:rPr>
        <w:t>Forward-Looking Statements</w:t>
      </w:r>
      <w:r>
        <w:rPr>
          <w:rFonts w:ascii="Arial" w:cs="Arial" w:eastAsia="Arial" w:hAnsi="Arial"/>
          <w:sz w:val="21"/>
          <w:szCs w:val="21"/>
          <w:color w:val="auto"/>
        </w:rPr>
        <w:t>. No forward-looking statement (within the meaning of Section 27A of the Securities Act and Section 21E of the Exchange Act) (a “</w:t>
      </w:r>
      <w:r>
        <w:rPr>
          <w:rFonts w:ascii="Arial" w:cs="Arial" w:eastAsia="Arial" w:hAnsi="Arial"/>
          <w:sz w:val="21"/>
          <w:szCs w:val="21"/>
          <w:b w:val="1"/>
          <w:bCs w:val="1"/>
          <w:u w:val="single" w:color="auto"/>
          <w:color w:val="auto"/>
        </w:rPr>
        <w:t>Forward-Looking Statement</w:t>
      </w:r>
      <w:r>
        <w:rPr>
          <w:rFonts w:ascii="Arial" w:cs="Arial" w:eastAsia="Arial" w:hAnsi="Arial"/>
          <w:sz w:val="21"/>
          <w:szCs w:val="21"/>
          <w:color w:val="auto"/>
        </w:rPr>
        <w:t>”) contained in the Registration Statement and the Prospectus (other than by incorporation by reference) has been made or reaffirmed without a reasonable basis or has been disclosed other than in good faith.</w:t>
      </w:r>
    </w:p>
    <w:p>
      <w:pPr>
        <w:spacing w:after="0" w:line="174" w:lineRule="exact"/>
        <w:rPr>
          <w:rFonts w:ascii="Arial" w:cs="Arial" w:eastAsia="Arial" w:hAnsi="Arial"/>
          <w:sz w:val="21"/>
          <w:szCs w:val="21"/>
          <w:color w:val="auto"/>
        </w:rPr>
      </w:pPr>
    </w:p>
    <w:p>
      <w:pPr>
        <w:jc w:val="both"/>
        <w:ind w:left="1" w:firstLine="1296"/>
        <w:spacing w:after="0" w:line="273" w:lineRule="auto"/>
        <w:tabs>
          <w:tab w:leader="none" w:pos="1994" w:val="left"/>
        </w:tabs>
        <w:numPr>
          <w:ilvl w:val="1"/>
          <w:numId w:val="25"/>
        </w:numPr>
        <w:rPr>
          <w:rFonts w:ascii="Arial" w:cs="Arial" w:eastAsia="Arial" w:hAnsi="Arial"/>
          <w:sz w:val="19"/>
          <w:szCs w:val="19"/>
          <w:color w:val="auto"/>
        </w:rPr>
      </w:pPr>
      <w:r>
        <w:rPr>
          <w:rFonts w:ascii="Arial" w:cs="Arial" w:eastAsia="Arial" w:hAnsi="Arial"/>
          <w:sz w:val="19"/>
          <w:szCs w:val="19"/>
          <w:u w:val="single" w:color="auto"/>
          <w:color w:val="auto"/>
        </w:rPr>
        <w:t>Agent Purchases</w:t>
      </w:r>
      <w:r>
        <w:rPr>
          <w:rFonts w:ascii="Arial" w:cs="Arial" w:eastAsia="Arial" w:hAnsi="Arial"/>
          <w:sz w:val="19"/>
          <w:szCs w:val="19"/>
          <w:color w:val="auto"/>
        </w:rPr>
        <w:t xml:space="preserve">. The Company acknowledges and agrees that the Agent has informed the Company that the Agent may, to the extent permitted under the Securities Act, the Exchange Act and the rules of the Exchange, purchase and sell Common Stock for its own account while this Agreement is in effect, </w:t>
      </w:r>
      <w:r>
        <w:rPr>
          <w:rFonts w:ascii="Arial" w:cs="Arial" w:eastAsia="Arial" w:hAnsi="Arial"/>
          <w:sz w:val="19"/>
          <w:szCs w:val="19"/>
          <w:i w:val="1"/>
          <w:iCs w:val="1"/>
          <w:color w:val="auto"/>
        </w:rPr>
        <w:t>provided</w:t>
      </w:r>
      <w:r>
        <w:rPr>
          <w:rFonts w:ascii="Arial" w:cs="Arial" w:eastAsia="Arial" w:hAnsi="Arial"/>
          <w:sz w:val="19"/>
          <w:szCs w:val="19"/>
          <w:color w:val="auto"/>
        </w:rPr>
        <w:t>, that</w:t>
      </w:r>
    </w:p>
    <w:p>
      <w:pPr>
        <w:spacing w:after="0" w:line="1" w:lineRule="exact"/>
        <w:rPr>
          <w:rFonts w:ascii="Arial" w:cs="Arial" w:eastAsia="Arial" w:hAnsi="Arial"/>
          <w:sz w:val="19"/>
          <w:szCs w:val="19"/>
          <w:color w:val="auto"/>
        </w:rPr>
      </w:pPr>
    </w:p>
    <w:p>
      <w:pPr>
        <w:jc w:val="both"/>
        <w:ind w:left="1" w:hanging="1"/>
        <w:spacing w:after="0" w:line="233" w:lineRule="auto"/>
        <w:tabs>
          <w:tab w:leader="none" w:pos="272" w:val="left"/>
        </w:tabs>
        <w:numPr>
          <w:ilvl w:val="0"/>
          <w:numId w:val="26"/>
        </w:numPr>
        <w:rPr>
          <w:rFonts w:ascii="Arial" w:cs="Arial" w:eastAsia="Arial" w:hAnsi="Arial"/>
          <w:sz w:val="22"/>
          <w:szCs w:val="22"/>
          <w:color w:val="auto"/>
        </w:rPr>
      </w:pPr>
      <w:r>
        <w:rPr>
          <w:rFonts w:ascii="Arial" w:cs="Arial" w:eastAsia="Arial" w:hAnsi="Arial"/>
          <w:sz w:val="22"/>
          <w:szCs w:val="22"/>
          <w:color w:val="auto"/>
        </w:rPr>
        <w:t>no such purchase or sales shall take place while a Placement Notice is in effect (except to the extent the Agent may engage in sales of Placement Shares purchased or deemed purchased from the Company as a “riskless principal” or in a similar capacity) and (ii) the Company shall not be deemed to have authorized or consented to any such purchases or sales by the Agent.</w:t>
      </w:r>
    </w:p>
    <w:p>
      <w:pPr>
        <w:spacing w:after="0" w:line="188" w:lineRule="exact"/>
        <w:rPr>
          <w:rFonts w:ascii="Arial" w:cs="Arial" w:eastAsia="Arial" w:hAnsi="Arial"/>
          <w:sz w:val="22"/>
          <w:szCs w:val="22"/>
          <w:color w:val="auto"/>
        </w:rPr>
      </w:pPr>
    </w:p>
    <w:p>
      <w:pPr>
        <w:jc w:val="both"/>
        <w:ind w:left="1" w:firstLine="1296"/>
        <w:spacing w:after="0" w:line="238" w:lineRule="auto"/>
        <w:tabs>
          <w:tab w:leader="none" w:pos="2184" w:val="left"/>
        </w:tabs>
        <w:numPr>
          <w:ilvl w:val="1"/>
          <w:numId w:val="26"/>
        </w:numPr>
        <w:rPr>
          <w:rFonts w:ascii="Arial" w:cs="Arial" w:eastAsia="Arial" w:hAnsi="Arial"/>
          <w:sz w:val="22"/>
          <w:szCs w:val="22"/>
          <w:color w:val="auto"/>
        </w:rPr>
      </w:pPr>
      <w:r>
        <w:rPr>
          <w:rFonts w:ascii="Arial" w:cs="Arial" w:eastAsia="Arial" w:hAnsi="Arial"/>
          <w:sz w:val="22"/>
          <w:szCs w:val="22"/>
          <w:u w:val="single" w:color="auto"/>
          <w:color w:val="auto"/>
        </w:rPr>
        <w:t>Margin Rules</w:t>
      </w:r>
      <w:r>
        <w:rPr>
          <w:rFonts w:ascii="Arial" w:cs="Arial" w:eastAsia="Arial" w:hAnsi="Arial"/>
          <w:sz w:val="22"/>
          <w:szCs w:val="22"/>
          <w:color w:val="auto"/>
        </w:rPr>
        <w:t>. Neither the issuance, sale and delivery of the Placement Shares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spacing w:after="0" w:line="185" w:lineRule="exact"/>
        <w:rPr>
          <w:rFonts w:ascii="Arial" w:cs="Arial" w:eastAsia="Arial" w:hAnsi="Arial"/>
          <w:sz w:val="22"/>
          <w:szCs w:val="22"/>
          <w:color w:val="auto"/>
        </w:rPr>
      </w:pPr>
    </w:p>
    <w:p>
      <w:pPr>
        <w:jc w:val="both"/>
        <w:ind w:left="1" w:firstLine="1296"/>
        <w:spacing w:after="0"/>
        <w:tabs>
          <w:tab w:leader="none" w:pos="2076" w:val="left"/>
        </w:tabs>
        <w:numPr>
          <w:ilvl w:val="1"/>
          <w:numId w:val="26"/>
        </w:numPr>
        <w:rPr>
          <w:rFonts w:ascii="Arial" w:cs="Arial" w:eastAsia="Arial" w:hAnsi="Arial"/>
          <w:sz w:val="22"/>
          <w:szCs w:val="22"/>
          <w:color w:val="auto"/>
        </w:rPr>
      </w:pPr>
      <w:r>
        <w:rPr>
          <w:rFonts w:ascii="Arial" w:cs="Arial" w:eastAsia="Arial" w:hAnsi="Arial"/>
          <w:sz w:val="22"/>
          <w:szCs w:val="22"/>
          <w:u w:val="single" w:color="auto"/>
          <w:color w:val="auto"/>
        </w:rPr>
        <w:t>Insurance</w:t>
      </w:r>
      <w:r>
        <w:rPr>
          <w:rFonts w:ascii="Arial" w:cs="Arial" w:eastAsia="Arial" w:hAnsi="Arial"/>
          <w:sz w:val="22"/>
          <w:szCs w:val="22"/>
          <w:color w:val="auto"/>
        </w:rPr>
        <w:t>. The Company carries or is covered by insurance in such amounts and covering such risks as the Company reasonably believes is adequate for the conduct of its business and as is customary for companies engaged in similar businesses in similar industries.</w:t>
      </w:r>
    </w:p>
    <w:p>
      <w:pPr>
        <w:spacing w:after="0" w:line="186" w:lineRule="exact"/>
        <w:rPr>
          <w:rFonts w:ascii="Arial" w:cs="Arial" w:eastAsia="Arial" w:hAnsi="Arial"/>
          <w:sz w:val="22"/>
          <w:szCs w:val="22"/>
          <w:color w:val="auto"/>
        </w:rPr>
      </w:pPr>
    </w:p>
    <w:p>
      <w:pPr>
        <w:jc w:val="both"/>
        <w:ind w:left="1" w:firstLine="1296"/>
        <w:spacing w:after="0" w:line="270" w:lineRule="auto"/>
        <w:tabs>
          <w:tab w:leader="none" w:pos="1982" w:val="left"/>
        </w:tabs>
        <w:numPr>
          <w:ilvl w:val="1"/>
          <w:numId w:val="26"/>
        </w:numPr>
        <w:rPr>
          <w:rFonts w:ascii="Arial" w:cs="Arial" w:eastAsia="Arial" w:hAnsi="Arial"/>
          <w:sz w:val="19"/>
          <w:szCs w:val="19"/>
          <w:color w:val="auto"/>
        </w:rPr>
      </w:pPr>
      <w:r>
        <w:rPr>
          <w:rFonts w:ascii="Arial" w:cs="Arial" w:eastAsia="Arial" w:hAnsi="Arial"/>
          <w:sz w:val="19"/>
          <w:szCs w:val="19"/>
          <w:u w:val="single" w:color="auto"/>
          <w:color w:val="auto"/>
        </w:rPr>
        <w:t>No Improper Practices</w:t>
      </w:r>
      <w:r>
        <w:rPr>
          <w:rFonts w:ascii="Arial" w:cs="Arial" w:eastAsia="Arial" w:hAnsi="Arial"/>
          <w:sz w:val="19"/>
          <w:szCs w:val="19"/>
          <w:color w:val="auto"/>
        </w:rPr>
        <w:t>. (i) Neither the Company, nor to the Company’s knowledge, any of its executive officers has, in the past five years, made any unlawful contributions to any candidate for any political office (or failed fully to disclose any contribution in violation of law) or made any contribution or other payment to any official of, or candidate for, any federal, state, municipal, or foreign office or other person charged with similar public or quasi-public duty in violation of any law or of the character required to be disclosed in the Prospectus;</w:t>
      </w:r>
    </w:p>
    <w:p>
      <w:pPr>
        <w:spacing w:after="0" w:line="4" w:lineRule="exact"/>
        <w:rPr>
          <w:rFonts w:ascii="Arial" w:cs="Arial" w:eastAsia="Arial" w:hAnsi="Arial"/>
          <w:sz w:val="19"/>
          <w:szCs w:val="19"/>
          <w:color w:val="auto"/>
        </w:rPr>
      </w:pPr>
    </w:p>
    <w:p>
      <w:pPr>
        <w:jc w:val="both"/>
        <w:ind w:left="1" w:hanging="1"/>
        <w:spacing w:after="0" w:line="234" w:lineRule="auto"/>
        <w:tabs>
          <w:tab w:leader="none" w:pos="328" w:val="left"/>
        </w:tabs>
        <w:numPr>
          <w:ilvl w:val="0"/>
          <w:numId w:val="27"/>
        </w:numPr>
        <w:rPr>
          <w:rFonts w:ascii="Arial" w:cs="Arial" w:eastAsia="Arial" w:hAnsi="Arial"/>
          <w:sz w:val="22"/>
          <w:szCs w:val="22"/>
          <w:color w:val="auto"/>
        </w:rPr>
      </w:pPr>
      <w:r>
        <w:rPr>
          <w:rFonts w:ascii="Arial" w:cs="Arial" w:eastAsia="Arial" w:hAnsi="Arial"/>
          <w:sz w:val="22"/>
          <w:szCs w:val="22"/>
          <w:color w:val="auto"/>
        </w:rPr>
        <w:t>no relationship, direct or indirect, exists between or among the Company or, to the Company’s knowledge, any of its affiliates, on the one hand, and the directors, officers and stockholders of the Company, on the other hand, that is required by the Securities Act to be described in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19" w:name="page20"/>
    <w:bookmarkEnd w:id="19"/>
    <w:p>
      <w:pPr>
        <w:jc w:val="both"/>
        <w:spacing w:after="0" w:line="271" w:lineRule="auto"/>
        <w:rPr>
          <w:sz w:val="20"/>
          <w:szCs w:val="20"/>
          <w:color w:val="auto"/>
        </w:rPr>
      </w:pPr>
      <w:r>
        <w:rPr>
          <w:rFonts w:ascii="Arial" w:cs="Arial" w:eastAsia="Arial" w:hAnsi="Arial"/>
          <w:sz w:val="19"/>
          <w:szCs w:val="19"/>
          <w:color w:val="auto"/>
        </w:rPr>
        <w:t>Registration Statement and the Prospectus that is not so described; (iii) no relationship, direct or indirect, exists between or among the Company or any affiliate of the Company, on the one hand, and the directors, officers, or stockholders of the Company, on the other hand, that is required by the rules of FINRA to be described in the Registration Statement and the Prospectus that is not so described; (iv) except as described in the Registration Statement and the Prospectus, there are no material outstanding loans or advances or material guarantees of indebtedness by the Company to or for the benefit of any of its officers or directors or any of the members of the families of any of them; (v) the Company has not offered, or directed any placement agent to offer, Common Stock to any person with the intent to influence unlawfully (A) a customer or supplier of the Company to alter the customer’s or supplier’s level or type of business with the Company or (B) a trade journalist or publication to write or publish favorable information about the Company or any of its products or services; and (vi) neither the Company nor, to the Company’s knowledge, any employee or agent of the Company, has made any payment of funds of the Company or received or retained any funds in violation of any law, rule or regulation (including, without limitation, the Foreign Corrupt Practices Act of 1977), which payment, receipt or retention of funds is of a character required to be disclosed in the Registration Statement or the Prospectus.</w:t>
      </w:r>
    </w:p>
    <w:p>
      <w:pPr>
        <w:spacing w:after="0" w:line="165" w:lineRule="exact"/>
        <w:rPr>
          <w:sz w:val="20"/>
          <w:szCs w:val="20"/>
          <w:color w:val="auto"/>
        </w:rPr>
      </w:pPr>
    </w:p>
    <w:p>
      <w:pPr>
        <w:jc w:val="both"/>
        <w:ind w:firstLine="1296"/>
        <w:spacing w:after="0"/>
        <w:tabs>
          <w:tab w:leader="none" w:pos="2116"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Status Under the Securities Act</w:t>
      </w:r>
      <w:r>
        <w:rPr>
          <w:rFonts w:ascii="Arial" w:cs="Arial" w:eastAsia="Arial" w:hAnsi="Arial"/>
          <w:sz w:val="22"/>
          <w:szCs w:val="22"/>
          <w:color w:val="auto"/>
        </w:rPr>
        <w:t>. The Company was not and is not an ineligible issuer as defined in Rule 405 under the Securities Act at the times specified in Rules 164 and 433 under the Securities Act in connection with the offering of the Placement Shares.</w:t>
      </w:r>
    </w:p>
    <w:p>
      <w:pPr>
        <w:spacing w:after="0" w:line="186" w:lineRule="exact"/>
        <w:rPr>
          <w:rFonts w:ascii="Arial" w:cs="Arial" w:eastAsia="Arial" w:hAnsi="Arial"/>
          <w:sz w:val="22"/>
          <w:szCs w:val="22"/>
          <w:color w:val="auto"/>
        </w:rPr>
      </w:pPr>
    </w:p>
    <w:p>
      <w:pPr>
        <w:jc w:val="both"/>
        <w:ind w:firstLine="1296"/>
        <w:spacing w:after="0" w:line="246" w:lineRule="auto"/>
        <w:tabs>
          <w:tab w:leader="none" w:pos="1976" w:val="left"/>
        </w:tabs>
        <w:numPr>
          <w:ilvl w:val="0"/>
          <w:numId w:val="28"/>
        </w:numPr>
        <w:rPr>
          <w:rFonts w:ascii="Arial" w:cs="Arial" w:eastAsia="Arial" w:hAnsi="Arial"/>
          <w:sz w:val="21"/>
          <w:szCs w:val="21"/>
          <w:color w:val="auto"/>
        </w:rPr>
      </w:pPr>
      <w:r>
        <w:rPr>
          <w:rFonts w:ascii="Arial" w:cs="Arial" w:eastAsia="Arial" w:hAnsi="Arial"/>
          <w:sz w:val="21"/>
          <w:szCs w:val="21"/>
          <w:u w:val="single" w:color="auto"/>
          <w:color w:val="auto"/>
        </w:rPr>
        <w:t>No Misstatement or Omission in an Issuer Free Writing Prospectus</w:t>
      </w:r>
      <w:r>
        <w:rPr>
          <w:rFonts w:ascii="Arial" w:cs="Arial" w:eastAsia="Arial" w:hAnsi="Arial"/>
          <w:sz w:val="21"/>
          <w:szCs w:val="21"/>
          <w:color w:val="auto"/>
        </w:rPr>
        <w:t>. Each Issuer Free Writing Prospectus, as of its issue date and as of each Applicable Time (as defined in Section 23 below), did not, does not and will not, through the completion of the Placement for which such Issuer Free Writing Prospectus is used, include any information that conflicted, conflicts or will conflict with the information contained in the Registration Statement or the Prospectus, including any Incorporated Documents deemed to be a part thereof, that has not been superseded or modified. The foregoing sentence does not apply to statements in or omissions from any Issuer Free Writing Prospectus based upon and in conformity with written information furnished to the Company by the Agent specifically for use therein.</w:t>
      </w:r>
    </w:p>
    <w:p>
      <w:pPr>
        <w:spacing w:after="0" w:line="180" w:lineRule="exact"/>
        <w:rPr>
          <w:rFonts w:ascii="Arial" w:cs="Arial" w:eastAsia="Arial" w:hAnsi="Arial"/>
          <w:sz w:val="21"/>
          <w:szCs w:val="21"/>
          <w:color w:val="auto"/>
        </w:rPr>
      </w:pPr>
    </w:p>
    <w:p>
      <w:pPr>
        <w:jc w:val="both"/>
        <w:ind w:firstLine="1296"/>
        <w:spacing w:after="0" w:line="272" w:lineRule="auto"/>
        <w:tabs>
          <w:tab w:leader="none" w:pos="2108"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No Conflicts</w:t>
      </w:r>
      <w:r>
        <w:rPr>
          <w:rFonts w:ascii="Arial" w:cs="Arial" w:eastAsia="Arial" w:hAnsi="Arial"/>
          <w:sz w:val="19"/>
          <w:szCs w:val="19"/>
          <w:color w:val="auto"/>
        </w:rPr>
        <w:t>. Neither the execution of this Agreement by the Company, nor the issuance, offering or sale of the Placement Shares by the Company, nor the consummation of any of the transactions contemplated herein and therein by the Company, nor the compliance by the Company with the terms and provisions hereof and thereof will conflict with, or will result in a breach of, any of the terms and provisions of, or has constituted or will constitute a default under, or has resulted in or will result in the creation or imposition of any lien, charge or encumbrance upon any property or assets of the Company pursuant to the terms of any contract or other agreement to which the Company is a party or to which any of the property or assets of the Company is subject, except (i) such conflicts, breaches or defaults as may have been waived and (ii) such conflicts, breaches and defaults that would not reasonably be expected to have a Material Adverse Effect; nor will such action result (x) in any violation of the provisions of the certificate of incorporation or bylaws of the Company, or (y) in any violation of the provisions of any statute or any order, rule or regulation applicable to the Company or of any Governmental Authority having jurisdiction over the Company, except, with respect to this clause (y) only, for any violation that would not reasonably be expected to have a Material Adverse Effect.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0" w:name="page21"/>
    <w:bookmarkEnd w:id="20"/>
    <w:p>
      <w:pPr>
        <w:jc w:val="both"/>
        <w:ind w:firstLine="1296"/>
        <w:spacing w:after="0" w:line="297" w:lineRule="auto"/>
        <w:tabs>
          <w:tab w:leader="none" w:pos="2020"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Sanctions</w:t>
      </w:r>
      <w:r>
        <w:rPr>
          <w:rFonts w:ascii="Arial" w:cs="Arial" w:eastAsia="Arial" w:hAnsi="Arial"/>
          <w:sz w:val="19"/>
          <w:szCs w:val="19"/>
          <w:color w:val="auto"/>
        </w:rPr>
        <w:t>. (i) The Company represents that, neither the Company nor, to the knowledge of the Company, any director, officer, employee, agent, affiliate or representative of the Company, is a government, individual, or entity (in this paragraph (tt), “</w:t>
      </w:r>
      <w:r>
        <w:rPr>
          <w:rFonts w:ascii="Arial" w:cs="Arial" w:eastAsia="Arial" w:hAnsi="Arial"/>
          <w:sz w:val="19"/>
          <w:szCs w:val="19"/>
          <w:b w:val="1"/>
          <w:bCs w:val="1"/>
          <w:u w:val="single" w:color="auto"/>
          <w:color w:val="auto"/>
        </w:rPr>
        <w:t>Person</w:t>
      </w:r>
      <w:r>
        <w:rPr>
          <w:rFonts w:ascii="Arial" w:cs="Arial" w:eastAsia="Arial" w:hAnsi="Arial"/>
          <w:sz w:val="19"/>
          <w:szCs w:val="19"/>
          <w:color w:val="auto"/>
        </w:rPr>
        <w:t>”) that is, or is owned or controlled by, a Person that is:</w:t>
      </w:r>
    </w:p>
    <w:p>
      <w:pPr>
        <w:spacing w:after="0" w:line="134" w:lineRule="exact"/>
        <w:rPr>
          <w:rFonts w:ascii="Arial" w:cs="Arial" w:eastAsia="Arial" w:hAnsi="Arial"/>
          <w:sz w:val="19"/>
          <w:szCs w:val="19"/>
          <w:color w:val="auto"/>
        </w:rPr>
      </w:pPr>
    </w:p>
    <w:p>
      <w:pPr>
        <w:jc w:val="both"/>
        <w:ind w:left="1300" w:firstLine="644"/>
        <w:spacing w:after="0" w:line="238" w:lineRule="auto"/>
        <w:tabs>
          <w:tab w:leader="none" w:pos="2810"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the subject of any sanctions administered or enforced by the U.S. Department of Treasury’s Office of Foreign Assets Control, the United Nations Security Council, the European Union, Her Majesty’s Treasury, or other relevant sanctions authority (as amended, collectively, “</w:t>
      </w:r>
      <w:r>
        <w:rPr>
          <w:rFonts w:ascii="Arial" w:cs="Arial" w:eastAsia="Arial" w:hAnsi="Arial"/>
          <w:sz w:val="22"/>
          <w:szCs w:val="22"/>
          <w:b w:val="1"/>
          <w:bCs w:val="1"/>
          <w:u w:val="single" w:color="auto"/>
          <w:color w:val="auto"/>
        </w:rPr>
        <w:t>Sanctions</w:t>
      </w:r>
      <w:r>
        <w:rPr>
          <w:rFonts w:ascii="Arial" w:cs="Arial" w:eastAsia="Arial" w:hAnsi="Arial"/>
          <w:sz w:val="22"/>
          <w:szCs w:val="22"/>
          <w:color w:val="auto"/>
        </w:rPr>
        <w:t>”), nor</w:t>
      </w:r>
    </w:p>
    <w:p>
      <w:pPr>
        <w:spacing w:after="0" w:line="185" w:lineRule="exact"/>
        <w:rPr>
          <w:rFonts w:ascii="Arial" w:cs="Arial" w:eastAsia="Arial" w:hAnsi="Arial"/>
          <w:sz w:val="22"/>
          <w:szCs w:val="22"/>
          <w:color w:val="auto"/>
        </w:rPr>
      </w:pPr>
    </w:p>
    <w:p>
      <w:pPr>
        <w:ind w:left="1300" w:firstLine="644"/>
        <w:spacing w:after="0" w:line="328" w:lineRule="auto"/>
        <w:tabs>
          <w:tab w:leader="none" w:pos="2659" w:val="left"/>
        </w:tabs>
        <w:numPr>
          <w:ilvl w:val="1"/>
          <w:numId w:val="29"/>
        </w:numPr>
        <w:rPr>
          <w:rFonts w:ascii="Arial" w:cs="Arial" w:eastAsia="Arial" w:hAnsi="Arial"/>
          <w:sz w:val="19"/>
          <w:szCs w:val="19"/>
          <w:color w:val="auto"/>
        </w:rPr>
      </w:pPr>
      <w:r>
        <w:rPr>
          <w:rFonts w:ascii="Arial" w:cs="Arial" w:eastAsia="Arial" w:hAnsi="Arial"/>
          <w:sz w:val="19"/>
          <w:szCs w:val="19"/>
          <w:color w:val="auto"/>
        </w:rPr>
        <w:t>located, organized or resident in a country or territory that is the subject of Sanctions (including, without limitation, Burma/Myanmar, Cuba, Iran, North Korea, Sudan and Syria).</w:t>
      </w:r>
    </w:p>
    <w:p>
      <w:pPr>
        <w:spacing w:after="0" w:line="105" w:lineRule="exact"/>
        <w:rPr>
          <w:sz w:val="20"/>
          <w:szCs w:val="20"/>
          <w:color w:val="auto"/>
        </w:rPr>
      </w:pPr>
    </w:p>
    <w:p>
      <w:pPr>
        <w:jc w:val="both"/>
        <w:ind w:firstLine="1296"/>
        <w:spacing w:after="0"/>
        <w:tabs>
          <w:tab w:leader="none" w:pos="1935"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Company represents and covenants that it will not, directly or indirectly, use the proceeds of the offering, or lend, contribute or otherwise make available such proceeds to any subsidiary, joint venture partner or other Person:</w:t>
      </w:r>
    </w:p>
    <w:p>
      <w:pPr>
        <w:spacing w:after="0" w:line="186" w:lineRule="exact"/>
        <w:rPr>
          <w:rFonts w:ascii="Arial" w:cs="Arial" w:eastAsia="Arial" w:hAnsi="Arial"/>
          <w:sz w:val="22"/>
          <w:szCs w:val="22"/>
          <w:color w:val="auto"/>
        </w:rPr>
      </w:pPr>
    </w:p>
    <w:p>
      <w:pPr>
        <w:ind w:left="1300" w:firstLine="644"/>
        <w:spacing w:after="0" w:line="326" w:lineRule="auto"/>
        <w:tabs>
          <w:tab w:leader="none" w:pos="2659" w:val="left"/>
        </w:tabs>
        <w:numPr>
          <w:ilvl w:val="1"/>
          <w:numId w:val="30"/>
        </w:numPr>
        <w:rPr>
          <w:rFonts w:ascii="Arial" w:cs="Arial" w:eastAsia="Arial" w:hAnsi="Arial"/>
          <w:sz w:val="19"/>
          <w:szCs w:val="19"/>
          <w:color w:val="auto"/>
        </w:rPr>
      </w:pPr>
      <w:r>
        <w:rPr>
          <w:rFonts w:ascii="Arial" w:cs="Arial" w:eastAsia="Arial" w:hAnsi="Arial"/>
          <w:sz w:val="19"/>
          <w:szCs w:val="19"/>
          <w:color w:val="auto"/>
        </w:rPr>
        <w:t>to fund or facilitate any activities or business of or with any Person or in any country or territory that, at the time of such funding or facilitation, is the subject of Sanctions; or</w:t>
      </w:r>
    </w:p>
    <w:p>
      <w:pPr>
        <w:jc w:val="both"/>
        <w:ind w:left="1300" w:firstLine="644"/>
        <w:spacing w:after="0"/>
        <w:tabs>
          <w:tab w:leader="none" w:pos="2885" w:val="left"/>
        </w:tabs>
        <w:numPr>
          <w:ilvl w:val="1"/>
          <w:numId w:val="30"/>
        </w:numPr>
        <w:rPr>
          <w:rFonts w:ascii="Arial" w:cs="Arial" w:eastAsia="Arial" w:hAnsi="Arial"/>
          <w:sz w:val="22"/>
          <w:szCs w:val="22"/>
          <w:color w:val="auto"/>
        </w:rPr>
      </w:pPr>
      <w:r>
        <w:rPr>
          <w:rFonts w:ascii="Arial" w:cs="Arial" w:eastAsia="Arial" w:hAnsi="Arial"/>
          <w:sz w:val="22"/>
          <w:szCs w:val="22"/>
          <w:color w:val="auto"/>
        </w:rPr>
        <w:t>in any other manner that will result in a violation of Sanctions by any Person (including any Person participating in the offering, whether as underwriter, advisor, investor or otherwise).</w:t>
      </w:r>
    </w:p>
    <w:p>
      <w:pPr>
        <w:spacing w:after="0" w:line="78" w:lineRule="exact"/>
        <w:rPr>
          <w:rFonts w:ascii="Arial" w:cs="Arial" w:eastAsia="Arial" w:hAnsi="Arial"/>
          <w:sz w:val="22"/>
          <w:szCs w:val="22"/>
          <w:color w:val="auto"/>
        </w:rPr>
      </w:pPr>
    </w:p>
    <w:p>
      <w:pPr>
        <w:jc w:val="both"/>
        <w:ind w:firstLine="1296"/>
        <w:spacing w:after="0" w:line="252" w:lineRule="auto"/>
        <w:tabs>
          <w:tab w:leader="none" w:pos="1968" w:val="left"/>
        </w:tabs>
        <w:numPr>
          <w:ilvl w:val="0"/>
          <w:numId w:val="30"/>
        </w:numPr>
        <w:rPr>
          <w:rFonts w:ascii="Arial" w:cs="Arial" w:eastAsia="Arial" w:hAnsi="Arial"/>
          <w:sz w:val="21"/>
          <w:szCs w:val="21"/>
          <w:color w:val="auto"/>
        </w:rPr>
      </w:pPr>
      <w:r>
        <w:rPr>
          <w:rFonts w:ascii="Arial" w:cs="Arial" w:eastAsia="Arial" w:hAnsi="Arial"/>
          <w:sz w:val="21"/>
          <w:szCs w:val="21"/>
          <w:color w:val="auto"/>
        </w:rPr>
        <w:t>The Company represents and covenants that, except as detailed in the Registration Statement and the Prospectus, for the past five (5) years, it has not knowingly engaged in, is not now knowingly engaged in, and will not knowingly engage in, any dealings or transactions with any Person, or in any country or territory, that at the time of the dealing or transaction is or was the subject of Sanctions.</w:t>
      </w:r>
    </w:p>
    <w:p>
      <w:pPr>
        <w:spacing w:after="0" w:line="174" w:lineRule="exact"/>
        <w:rPr>
          <w:sz w:val="20"/>
          <w:szCs w:val="20"/>
          <w:color w:val="auto"/>
        </w:rPr>
      </w:pPr>
    </w:p>
    <w:p>
      <w:pPr>
        <w:jc w:val="both"/>
        <w:ind w:firstLine="1296"/>
        <w:spacing w:after="0" w:line="287" w:lineRule="auto"/>
        <w:tabs>
          <w:tab w:leader="none" w:pos="2048"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Stock Transfer Taxes</w:t>
      </w:r>
      <w:r>
        <w:rPr>
          <w:rFonts w:ascii="Arial" w:cs="Arial" w:eastAsia="Arial" w:hAnsi="Arial"/>
          <w:sz w:val="19"/>
          <w:szCs w:val="19"/>
          <w:color w:val="auto"/>
        </w:rPr>
        <w:t>. On each Settlement Date, all stock transfer or other taxes (other than income taxes) which are required to be paid by the Company in connection with the sale and transfer of the Placement Shares to be sold hereunder will be, or will have been, fully paid or provided for by the Company and all laws imposing such taxes will be or will have been complied with in all material respects.</w:t>
      </w:r>
    </w:p>
    <w:p>
      <w:pPr>
        <w:spacing w:after="0" w:line="14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Any certificate signed by an officer of the Company and delivered to the Agent or to counsel for the Agent pursuant to or in connection with this Agreement shall be deemed to be a representation and warranty by the Company, as applicable, to the Agent as to the matters set forth therein.</w:t>
      </w:r>
    </w:p>
    <w:p>
      <w:pPr>
        <w:spacing w:after="0" w:line="186" w:lineRule="exact"/>
        <w:rPr>
          <w:sz w:val="20"/>
          <w:szCs w:val="20"/>
          <w:color w:val="auto"/>
        </w:rPr>
      </w:pPr>
    </w:p>
    <w:p>
      <w:pPr>
        <w:ind w:left="1300" w:hanging="652"/>
        <w:spacing w:after="0"/>
        <w:tabs>
          <w:tab w:leader="none" w:pos="130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Covenants of the Company</w:t>
      </w:r>
      <w:r>
        <w:rPr>
          <w:rFonts w:ascii="Arial" w:cs="Arial" w:eastAsia="Arial" w:hAnsi="Arial"/>
          <w:sz w:val="22"/>
          <w:szCs w:val="22"/>
          <w:color w:val="auto"/>
        </w:rPr>
        <w:t>. The Company covenants and agrees with the Agent that:</w:t>
      </w:r>
    </w:p>
    <w:p>
      <w:pPr>
        <w:spacing w:after="0" w:line="206" w:lineRule="exact"/>
        <w:rPr>
          <w:rFonts w:ascii="Arial" w:cs="Arial" w:eastAsia="Arial" w:hAnsi="Arial"/>
          <w:sz w:val="22"/>
          <w:szCs w:val="22"/>
          <w:color w:val="auto"/>
        </w:rPr>
      </w:pPr>
    </w:p>
    <w:p>
      <w:pPr>
        <w:jc w:val="both"/>
        <w:ind w:firstLine="1296"/>
        <w:spacing w:after="0"/>
        <w:tabs>
          <w:tab w:leader="none" w:pos="1982" w:val="left"/>
        </w:tabs>
        <w:numPr>
          <w:ilvl w:val="1"/>
          <w:numId w:val="32"/>
        </w:numPr>
        <w:rPr>
          <w:rFonts w:ascii="Arial" w:cs="Arial" w:eastAsia="Arial" w:hAnsi="Arial"/>
          <w:sz w:val="22"/>
          <w:szCs w:val="22"/>
          <w:color w:val="auto"/>
        </w:rPr>
      </w:pPr>
      <w:r>
        <w:rPr>
          <w:rFonts w:ascii="Arial" w:cs="Arial" w:eastAsia="Arial" w:hAnsi="Arial"/>
          <w:sz w:val="22"/>
          <w:szCs w:val="22"/>
          <w:u w:val="single" w:color="auto"/>
          <w:color w:val="auto"/>
        </w:rPr>
        <w:t>Registration Statement Amendments</w:t>
      </w:r>
      <w:r>
        <w:rPr>
          <w:rFonts w:ascii="Arial" w:cs="Arial" w:eastAsia="Arial" w:hAnsi="Arial"/>
          <w:sz w:val="22"/>
          <w:szCs w:val="22"/>
          <w:color w:val="auto"/>
        </w:rPr>
        <w:t>. After the date of this Agreement and during any period in which a Prospectus relating to any Placement Shares is required to be delivered by Agent under the Securities Act (including in circumstances where such requirement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1" w:name="page22"/>
    <w:bookmarkEnd w:id="21"/>
    <w:p>
      <w:pPr>
        <w:jc w:val="both"/>
        <w:spacing w:after="0" w:line="269" w:lineRule="auto"/>
        <w:rPr>
          <w:sz w:val="20"/>
          <w:szCs w:val="20"/>
          <w:color w:val="auto"/>
        </w:rPr>
      </w:pPr>
      <w:r>
        <w:rPr>
          <w:rFonts w:ascii="Arial" w:cs="Arial" w:eastAsia="Arial" w:hAnsi="Arial"/>
          <w:sz w:val="19"/>
          <w:szCs w:val="19"/>
          <w:color w:val="auto"/>
        </w:rPr>
        <w:t>may be satisfied pursuant to Rule 172 under the Securities Act or similar rule), (i) the Company will notify the Agent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or for additional information; (ii) the Company will prepare and file with the Commission, promptly upon the Agent’s request, any amendments or supplements to the Registration Statement or Prospectus that, in such Agent’s reasonable opinion, may be necessary or advisable in connection with the distribution of the Placement Shares by the Agent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failure of the Agent to make such request shall not relieve the Company of any obligation or liability hereunder, or affect the Agent’s right to rely on the representations and warranties made by the Company in this Agreement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the only remedy the Agent shall have with respect to the failure by the Company to make such filing</w:t>
      </w:r>
      <w:r>
        <w:rPr>
          <w:rFonts w:ascii="Arial" w:cs="Arial" w:eastAsia="Arial" w:hAnsi="Arial"/>
          <w:sz w:val="19"/>
          <w:szCs w:val="19"/>
          <w:i w:val="1"/>
          <w:iCs w:val="1"/>
          <w:color w:val="auto"/>
        </w:rPr>
        <w:t xml:space="preserve"> </w:t>
      </w:r>
      <w:r>
        <w:rPr>
          <w:rFonts w:ascii="Arial" w:cs="Arial" w:eastAsia="Arial" w:hAnsi="Arial"/>
          <w:sz w:val="19"/>
          <w:szCs w:val="19"/>
          <w:color w:val="auto"/>
        </w:rPr>
        <w:t>shall be to cease making sales under this Agreement until such amendment or supplement is filed); (iii) the Company will not file any amendment or supplement to the Registration Statement or Prospectus relating to the Placement Shares (other than an Incorporated Document) or a security convertible into the Placement Shares unless a copy thereof has been submitted to Agent within a reasonable period of time before the filing and the Agent has not objected thereto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failure of the Agent to make such objection shall not relieve the Company of any obligation or liability hereunder, or affect the Agent’s right to rely on the representations and warranties made by the Company in this Agreement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the only remedy Agent shall have with respect to the failure by the Company to obtain such consent shall be to cease making sales under this Agreement) and the Company will furnish to the Agent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to be filed with the Commission as required pursuant to the applicable paragraph of Rule 424(b) of the Securities Act or, in the case of any document to be incorporated therein by reference, to be filed with the Commission as required pursuant to the Exchange Act, within the time period prescribed (the determination to file or not file any amendment or supplement with the Commission under this </w:t>
      </w:r>
      <w:r>
        <w:rPr>
          <w:rFonts w:ascii="Arial" w:cs="Arial" w:eastAsia="Arial" w:hAnsi="Arial"/>
          <w:sz w:val="19"/>
          <w:szCs w:val="19"/>
          <w:u w:val="single" w:color="auto"/>
          <w:color w:val="auto"/>
        </w:rPr>
        <w:t>Section 7(a)</w:t>
      </w:r>
      <w:r>
        <w:rPr>
          <w:rFonts w:ascii="Arial" w:cs="Arial" w:eastAsia="Arial" w:hAnsi="Arial"/>
          <w:sz w:val="19"/>
          <w:szCs w:val="19"/>
          <w:color w:val="auto"/>
        </w:rPr>
        <w:t>, based on the Company’s reasonable opinion or reasonable objections, shall be made exclusively by the Company). The documents incorporated by reference in the Prospectus or any Prospectus Supplement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firstLine="1296"/>
        <w:spacing w:after="0" w:line="274" w:lineRule="auto"/>
        <w:tabs>
          <w:tab w:leader="none" w:pos="2075"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Notice of Commission Stop Orders</w:t>
      </w:r>
      <w:r>
        <w:rPr>
          <w:rFonts w:ascii="Arial" w:cs="Arial" w:eastAsia="Arial" w:hAnsi="Arial"/>
          <w:sz w:val="19"/>
          <w:szCs w:val="19"/>
          <w:color w:val="auto"/>
        </w:rPr>
        <w:t>. The Company will advise the Agent,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or any amendment or supplements to the Prospectus or any Issuer Free Writing Prospectus or for additional information related to the offering of the Placement Shares or for</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2" w:name="page23"/>
    <w:bookmarkEnd w:id="22"/>
    <w:p>
      <w:pPr>
        <w:spacing w:after="0"/>
        <w:rPr>
          <w:sz w:val="20"/>
          <w:szCs w:val="20"/>
          <w:color w:val="auto"/>
        </w:rPr>
      </w:pPr>
      <w:r>
        <w:rPr>
          <w:rFonts w:ascii="Arial" w:cs="Arial" w:eastAsia="Arial" w:hAnsi="Arial"/>
          <w:sz w:val="19"/>
          <w:szCs w:val="19"/>
          <w:color w:val="auto"/>
        </w:rPr>
        <w:t>additional information related to the Registration Statement, the Prospectus or any Issuer Free Writing Prospectus.</w:t>
      </w:r>
    </w:p>
    <w:p>
      <w:pPr>
        <w:spacing w:after="0" w:line="241" w:lineRule="exact"/>
        <w:rPr>
          <w:sz w:val="20"/>
          <w:szCs w:val="20"/>
          <w:color w:val="auto"/>
        </w:rPr>
      </w:pPr>
    </w:p>
    <w:p>
      <w:pPr>
        <w:jc w:val="both"/>
        <w:ind w:firstLine="1296"/>
        <w:spacing w:after="0" w:line="269" w:lineRule="auto"/>
        <w:tabs>
          <w:tab w:leader="none" w:pos="2198"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Delivery of Prospectus; Subsequent Changes</w:t>
      </w:r>
      <w:r>
        <w:rPr>
          <w:rFonts w:ascii="Arial" w:cs="Arial" w:eastAsia="Arial" w:hAnsi="Arial"/>
          <w:sz w:val="19"/>
          <w:szCs w:val="19"/>
          <w:color w:val="auto"/>
        </w:rPr>
        <w:t>. During any period in which a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similar rule), the Company will comply in all material respects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430B under the Securities Act, it will use commercially reasonable efforts to comply with the provisions of and make all requisite filings with the Commission pursuant to said Rule 430B and to notify the Agent promptly of all such filings.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 to suspend the offering of Placement Shares during such period and the Company will promptly amend or supplement the Registration Statement or Prospectus (at the expense of the Company) so as to correct such statement or omission or effect such compliance; provided, however, that the Company may delay any such amendment or supplement if, in the reasonable judgment of the Company, it is in the interests of the Company to do so. Until such time as the Company shall have corrected such misstatement or omission or effected such compliance, the Company shall not notify the Agent to resume the offering of Placement Shares. Prior to the later to occur of each Settlement Date and completion of the distribution of the Placement Shares, the Company will not distribute any offering material in connection with the offering or sale of the Placement Shares other than the Registration Statement and the Prospectus and any Issuer Free Writing Prospectus (as defined below) to which the Agent has consented, such consent not to be unreasonably withheld, conditioned or delayed.</w:t>
      </w:r>
    </w:p>
    <w:p>
      <w:pPr>
        <w:spacing w:after="0" w:line="173" w:lineRule="exact"/>
        <w:rPr>
          <w:rFonts w:ascii="Arial" w:cs="Arial" w:eastAsia="Arial" w:hAnsi="Arial"/>
          <w:sz w:val="19"/>
          <w:szCs w:val="19"/>
          <w:color w:val="auto"/>
        </w:rPr>
      </w:pPr>
    </w:p>
    <w:p>
      <w:pPr>
        <w:jc w:val="both"/>
        <w:ind w:firstLine="1296"/>
        <w:spacing w:after="0" w:line="238" w:lineRule="auto"/>
        <w:tabs>
          <w:tab w:leader="none" w:pos="217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Listing of Placement Shares</w:t>
      </w:r>
      <w:r>
        <w:rPr>
          <w:rFonts w:ascii="Arial" w:cs="Arial" w:eastAsia="Arial" w:hAnsi="Arial"/>
          <w:sz w:val="22"/>
          <w:szCs w:val="22"/>
          <w:color w:val="auto"/>
        </w:rPr>
        <w:t>. During any period in which the Prospectus relating to the Placement Shares is required to be delivered by the Agent under the Securities Act with respect to the offer and sale of the Placement Shares, the Company will use commercially reasonable efforts to cause the Placement Shares to be listed on the Exchange.</w:t>
      </w:r>
    </w:p>
    <w:p>
      <w:pPr>
        <w:spacing w:after="0" w:line="185" w:lineRule="exact"/>
        <w:rPr>
          <w:rFonts w:ascii="Arial" w:cs="Arial" w:eastAsia="Arial" w:hAnsi="Arial"/>
          <w:sz w:val="22"/>
          <w:szCs w:val="22"/>
          <w:color w:val="auto"/>
        </w:rPr>
      </w:pPr>
    </w:p>
    <w:p>
      <w:pPr>
        <w:jc w:val="both"/>
        <w:ind w:firstLine="1296"/>
        <w:spacing w:after="0" w:line="275" w:lineRule="auto"/>
        <w:tabs>
          <w:tab w:leader="none" w:pos="2050"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Delivery of Registration Statement and Prospectus</w:t>
      </w:r>
      <w:r>
        <w:rPr>
          <w:rFonts w:ascii="Arial" w:cs="Arial" w:eastAsia="Arial" w:hAnsi="Arial"/>
          <w:sz w:val="19"/>
          <w:szCs w:val="19"/>
          <w:color w:val="auto"/>
        </w:rPr>
        <w:t>. The Company will furnish to the Agent and its counsel (at the expense of the Company) copies of the Registration Statement, the Prospectus (including Incorporated Documents) and all amendments and supplements to the Registration Statement or Prospectus that are filed with the Commission during any period in which a Prospectus relating to the Placement Shares is required to be delivered under the Securities Act (including all Incorporated Documents filed with the Commission during such period), in each case as soon as reasonably practicable and in such quantities as the Agent may from time to time reasonably request and, at the Agent’s request, will also furnish copies of the Prospectus to each exchange or market on which sales of the Placement Shares may be made;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3" w:name="page24"/>
    <w:bookmarkEnd w:id="23"/>
    <w:p>
      <w:pPr>
        <w:ind w:left="1"/>
        <w:spacing w:after="0" w:line="251" w:lineRule="auto"/>
        <w:rPr>
          <w:sz w:val="20"/>
          <w:szCs w:val="20"/>
          <w:color w:val="auto"/>
        </w:rPr>
      </w:pPr>
      <w:r>
        <w:rPr>
          <w:rFonts w:ascii="Arial" w:cs="Arial" w:eastAsia="Arial" w:hAnsi="Arial"/>
          <w:sz w:val="22"/>
          <w:szCs w:val="22"/>
          <w:i w:val="1"/>
          <w:iCs w:val="1"/>
          <w:color w:val="auto"/>
        </w:rPr>
        <w:t>provided</w:t>
      </w:r>
      <w:r>
        <w:rPr>
          <w:rFonts w:ascii="Arial" w:cs="Arial" w:eastAsia="Arial" w:hAnsi="Arial"/>
          <w:sz w:val="22"/>
          <w:szCs w:val="22"/>
          <w:color w:val="auto"/>
        </w:rPr>
        <w:t>,</w:t>
      </w:r>
      <w:r>
        <w:rPr>
          <w:rFonts w:ascii="Arial" w:cs="Arial" w:eastAsia="Arial" w:hAnsi="Arial"/>
          <w:sz w:val="22"/>
          <w:szCs w:val="22"/>
          <w:i w:val="1"/>
          <w:iCs w:val="1"/>
          <w:color w:val="auto"/>
        </w:rPr>
        <w:t xml:space="preserve"> however</w:t>
      </w:r>
      <w:r>
        <w:rPr>
          <w:rFonts w:ascii="Arial" w:cs="Arial" w:eastAsia="Arial" w:hAnsi="Arial"/>
          <w:sz w:val="22"/>
          <w:szCs w:val="22"/>
          <w:color w:val="auto"/>
        </w:rPr>
        <w:t>, that the Company shall not be required to furnish any document (other than the Prospectus) to</w:t>
      </w:r>
      <w:r>
        <w:rPr>
          <w:rFonts w:ascii="Arial" w:cs="Arial" w:eastAsia="Arial" w:hAnsi="Arial"/>
          <w:sz w:val="22"/>
          <w:szCs w:val="22"/>
          <w:i w:val="1"/>
          <w:iCs w:val="1"/>
          <w:color w:val="auto"/>
        </w:rPr>
        <w:t xml:space="preserve"> </w:t>
      </w:r>
      <w:r>
        <w:rPr>
          <w:rFonts w:ascii="Arial" w:cs="Arial" w:eastAsia="Arial" w:hAnsi="Arial"/>
          <w:sz w:val="22"/>
          <w:szCs w:val="22"/>
          <w:color w:val="auto"/>
        </w:rPr>
        <w:t>the Agent to the extent such document is available on EDGAR.</w:t>
      </w:r>
    </w:p>
    <w:p>
      <w:pPr>
        <w:spacing w:after="0" w:line="173" w:lineRule="exact"/>
        <w:rPr>
          <w:sz w:val="20"/>
          <w:szCs w:val="20"/>
          <w:color w:val="auto"/>
        </w:rPr>
      </w:pPr>
    </w:p>
    <w:p>
      <w:pPr>
        <w:jc w:val="both"/>
        <w:ind w:left="1" w:firstLine="1296"/>
        <w:spacing w:after="0" w:line="238" w:lineRule="auto"/>
        <w:tabs>
          <w:tab w:leader="none" w:pos="2080" w:val="left"/>
        </w:tabs>
        <w:numPr>
          <w:ilvl w:val="1"/>
          <w:numId w:val="35"/>
        </w:numPr>
        <w:rPr>
          <w:rFonts w:ascii="Arial" w:cs="Arial" w:eastAsia="Arial" w:hAnsi="Arial"/>
          <w:sz w:val="22"/>
          <w:szCs w:val="22"/>
          <w:color w:val="auto"/>
        </w:rPr>
      </w:pPr>
      <w:r>
        <w:rPr>
          <w:rFonts w:ascii="Arial" w:cs="Arial" w:eastAsia="Arial" w:hAnsi="Arial"/>
          <w:sz w:val="22"/>
          <w:szCs w:val="22"/>
          <w:u w:val="single" w:color="auto"/>
          <w:color w:val="auto"/>
        </w:rPr>
        <w:t>Earnings Statement</w:t>
      </w:r>
      <w:r>
        <w:rPr>
          <w:rFonts w:ascii="Arial" w:cs="Arial" w:eastAsia="Arial" w:hAnsi="Arial"/>
          <w:sz w:val="22"/>
          <w:szCs w:val="22"/>
          <w:color w:val="auto"/>
        </w:rPr>
        <w:t>.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w:t>
      </w:r>
    </w:p>
    <w:p>
      <w:pPr>
        <w:spacing w:after="0" w:line="185" w:lineRule="exact"/>
        <w:rPr>
          <w:rFonts w:ascii="Arial" w:cs="Arial" w:eastAsia="Arial" w:hAnsi="Arial"/>
          <w:sz w:val="22"/>
          <w:szCs w:val="22"/>
          <w:color w:val="auto"/>
        </w:rPr>
      </w:pPr>
    </w:p>
    <w:p>
      <w:pPr>
        <w:ind w:left="1" w:firstLine="1296"/>
        <w:spacing w:after="0" w:line="251" w:lineRule="auto"/>
        <w:tabs>
          <w:tab w:leader="none" w:pos="2049" w:val="left"/>
        </w:tabs>
        <w:numPr>
          <w:ilvl w:val="1"/>
          <w:numId w:val="35"/>
        </w:numPr>
        <w:rPr>
          <w:rFonts w:ascii="Arial" w:cs="Arial" w:eastAsia="Arial" w:hAnsi="Arial"/>
          <w:sz w:val="22"/>
          <w:szCs w:val="22"/>
          <w:color w:val="auto"/>
        </w:rPr>
      </w:pPr>
      <w:r>
        <w:rPr>
          <w:rFonts w:ascii="Arial" w:cs="Arial" w:eastAsia="Arial" w:hAnsi="Arial"/>
          <w:sz w:val="22"/>
          <w:szCs w:val="22"/>
          <w:u w:val="single" w:color="auto"/>
          <w:color w:val="auto"/>
        </w:rPr>
        <w:t>Use of Proceeds</w:t>
      </w:r>
      <w:r>
        <w:rPr>
          <w:rFonts w:ascii="Arial" w:cs="Arial" w:eastAsia="Arial" w:hAnsi="Arial"/>
          <w:sz w:val="22"/>
          <w:szCs w:val="22"/>
          <w:color w:val="auto"/>
        </w:rPr>
        <w:t>. The Company will use the Net Proceeds as described in the Prospectus in the section entitled “Use of Proceeds.”</w:t>
      </w:r>
    </w:p>
    <w:p>
      <w:pPr>
        <w:spacing w:after="0" w:line="173" w:lineRule="exact"/>
        <w:rPr>
          <w:rFonts w:ascii="Arial" w:cs="Arial" w:eastAsia="Arial" w:hAnsi="Arial"/>
          <w:sz w:val="22"/>
          <w:szCs w:val="22"/>
          <w:color w:val="auto"/>
        </w:rPr>
      </w:pPr>
    </w:p>
    <w:p>
      <w:pPr>
        <w:jc w:val="both"/>
        <w:ind w:left="1" w:firstLine="1296"/>
        <w:spacing w:after="0" w:line="267" w:lineRule="auto"/>
        <w:tabs>
          <w:tab w:leader="none" w:pos="1995" w:val="left"/>
        </w:tabs>
        <w:numPr>
          <w:ilvl w:val="1"/>
          <w:numId w:val="35"/>
        </w:numPr>
        <w:rPr>
          <w:rFonts w:ascii="Arial" w:cs="Arial" w:eastAsia="Arial" w:hAnsi="Arial"/>
          <w:sz w:val="19"/>
          <w:szCs w:val="19"/>
          <w:color w:val="auto"/>
        </w:rPr>
      </w:pPr>
      <w:r>
        <w:rPr>
          <w:rFonts w:ascii="Arial" w:cs="Arial" w:eastAsia="Arial" w:hAnsi="Arial"/>
          <w:sz w:val="19"/>
          <w:szCs w:val="19"/>
          <w:u w:val="single" w:color="auto"/>
          <w:color w:val="auto"/>
        </w:rPr>
        <w:t>Notice of Other Sales</w:t>
      </w:r>
      <w:r>
        <w:rPr>
          <w:rFonts w:ascii="Arial" w:cs="Arial" w:eastAsia="Arial" w:hAnsi="Arial"/>
          <w:sz w:val="19"/>
          <w:szCs w:val="19"/>
          <w:color w:val="auto"/>
        </w:rPr>
        <w:t>. Without the prior written consent of the Agent, the Company will not, directly or indirectly,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during the period beginning on the fifth (5</w:t>
      </w:r>
      <w:r>
        <w:rPr>
          <w:rFonts w:ascii="Arial" w:cs="Arial" w:eastAsia="Arial" w:hAnsi="Arial"/>
          <w:sz w:val="9"/>
          <w:szCs w:val="9"/>
          <w:color w:val="auto"/>
        </w:rPr>
        <w:t>th</w:t>
      </w:r>
      <w:r>
        <w:rPr>
          <w:rFonts w:ascii="Arial" w:cs="Arial" w:eastAsia="Arial" w:hAnsi="Arial"/>
          <w:sz w:val="19"/>
          <w:szCs w:val="19"/>
          <w:color w:val="auto"/>
        </w:rPr>
        <w:t>) Trading Day immediately prior to the date on which any Placement Notice is delivered to Agent hereunder and ending on the second (2</w:t>
      </w:r>
      <w:r>
        <w:rPr>
          <w:rFonts w:ascii="Arial" w:cs="Arial" w:eastAsia="Arial" w:hAnsi="Arial"/>
          <w:sz w:val="9"/>
          <w:szCs w:val="9"/>
          <w:color w:val="auto"/>
        </w:rPr>
        <w:t>nd</w:t>
      </w:r>
      <w:r>
        <w:rPr>
          <w:rFonts w:ascii="Arial" w:cs="Arial" w:eastAsia="Arial" w:hAnsi="Arial"/>
          <w:sz w:val="19"/>
          <w:szCs w:val="19"/>
          <w:color w:val="auto"/>
        </w:rPr>
        <w:t xml:space="preserve">)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offering” or continuous equity transaction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prior to the later of the termination of this Agreement and the sixtieth (60th) day immediately following the final Settlement Date with respect to Placement Shares sold pursuant to such Placement Notice;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restrictions will not be required in connection with the Company’s issuance or sale of (i) Common Stock, options to purchase Common Stock, other securities under the Company’s existing equity incentive or employee benefits plans (including, without limitation, the Company’s 2014 Equity Incentive Award Plan, 2014 Employee Stock Purchase Plan and 2016 Employment Commencement Incentive Plan), or Common Stock issuable upon the exercise of options or vesting of other securities, pursuant to any employee or director stock option or benefits plan, stock ownership plan or dividend reinvestment plan (but not Common Stock subject to a waiver to exceed plan limits in its dividend reinvestment plan) of the Company whether now in effect or hereafter implemented, (ii) Common Stock issuable upon conversion of securities or the exercise of warrants, options or other rights in effect or outstanding, and disclosed in filings by the Company available on EDGAR or otherwise in writing to the Agent and</w:t>
      </w:r>
    </w:p>
    <w:p>
      <w:pPr>
        <w:spacing w:after="0" w:line="18" w:lineRule="exact"/>
        <w:rPr>
          <w:rFonts w:ascii="Arial" w:cs="Arial" w:eastAsia="Arial" w:hAnsi="Arial"/>
          <w:sz w:val="19"/>
          <w:szCs w:val="19"/>
          <w:color w:val="auto"/>
        </w:rPr>
      </w:pPr>
    </w:p>
    <w:p>
      <w:pPr>
        <w:jc w:val="both"/>
        <w:ind w:left="1" w:hanging="1"/>
        <w:spacing w:after="0" w:line="234" w:lineRule="auto"/>
        <w:tabs>
          <w:tab w:leader="none" w:pos="382" w:val="left"/>
        </w:tabs>
        <w:numPr>
          <w:ilvl w:val="0"/>
          <w:numId w:val="36"/>
        </w:numPr>
        <w:rPr>
          <w:rFonts w:ascii="Arial" w:cs="Arial" w:eastAsia="Arial" w:hAnsi="Arial"/>
          <w:sz w:val="22"/>
          <w:szCs w:val="22"/>
          <w:color w:val="auto"/>
        </w:rPr>
      </w:pPr>
      <w:r>
        <w:rPr>
          <w:rFonts w:ascii="Arial" w:cs="Arial" w:eastAsia="Arial" w:hAnsi="Arial"/>
          <w:sz w:val="22"/>
          <w:szCs w:val="22"/>
          <w:color w:val="auto"/>
        </w:rPr>
        <w:t>Common Stock or securities convertible into or exchangeable for shares of Common Stock as consideration for mergers, acquisitions, other business combinations or strategic alliances occurring after the date of this Agreement which are not issued for capital raising purposes.</w:t>
      </w:r>
    </w:p>
    <w:p>
      <w:pPr>
        <w:spacing w:after="0" w:line="187" w:lineRule="exact"/>
        <w:rPr>
          <w:rFonts w:ascii="Arial" w:cs="Arial" w:eastAsia="Arial" w:hAnsi="Arial"/>
          <w:sz w:val="22"/>
          <w:szCs w:val="22"/>
          <w:color w:val="auto"/>
        </w:rPr>
      </w:pPr>
    </w:p>
    <w:p>
      <w:pPr>
        <w:jc w:val="both"/>
        <w:ind w:left="1" w:firstLine="1296"/>
        <w:spacing w:after="0" w:line="252" w:lineRule="auto"/>
        <w:tabs>
          <w:tab w:leader="none" w:pos="2339" w:val="left"/>
        </w:tabs>
        <w:numPr>
          <w:ilvl w:val="1"/>
          <w:numId w:val="36"/>
        </w:numPr>
        <w:rPr>
          <w:rFonts w:ascii="Arial" w:cs="Arial" w:eastAsia="Arial" w:hAnsi="Arial"/>
          <w:sz w:val="21"/>
          <w:szCs w:val="21"/>
          <w:color w:val="auto"/>
        </w:rPr>
      </w:pPr>
      <w:r>
        <w:rPr>
          <w:rFonts w:ascii="Arial" w:cs="Arial" w:eastAsia="Arial" w:hAnsi="Arial"/>
          <w:sz w:val="21"/>
          <w:szCs w:val="21"/>
          <w:u w:val="single" w:color="auto"/>
          <w:color w:val="auto"/>
        </w:rPr>
        <w:t>Change of Circumstances</w:t>
      </w:r>
      <w:r>
        <w:rPr>
          <w:rFonts w:ascii="Arial" w:cs="Arial" w:eastAsia="Arial" w:hAnsi="Arial"/>
          <w:sz w:val="21"/>
          <w:szCs w:val="21"/>
          <w:color w:val="auto"/>
        </w:rPr>
        <w:t>. The Company will, at any time during the pendency of a Placement Notice advise the Agent promptly after it shall have received notice or obtained knowledge thereof, of any information or fact that would alter or affect in any material respect any opinion, certificate, letter or other document required to be provided to the Agent pursuant to this Agreement.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24" w:name="page25"/>
    <w:bookmarkEnd w:id="24"/>
    <w:p>
      <w:pPr>
        <w:jc w:val="both"/>
        <w:ind w:firstLine="1296"/>
        <w:spacing w:after="0" w:line="287" w:lineRule="auto"/>
        <w:tabs>
          <w:tab w:leader="none" w:pos="2027"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Due Diligence Cooperation</w:t>
      </w:r>
      <w:r>
        <w:rPr>
          <w:rFonts w:ascii="Arial" w:cs="Arial" w:eastAsia="Arial" w:hAnsi="Arial"/>
          <w:sz w:val="19"/>
          <w:szCs w:val="19"/>
          <w:color w:val="auto"/>
        </w:rPr>
        <w:t>. The Company will cooperate with any reasonable due diligence review conducted by the Agent or its representatives in connection with the transactions contemplated hereby, including, without limitation, providing information and making available documents and senior corporate officers, during regular business hours and at the Company’s principal offices, as the Agent may reasonably request.</w:t>
      </w:r>
    </w:p>
    <w:p>
      <w:pPr>
        <w:spacing w:after="0" w:line="143" w:lineRule="exact"/>
        <w:rPr>
          <w:rFonts w:ascii="Arial" w:cs="Arial" w:eastAsia="Arial" w:hAnsi="Arial"/>
          <w:sz w:val="19"/>
          <w:szCs w:val="19"/>
          <w:color w:val="auto"/>
        </w:rPr>
      </w:pPr>
    </w:p>
    <w:p>
      <w:pPr>
        <w:jc w:val="both"/>
        <w:ind w:firstLine="1296"/>
        <w:spacing w:after="0" w:line="246" w:lineRule="auto"/>
        <w:tabs>
          <w:tab w:leader="none" w:pos="2075"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Required Filings Relating to Placement of Placement Shares</w:t>
      </w:r>
      <w:r>
        <w:rPr>
          <w:rFonts w:ascii="Arial" w:cs="Arial" w:eastAsia="Arial" w:hAnsi="Arial"/>
          <w:sz w:val="21"/>
          <w:szCs w:val="21"/>
          <w:color w:val="auto"/>
        </w:rPr>
        <w:t>. The Company agrees that on such dates as the Securities Act shall require, the Company will (i) file a prospectus supplement with the Commission under the applicable paragraph of Rule 424(b) under the Securities Act (each and every filing date under Rule 424(b), a “</w:t>
      </w:r>
      <w:r>
        <w:rPr>
          <w:rFonts w:ascii="Arial" w:cs="Arial" w:eastAsia="Arial" w:hAnsi="Arial"/>
          <w:sz w:val="21"/>
          <w:szCs w:val="21"/>
          <w:b w:val="1"/>
          <w:bCs w:val="1"/>
          <w:u w:val="single" w:color="auto"/>
          <w:color w:val="auto"/>
        </w:rPr>
        <w:t>Filing Date</w:t>
      </w:r>
      <w:r>
        <w:rPr>
          <w:rFonts w:ascii="Arial" w:cs="Arial" w:eastAsia="Arial" w:hAnsi="Arial"/>
          <w:sz w:val="21"/>
          <w:szCs w:val="21"/>
          <w:color w:val="auto"/>
        </w:rPr>
        <w:t>”), which prospectus supplement will set forth, within the relevant period, the amount of Placement Shares sold through the Agent, the Net Proceeds to the Company and the compensation payable by the Company to the Agent with respect to such Placement Shares, and (ii) deliver such number of copies of each such prospectus supplement to each exchange or market on which such sales were effected as may be required by the rules or regulations of such exchange or market.</w:t>
      </w:r>
    </w:p>
    <w:p>
      <w:pPr>
        <w:spacing w:after="0" w:line="180" w:lineRule="exact"/>
        <w:rPr>
          <w:rFonts w:ascii="Arial" w:cs="Arial" w:eastAsia="Arial" w:hAnsi="Arial"/>
          <w:sz w:val="21"/>
          <w:szCs w:val="21"/>
          <w:color w:val="auto"/>
        </w:rPr>
      </w:pPr>
    </w:p>
    <w:p>
      <w:pPr>
        <w:ind w:firstLine="1296"/>
        <w:spacing w:after="0" w:line="328" w:lineRule="auto"/>
        <w:tabs>
          <w:tab w:leader="none" w:pos="2122"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Representation Dates; Certificate</w:t>
      </w:r>
      <w:r>
        <w:rPr>
          <w:rFonts w:ascii="Arial" w:cs="Arial" w:eastAsia="Arial" w:hAnsi="Arial"/>
          <w:sz w:val="19"/>
          <w:szCs w:val="19"/>
          <w:color w:val="auto"/>
        </w:rPr>
        <w:t>. (1) On or prior to the date on which the first Placement Notice is delivered and (2) following delivery of the first Placement Notice, each time the Company:</w:t>
      </w:r>
    </w:p>
    <w:p>
      <w:pPr>
        <w:spacing w:after="0" w:line="105" w:lineRule="exact"/>
        <w:rPr>
          <w:rFonts w:ascii="Arial" w:cs="Arial" w:eastAsia="Arial" w:hAnsi="Arial"/>
          <w:sz w:val="19"/>
          <w:szCs w:val="19"/>
          <w:color w:val="auto"/>
        </w:rPr>
      </w:pPr>
    </w:p>
    <w:p>
      <w:pPr>
        <w:jc w:val="both"/>
        <w:ind w:firstLine="1944"/>
        <w:spacing w:after="0" w:line="282" w:lineRule="auto"/>
        <w:tabs>
          <w:tab w:leader="none" w:pos="2647" w:val="left"/>
        </w:tabs>
        <w:numPr>
          <w:ilvl w:val="1"/>
          <w:numId w:val="37"/>
        </w:numPr>
        <w:rPr>
          <w:rFonts w:ascii="Arial" w:cs="Arial" w:eastAsia="Arial" w:hAnsi="Arial"/>
          <w:sz w:val="19"/>
          <w:szCs w:val="19"/>
          <w:color w:val="auto"/>
        </w:rPr>
      </w:pPr>
      <w:r>
        <w:rPr>
          <w:rFonts w:ascii="Arial" w:cs="Arial" w:eastAsia="Arial" w:hAnsi="Arial"/>
          <w:sz w:val="19"/>
          <w:szCs w:val="19"/>
          <w:color w:val="auto"/>
        </w:rPr>
        <w:t>files the Prospectus relating to the Placement Shares or amends or supplements (other than a prospectus supplement relating solely to an offering of securities other than the Placement Shares)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w:t>
      </w:r>
    </w:p>
    <w:p>
      <w:pPr>
        <w:spacing w:after="0" w:line="147" w:lineRule="exact"/>
        <w:rPr>
          <w:rFonts w:ascii="Arial" w:cs="Arial" w:eastAsia="Arial" w:hAnsi="Arial"/>
          <w:sz w:val="19"/>
          <w:szCs w:val="19"/>
          <w:color w:val="auto"/>
        </w:rPr>
      </w:pPr>
    </w:p>
    <w:p>
      <w:pPr>
        <w:jc w:val="both"/>
        <w:ind w:firstLine="1944"/>
        <w:spacing w:after="0"/>
        <w:tabs>
          <w:tab w:leader="none" w:pos="2677" w:val="left"/>
        </w:tabs>
        <w:numPr>
          <w:ilvl w:val="1"/>
          <w:numId w:val="37"/>
        </w:numPr>
        <w:rPr>
          <w:rFonts w:ascii="Arial" w:cs="Arial" w:eastAsia="Arial" w:hAnsi="Arial"/>
          <w:sz w:val="22"/>
          <w:szCs w:val="22"/>
          <w:color w:val="auto"/>
        </w:rPr>
      </w:pPr>
      <w:r>
        <w:rPr>
          <w:rFonts w:ascii="Arial" w:cs="Arial" w:eastAsia="Arial" w:hAnsi="Arial"/>
          <w:sz w:val="22"/>
          <w:szCs w:val="22"/>
          <w:color w:val="auto"/>
        </w:rPr>
        <w:t>files an Annual Report on Form 10-K under the Exchange Act (including any Form 10-K/A containing amended financial information or a material amendment to the previously filed Annual Report on Form 10-K);</w:t>
      </w:r>
    </w:p>
    <w:p>
      <w:pPr>
        <w:spacing w:after="0" w:line="186" w:lineRule="exact"/>
        <w:rPr>
          <w:rFonts w:ascii="Arial" w:cs="Arial" w:eastAsia="Arial" w:hAnsi="Arial"/>
          <w:sz w:val="22"/>
          <w:szCs w:val="22"/>
          <w:color w:val="auto"/>
        </w:rPr>
      </w:pPr>
    </w:p>
    <w:p>
      <w:pPr>
        <w:ind w:left="2600" w:hanging="656"/>
        <w:spacing w:after="0"/>
        <w:tabs>
          <w:tab w:leader="none" w:pos="2600" w:val="left"/>
        </w:tabs>
        <w:numPr>
          <w:ilvl w:val="1"/>
          <w:numId w:val="37"/>
        </w:numPr>
        <w:rPr>
          <w:rFonts w:ascii="Arial" w:cs="Arial" w:eastAsia="Arial" w:hAnsi="Arial"/>
          <w:sz w:val="22"/>
          <w:szCs w:val="22"/>
          <w:color w:val="auto"/>
        </w:rPr>
      </w:pPr>
      <w:r>
        <w:rPr>
          <w:rFonts w:ascii="Arial" w:cs="Arial" w:eastAsia="Arial" w:hAnsi="Arial"/>
          <w:sz w:val="22"/>
          <w:szCs w:val="22"/>
          <w:color w:val="auto"/>
        </w:rPr>
        <w:t>files its quarterly reports on Form 10-Q under the Exchange Act; or</w:t>
      </w:r>
    </w:p>
    <w:p>
      <w:pPr>
        <w:spacing w:after="0" w:line="206" w:lineRule="exact"/>
        <w:rPr>
          <w:rFonts w:ascii="Arial" w:cs="Arial" w:eastAsia="Arial" w:hAnsi="Arial"/>
          <w:sz w:val="22"/>
          <w:szCs w:val="22"/>
          <w:color w:val="auto"/>
        </w:rPr>
      </w:pPr>
    </w:p>
    <w:p>
      <w:pPr>
        <w:jc w:val="both"/>
        <w:ind w:firstLine="1944"/>
        <w:spacing w:after="0" w:line="282" w:lineRule="auto"/>
        <w:tabs>
          <w:tab w:leader="none" w:pos="2724" w:val="left"/>
        </w:tabs>
        <w:numPr>
          <w:ilvl w:val="1"/>
          <w:numId w:val="37"/>
        </w:numPr>
        <w:rPr>
          <w:rFonts w:ascii="Arial" w:cs="Arial" w:eastAsia="Arial" w:hAnsi="Arial"/>
          <w:sz w:val="19"/>
          <w:szCs w:val="19"/>
          <w:color w:val="auto"/>
        </w:rPr>
      </w:pPr>
      <w:r>
        <w:rPr>
          <w:rFonts w:ascii="Arial" w:cs="Arial" w:eastAsia="Arial" w:hAnsi="Arial"/>
          <w:sz w:val="19"/>
          <w:szCs w:val="19"/>
          <w:color w:val="auto"/>
        </w:rPr>
        <w:t>files a current report on Form 8-K containing amended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 (each date of filing of one or more of the documents referred to in clauses (i) through (iv) shall be a “</w:t>
      </w:r>
      <w:r>
        <w:rPr>
          <w:rFonts w:ascii="Arial" w:cs="Arial" w:eastAsia="Arial" w:hAnsi="Arial"/>
          <w:sz w:val="19"/>
          <w:szCs w:val="19"/>
          <w:b w:val="1"/>
          <w:bCs w:val="1"/>
          <w:u w:val="single" w:color="auto"/>
          <w:color w:val="auto"/>
        </w:rPr>
        <w:t>Representation Date</w:t>
      </w:r>
      <w:r>
        <w:rPr>
          <w:rFonts w:ascii="Arial" w:cs="Arial" w:eastAsia="Arial" w:hAnsi="Arial"/>
          <w:sz w:val="19"/>
          <w:szCs w:val="19"/>
          <w:color w:val="auto"/>
        </w:rPr>
        <w:t>”);</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 xml:space="preserve">the Company shall furnish the Agent (but in the case of clause (iv) above only if the Agent reasonably determines that the information contained in such Form 8-K is material) with a certificate dated the Representation Date, in the form and substance satisfactory to the Agent and its counsel, substantially similar to the form previously provided to the Agent and its counsel, modified, as necessary, to relate to the Registration Statement and the Prospectus as amended or supplemented. The requirement to provide a certificate under this </w:t>
      </w:r>
      <w:r>
        <w:rPr>
          <w:rFonts w:ascii="Arial" w:cs="Arial" w:eastAsia="Arial" w:hAnsi="Arial"/>
          <w:sz w:val="19"/>
          <w:szCs w:val="19"/>
          <w:u w:val="single" w:color="auto"/>
          <w:color w:val="auto"/>
        </w:rPr>
        <w:t>Section 7(l)</w:t>
      </w:r>
      <w:r>
        <w:rPr>
          <w:rFonts w:ascii="Arial" w:cs="Arial" w:eastAsia="Arial" w:hAnsi="Arial"/>
          <w:sz w:val="19"/>
          <w:szCs w:val="19"/>
          <w:color w:val="auto"/>
        </w:rPr>
        <w:t xml:space="preserve"> shall be waived for any Representation Date occurring at a time at which no Placement Notice is pending (including, for purposes of clarity, during which a Suspension is in effect), which waiver shall</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5" w:name="page26"/>
    <w:bookmarkEnd w:id="25"/>
    <w:p>
      <w:pPr>
        <w:jc w:val="both"/>
        <w:spacing w:after="0" w:line="245" w:lineRule="auto"/>
        <w:rPr>
          <w:sz w:val="20"/>
          <w:szCs w:val="20"/>
          <w:color w:val="auto"/>
        </w:rPr>
      </w:pPr>
      <w:r>
        <w:rPr>
          <w:rFonts w:ascii="Arial" w:cs="Arial" w:eastAsia="Arial" w:hAnsi="Arial"/>
          <w:sz w:val="21"/>
          <w:szCs w:val="21"/>
          <w:color w:val="auto"/>
        </w:rPr>
        <w:t xml:space="preserve">continue until the earlier to occur of the date the Company delivers a Placement Notice hereunder or instructions for the sale of Placement Shares under a suspended Placement Notice (which for such calendar quarter shall be considered a Representation Date) and the next occurring Representation Date. Notwithstanding the foregoing, if the Company subsequently decides to sell Placement Shares following a Representation Date with respect to which the Company relied on such waiver and did not provide the Agent with a certificate under this </w:t>
      </w:r>
      <w:r>
        <w:rPr>
          <w:rFonts w:ascii="Arial" w:cs="Arial" w:eastAsia="Arial" w:hAnsi="Arial"/>
          <w:sz w:val="21"/>
          <w:szCs w:val="21"/>
          <w:u w:val="single" w:color="auto"/>
          <w:color w:val="auto"/>
        </w:rPr>
        <w:t>Section 7(l)</w:t>
      </w:r>
      <w:r>
        <w:rPr>
          <w:rFonts w:ascii="Arial" w:cs="Arial" w:eastAsia="Arial" w:hAnsi="Arial"/>
          <w:sz w:val="21"/>
          <w:szCs w:val="21"/>
          <w:color w:val="auto"/>
        </w:rPr>
        <w:t xml:space="preserve">, then before the Company delivers the instructions for the sale of Placement Shares or the Agent sells any Placement Shares pursuant to such instructions, the Company shall provide the Agent with a certificate in conformity with this </w:t>
      </w:r>
      <w:r>
        <w:rPr>
          <w:rFonts w:ascii="Arial" w:cs="Arial" w:eastAsia="Arial" w:hAnsi="Arial"/>
          <w:sz w:val="21"/>
          <w:szCs w:val="21"/>
          <w:u w:val="single" w:color="auto"/>
          <w:color w:val="auto"/>
        </w:rPr>
        <w:t>Section 7(l)</w:t>
      </w:r>
      <w:r>
        <w:rPr>
          <w:rFonts w:ascii="Arial" w:cs="Arial" w:eastAsia="Arial" w:hAnsi="Arial"/>
          <w:sz w:val="21"/>
          <w:szCs w:val="21"/>
          <w:color w:val="auto"/>
        </w:rPr>
        <w:t xml:space="preserve"> dated as of the date of the Placement Notice or the date that instructions for the sale of Placement Shares are issued, as applicable.</w:t>
      </w:r>
    </w:p>
    <w:p>
      <w:pPr>
        <w:spacing w:after="0" w:line="185" w:lineRule="exact"/>
        <w:rPr>
          <w:sz w:val="20"/>
          <w:szCs w:val="20"/>
          <w:color w:val="auto"/>
        </w:rPr>
      </w:pPr>
    </w:p>
    <w:p>
      <w:pPr>
        <w:jc w:val="both"/>
        <w:ind w:firstLine="1296"/>
        <w:spacing w:after="0" w:line="271" w:lineRule="auto"/>
        <w:tabs>
          <w:tab w:leader="none" w:pos="2068"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Legal Opinion</w:t>
      </w:r>
      <w:r>
        <w:rPr>
          <w:rFonts w:ascii="Arial" w:cs="Arial" w:eastAsia="Arial" w:hAnsi="Arial"/>
          <w:sz w:val="19"/>
          <w:szCs w:val="19"/>
          <w:color w:val="auto"/>
        </w:rPr>
        <w:t xml:space="preserve">. (1) On or prior to the date on which the first Placement Notice is delivered and (2) within five (5) Trading Days of each Representation Date with respect to which the Company is obligated to deliver a certificate pursuant to </w:t>
      </w:r>
      <w:r>
        <w:rPr>
          <w:rFonts w:ascii="Arial" w:cs="Arial" w:eastAsia="Arial" w:hAnsi="Arial"/>
          <w:sz w:val="19"/>
          <w:szCs w:val="19"/>
          <w:u w:val="single" w:color="auto"/>
          <w:color w:val="auto"/>
        </w:rPr>
        <w:t>Section 7(l)</w:t>
      </w:r>
      <w:r>
        <w:rPr>
          <w:rFonts w:ascii="Arial" w:cs="Arial" w:eastAsia="Arial" w:hAnsi="Arial"/>
          <w:sz w:val="19"/>
          <w:szCs w:val="19"/>
          <w:color w:val="auto"/>
        </w:rPr>
        <w:t xml:space="preserve"> for which no waiver is applicable and excluding the date of this Agreement, the Company shall cause to be furnished to the Agent a negative assurance letter and a written opinion of Latham &amp; Watkins LLP (“</w:t>
      </w:r>
      <w:r>
        <w:rPr>
          <w:rFonts w:ascii="Arial" w:cs="Arial" w:eastAsia="Arial" w:hAnsi="Arial"/>
          <w:sz w:val="19"/>
          <w:szCs w:val="19"/>
          <w:b w:val="1"/>
          <w:bCs w:val="1"/>
          <w:u w:val="single" w:color="auto"/>
          <w:color w:val="auto"/>
        </w:rPr>
        <w:t>Company Counsel</w:t>
      </w:r>
      <w:r>
        <w:rPr>
          <w:rFonts w:ascii="Arial" w:cs="Arial" w:eastAsia="Arial" w:hAnsi="Arial"/>
          <w:sz w:val="19"/>
          <w:szCs w:val="19"/>
          <w:color w:val="auto"/>
        </w:rPr>
        <w:t xml:space="preserve">”), or other counsel satisfactory to the Agent, in form and substance reasonably satisfactory to the Agent and its counsel, substantially similar to the form previously provided to the Agent and its counsel, modified, as necessary, to relate to the Registration Statement and the Prospectus as then amended or supplemented;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the Company shall be required to furnish to Agent no more than one negative assurance letter and one opinion hereunder per calendar quarter;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in lieu of such negative assurance letters and opinions for subsequent periodic filings under the Exchange Act, counsel may furnish the Agent with a letter (a “</w:t>
      </w:r>
      <w:r>
        <w:rPr>
          <w:rFonts w:ascii="Arial" w:cs="Arial" w:eastAsia="Arial" w:hAnsi="Arial"/>
          <w:sz w:val="19"/>
          <w:szCs w:val="19"/>
          <w:b w:val="1"/>
          <w:bCs w:val="1"/>
          <w:u w:val="single" w:color="auto"/>
          <w:color w:val="auto"/>
        </w:rPr>
        <w:t>Reliance Letter</w:t>
      </w:r>
      <w:r>
        <w:rPr>
          <w:rFonts w:ascii="Arial" w:cs="Arial" w:eastAsia="Arial" w:hAnsi="Arial"/>
          <w:sz w:val="19"/>
          <w:szCs w:val="19"/>
          <w:color w:val="auto"/>
        </w:rPr>
        <w:t xml:space="preserve">”) to the effect that the Agent may rely on a prior negative assurance letter or opinion delivered under this </w:t>
      </w:r>
      <w:r>
        <w:rPr>
          <w:rFonts w:ascii="Arial" w:cs="Arial" w:eastAsia="Arial" w:hAnsi="Arial"/>
          <w:sz w:val="19"/>
          <w:szCs w:val="19"/>
          <w:u w:val="single" w:color="auto"/>
          <w:color w:val="auto"/>
        </w:rPr>
        <w:t>Section 7(m)</w:t>
      </w:r>
      <w:r>
        <w:rPr>
          <w:rFonts w:ascii="Arial" w:cs="Arial" w:eastAsia="Arial" w:hAnsi="Arial"/>
          <w:sz w:val="19"/>
          <w:szCs w:val="19"/>
          <w:color w:val="auto"/>
        </w:rPr>
        <w:t xml:space="preserve"> to the same extent as if it were dated the date of such letter (except that statements in such prior negative assurance letter or opinion shall be deemed to relate to the Registration Statement and the Prospectus as amended or supplemented as of the date of the Reliance Letter).</w:t>
      </w:r>
    </w:p>
    <w:p>
      <w:pPr>
        <w:spacing w:after="0" w:line="165" w:lineRule="exact"/>
        <w:rPr>
          <w:rFonts w:ascii="Arial" w:cs="Arial" w:eastAsia="Arial" w:hAnsi="Arial"/>
          <w:sz w:val="19"/>
          <w:szCs w:val="19"/>
          <w:color w:val="auto"/>
        </w:rPr>
      </w:pPr>
    </w:p>
    <w:p>
      <w:pPr>
        <w:jc w:val="both"/>
        <w:ind w:firstLine="1296"/>
        <w:spacing w:after="0" w:line="273" w:lineRule="auto"/>
        <w:tabs>
          <w:tab w:leader="none" w:pos="1981"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Intellectual Property Opinion</w:t>
      </w:r>
      <w:r>
        <w:rPr>
          <w:rFonts w:ascii="Arial" w:cs="Arial" w:eastAsia="Arial" w:hAnsi="Arial"/>
          <w:sz w:val="19"/>
          <w:szCs w:val="19"/>
          <w:color w:val="auto"/>
        </w:rPr>
        <w:t xml:space="preserve">. On or prior to the date of the first Placement Notice and within five (5) Trading Days of each Representation Date with respect to which the Company is obligated to deliver a certificate pursuant to </w:t>
      </w:r>
      <w:r>
        <w:rPr>
          <w:rFonts w:ascii="Arial" w:cs="Arial" w:eastAsia="Arial" w:hAnsi="Arial"/>
          <w:sz w:val="19"/>
          <w:szCs w:val="19"/>
          <w:u w:val="single" w:color="auto"/>
          <w:color w:val="auto"/>
        </w:rPr>
        <w:t>Section 7(l)</w:t>
      </w:r>
      <w:r>
        <w:rPr>
          <w:rFonts w:ascii="Arial" w:cs="Arial" w:eastAsia="Arial" w:hAnsi="Arial"/>
          <w:sz w:val="19"/>
          <w:szCs w:val="19"/>
          <w:color w:val="auto"/>
        </w:rPr>
        <w:t xml:space="preserve"> and for which no waiver is applicable, the Company shall cause to be furnished to the Agent a written opinion of the Company’s intellectual property counsel (“</w:t>
      </w:r>
      <w:r>
        <w:rPr>
          <w:rFonts w:ascii="Arial" w:cs="Arial" w:eastAsia="Arial" w:hAnsi="Arial"/>
          <w:sz w:val="19"/>
          <w:szCs w:val="19"/>
          <w:b w:val="1"/>
          <w:bCs w:val="1"/>
          <w:u w:val="single" w:color="auto"/>
          <w:color w:val="auto"/>
        </w:rPr>
        <w:t>Intellectual Property Counsel</w:t>
      </w:r>
      <w:r>
        <w:rPr>
          <w:rFonts w:ascii="Arial" w:cs="Arial" w:eastAsia="Arial" w:hAnsi="Arial"/>
          <w:sz w:val="19"/>
          <w:szCs w:val="19"/>
          <w:color w:val="auto"/>
        </w:rPr>
        <w:t xml:space="preserve">”), satisfactory to the Agent, in form and substance satisfactory to the Agent and its counsel, substantially similar to the form previously provided to the Agent and its counsel, modified, as necessary, to relate to the Registration Statement and the Prospectus as then amended or supplemented; provided, however, that in lieu of such opinions for subsequent periodic filings under the Exchange Act, Intellectual Property Counsel may furnish the Agent with a letter to the effect that the Agent may rely on a prior opinion delivered under this </w:t>
      </w:r>
      <w:r>
        <w:rPr>
          <w:rFonts w:ascii="Arial" w:cs="Arial" w:eastAsia="Arial" w:hAnsi="Arial"/>
          <w:sz w:val="19"/>
          <w:szCs w:val="19"/>
          <w:u w:val="single" w:color="auto"/>
          <w:color w:val="auto"/>
        </w:rPr>
        <w:t>Section 7(n)</w:t>
      </w:r>
      <w:r>
        <w:rPr>
          <w:rFonts w:ascii="Arial" w:cs="Arial" w:eastAsia="Arial" w:hAnsi="Arial"/>
          <w:sz w:val="19"/>
          <w:szCs w:val="19"/>
          <w:color w:val="auto"/>
        </w:rPr>
        <w:t xml:space="preserve"> to the same extent as if it were dated the date of such letter (except that statements in such prior opinion shall be deemed to relate to the Registration Statement and the Prospectus as amended or supplemented at such Representation Date).</w:t>
      </w:r>
    </w:p>
    <w:p>
      <w:pPr>
        <w:spacing w:after="0" w:line="156" w:lineRule="exact"/>
        <w:rPr>
          <w:rFonts w:ascii="Arial" w:cs="Arial" w:eastAsia="Arial" w:hAnsi="Arial"/>
          <w:sz w:val="19"/>
          <w:szCs w:val="19"/>
          <w:color w:val="auto"/>
        </w:rPr>
      </w:pPr>
    </w:p>
    <w:p>
      <w:pPr>
        <w:jc w:val="both"/>
        <w:ind w:firstLine="1296"/>
        <w:spacing w:after="0"/>
        <w:tabs>
          <w:tab w:leader="none" w:pos="2048"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Comfort Letter</w:t>
      </w:r>
      <w:r>
        <w:rPr>
          <w:rFonts w:ascii="Arial" w:cs="Arial" w:eastAsia="Arial" w:hAnsi="Arial"/>
          <w:sz w:val="22"/>
          <w:szCs w:val="22"/>
          <w:color w:val="auto"/>
        </w:rPr>
        <w:t xml:space="preserve">. (1) On or prior to the date on which the first Placement Notice is delivered and (2) within five (5) Trading Days of each Representation Date with respect to which the Company is obligated to deliver a certificate pursuant to </w:t>
      </w:r>
      <w:r>
        <w:rPr>
          <w:rFonts w:ascii="Arial" w:cs="Arial" w:eastAsia="Arial" w:hAnsi="Arial"/>
          <w:sz w:val="22"/>
          <w:szCs w:val="22"/>
          <w:u w:val="single" w:color="auto"/>
          <w:color w:val="auto"/>
        </w:rPr>
        <w:t>Section 7(l)</w:t>
      </w:r>
      <w:r>
        <w:rPr>
          <w:rFonts w:ascii="Arial" w:cs="Arial" w:eastAsia="Arial" w:hAnsi="Arial"/>
          <w:sz w:val="22"/>
          <w:szCs w:val="22"/>
          <w:color w:val="auto"/>
        </w:rPr>
        <w:t xml:space="preserve"> for which no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6" w:name="page27"/>
    <w:bookmarkEnd w:id="26"/>
    <w:p>
      <w:pPr>
        <w:jc w:val="both"/>
        <w:spacing w:after="0" w:line="272" w:lineRule="auto"/>
        <w:rPr>
          <w:sz w:val="20"/>
          <w:szCs w:val="20"/>
          <w:color w:val="auto"/>
        </w:rPr>
      </w:pPr>
      <w:r>
        <w:rPr>
          <w:rFonts w:ascii="Arial" w:cs="Arial" w:eastAsia="Arial" w:hAnsi="Arial"/>
          <w:sz w:val="19"/>
          <w:szCs w:val="19"/>
          <w:color w:val="auto"/>
        </w:rPr>
        <w:t>waiver is applicable and excluding the date of this Agreement, the Company shall cause its independent registered public accounting firm to furnish the Agent letters (the “</w:t>
      </w:r>
      <w:r>
        <w:rPr>
          <w:rFonts w:ascii="Arial" w:cs="Arial" w:eastAsia="Arial" w:hAnsi="Arial"/>
          <w:sz w:val="19"/>
          <w:szCs w:val="19"/>
          <w:b w:val="1"/>
          <w:bCs w:val="1"/>
          <w:u w:val="single" w:color="auto"/>
          <w:color w:val="auto"/>
        </w:rPr>
        <w:t>Comfort Letters</w:t>
      </w:r>
      <w:r>
        <w:rPr>
          <w:rFonts w:ascii="Arial" w:cs="Arial" w:eastAsia="Arial" w:hAnsi="Arial"/>
          <w:sz w:val="19"/>
          <w:szCs w:val="19"/>
          <w:color w:val="auto"/>
        </w:rPr>
        <w:t xml:space="preserve">”), dated the date the Comfort Letter is delivered, which shall meet the requirements set forth in this </w:t>
      </w:r>
      <w:r>
        <w:rPr>
          <w:rFonts w:ascii="Arial" w:cs="Arial" w:eastAsia="Arial" w:hAnsi="Arial"/>
          <w:sz w:val="19"/>
          <w:szCs w:val="19"/>
          <w:u w:val="single" w:color="auto"/>
          <w:color w:val="auto"/>
        </w:rPr>
        <w:t>Section 7(o)</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that if reasonably requested by the Agent, the Company shall cause a Comfort Letter to be furnished to the Agent within ten (10) Trading Days of the date of occurrence of any material transaction or event, including the restatement of the Company’s financial statements. The Comfort Letter from the Company’s independent registered public accounting firm shall be in a form and substance reasonably satisfactory to the Agent, (i) confirming that it is an independent registered public accounting firm within the meaning of the Securities Act and the PCAOB,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Arial" w:cs="Arial" w:eastAsia="Arial" w:hAnsi="Arial"/>
          <w:sz w:val="19"/>
          <w:szCs w:val="19"/>
          <w:b w:val="1"/>
          <w:bCs w:val="1"/>
          <w:u w:val="single" w:color="auto"/>
          <w:color w:val="auto"/>
        </w:rPr>
        <w:t>Initial Comfort Letter</w:t>
      </w:r>
      <w:r>
        <w:rPr>
          <w:rFonts w:ascii="Arial" w:cs="Arial" w:eastAsia="Arial" w:hAnsi="Arial"/>
          <w:sz w:val="19"/>
          <w:szCs w:val="19"/>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57" w:lineRule="exact"/>
        <w:rPr>
          <w:sz w:val="20"/>
          <w:szCs w:val="20"/>
          <w:color w:val="auto"/>
        </w:rPr>
      </w:pPr>
    </w:p>
    <w:p>
      <w:pPr>
        <w:jc w:val="both"/>
        <w:ind w:firstLine="1296"/>
        <w:spacing w:after="0" w:line="235" w:lineRule="auto"/>
        <w:tabs>
          <w:tab w:leader="none" w:pos="2143"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Market Activities</w:t>
      </w:r>
      <w:r>
        <w:rPr>
          <w:rFonts w:ascii="Arial" w:cs="Arial" w:eastAsia="Arial" w:hAnsi="Arial"/>
          <w:sz w:val="22"/>
          <w:szCs w:val="22"/>
          <w:color w:val="auto"/>
        </w:rPr>
        <w:t>. The Company will not, directly or indirectly, without giving effect to activities by the Agent (i) take any action designed to cause or result in, or that constitutes or would reasonably be expected to constitute, the stabilization or manipulation of the price of any security of the Company to facilitate the sale or resale of Common Stock in violation of Regulation M under the Exchange Act or (ii) sell, bid for, or purchase Common Stock, or pay anyone any compensation for soliciting purchases of the Placement Shares other than the Agent.</w:t>
      </w:r>
    </w:p>
    <w:p>
      <w:pPr>
        <w:spacing w:after="0" w:line="188" w:lineRule="exact"/>
        <w:rPr>
          <w:rFonts w:ascii="Arial" w:cs="Arial" w:eastAsia="Arial" w:hAnsi="Arial"/>
          <w:sz w:val="22"/>
          <w:szCs w:val="22"/>
          <w:color w:val="auto"/>
        </w:rPr>
      </w:pPr>
    </w:p>
    <w:p>
      <w:pPr>
        <w:jc w:val="both"/>
        <w:ind w:firstLine="1296"/>
        <w:spacing w:after="0" w:line="258" w:lineRule="auto"/>
        <w:tabs>
          <w:tab w:leader="none" w:pos="2089"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Investment Company Act</w:t>
      </w:r>
      <w:r>
        <w:rPr>
          <w:rFonts w:ascii="Arial" w:cs="Arial" w:eastAsia="Arial" w:hAnsi="Arial"/>
          <w:sz w:val="21"/>
          <w:szCs w:val="21"/>
          <w:color w:val="auto"/>
        </w:rPr>
        <w:t>. The Company will conduct its affairs in such a manner so as to reasonably ensure it will not be or become, at any time prior to the termination of this Agreement, required to register as an “investment company,” as such term is defined in the Investment Company Act.</w:t>
      </w:r>
    </w:p>
    <w:p>
      <w:pPr>
        <w:spacing w:after="0" w:line="166" w:lineRule="exact"/>
        <w:rPr>
          <w:rFonts w:ascii="Arial" w:cs="Arial" w:eastAsia="Arial" w:hAnsi="Arial"/>
          <w:sz w:val="21"/>
          <w:szCs w:val="21"/>
          <w:color w:val="auto"/>
        </w:rPr>
      </w:pPr>
    </w:p>
    <w:p>
      <w:pPr>
        <w:jc w:val="both"/>
        <w:ind w:firstLine="1296"/>
        <w:spacing w:after="0" w:line="282" w:lineRule="auto"/>
        <w:tabs>
          <w:tab w:leader="none" w:pos="2039"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No Offer to Sell</w:t>
      </w:r>
      <w:r>
        <w:rPr>
          <w:rFonts w:ascii="Arial" w:cs="Arial" w:eastAsia="Arial" w:hAnsi="Arial"/>
          <w:sz w:val="19"/>
          <w:szCs w:val="19"/>
          <w:color w:val="auto"/>
        </w:rPr>
        <w:t>. Other than an Issuer Free Writing Prospectus approved in advance by the Company and the Agent in its capacity as agent hereunder, neither the Agent nor the Company (including its agents and representatives, other than the Agent in its capacity as such) will make, use, prepare, authorize, approve or refer to any written communication (as defined in Rule 405 under the Securities Act), required to be filed with the Commission, that constitutes an offer to sell or solicitation of an offer to buy Placement Shares hereunder.</w:t>
      </w:r>
    </w:p>
    <w:p>
      <w:pPr>
        <w:spacing w:after="0" w:line="147" w:lineRule="exact"/>
        <w:rPr>
          <w:rFonts w:ascii="Arial" w:cs="Arial" w:eastAsia="Arial" w:hAnsi="Arial"/>
          <w:sz w:val="19"/>
          <w:szCs w:val="19"/>
          <w:color w:val="auto"/>
        </w:rPr>
      </w:pPr>
    </w:p>
    <w:p>
      <w:pPr>
        <w:jc w:val="both"/>
        <w:ind w:firstLine="1296"/>
        <w:spacing w:after="0" w:line="244" w:lineRule="auto"/>
        <w:tabs>
          <w:tab w:leader="none" w:pos="2159"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Blue Sky and Other Qualifications</w:t>
      </w:r>
      <w:r>
        <w:rPr>
          <w:rFonts w:ascii="Arial" w:cs="Arial" w:eastAsia="Arial" w:hAnsi="Arial"/>
          <w:sz w:val="21"/>
          <w:szCs w:val="21"/>
          <w:i w:val="1"/>
          <w:iCs w:val="1"/>
          <w:color w:val="auto"/>
        </w:rPr>
        <w:t>.</w:t>
      </w:r>
      <w:r>
        <w:rPr>
          <w:rFonts w:ascii="Arial" w:cs="Arial" w:eastAsia="Arial" w:hAnsi="Arial"/>
          <w:sz w:val="21"/>
          <w:szCs w:val="21"/>
          <w:color w:val="auto"/>
        </w:rPr>
        <w:t xml:space="preserve"> The Company will use its commercially reasonable efforts, in cooperation with the Agent, to qualify the Placement Shares for offering and sale, or to obtain an exemption for the Placement Shares to be offered and sold, under the applicable securities laws of such states and other jurisdictions (domestic or foreign) as the Agent may designate and to maintain such qualifications and exemptions in effect for so long as required for the distribution of the Placement Shares (but in no event for less than one year from the date of this Agreement);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27" w:name="page28"/>
    <w:bookmarkEnd w:id="27"/>
    <w:p>
      <w:pPr>
        <w:ind w:left="1"/>
        <w:spacing w:after="0" w:line="251" w:lineRule="auto"/>
        <w:rPr>
          <w:sz w:val="20"/>
          <w:szCs w:val="20"/>
          <w:color w:val="auto"/>
        </w:rPr>
      </w:pPr>
      <w:r>
        <w:rPr>
          <w:rFonts w:ascii="Arial" w:cs="Arial" w:eastAsia="Arial" w:hAnsi="Arial"/>
          <w:sz w:val="22"/>
          <w:szCs w:val="22"/>
          <w:color w:val="auto"/>
        </w:rPr>
        <w:t>exemption, as the case may be, in effect for so long as required for the distribution of the Placement Shares (but in no event for less than one year from the date of this Agreement).</w:t>
      </w:r>
    </w:p>
    <w:p>
      <w:pPr>
        <w:spacing w:after="0" w:line="173" w:lineRule="exact"/>
        <w:rPr>
          <w:sz w:val="20"/>
          <w:szCs w:val="20"/>
          <w:color w:val="auto"/>
        </w:rPr>
      </w:pPr>
    </w:p>
    <w:p>
      <w:pPr>
        <w:jc w:val="both"/>
        <w:ind w:left="1" w:firstLine="1296"/>
        <w:spacing w:after="0" w:line="270" w:lineRule="auto"/>
        <w:tabs>
          <w:tab w:leader="none" w:pos="2244" w:val="left"/>
        </w:tabs>
        <w:numPr>
          <w:ilvl w:val="2"/>
          <w:numId w:val="40"/>
        </w:numPr>
        <w:rPr>
          <w:rFonts w:ascii="Arial" w:cs="Arial" w:eastAsia="Arial" w:hAnsi="Arial"/>
          <w:sz w:val="19"/>
          <w:szCs w:val="19"/>
          <w:color w:val="auto"/>
        </w:rPr>
      </w:pPr>
      <w:r>
        <w:rPr>
          <w:rFonts w:ascii="Arial" w:cs="Arial" w:eastAsia="Arial" w:hAnsi="Arial"/>
          <w:sz w:val="19"/>
          <w:szCs w:val="19"/>
          <w:u w:val="single" w:color="auto"/>
          <w:color w:val="auto"/>
        </w:rPr>
        <w:t>Sarbanes-Oxley Act</w:t>
      </w:r>
      <w:r>
        <w:rPr>
          <w:rFonts w:ascii="Arial" w:cs="Arial" w:eastAsia="Arial" w:hAnsi="Arial"/>
          <w:sz w:val="19"/>
          <w:szCs w:val="19"/>
          <w:color w:val="auto"/>
        </w:rPr>
        <w:t>. The Company will maintain and keep accurate books and records reflecting its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w:t>
      </w:r>
    </w:p>
    <w:p>
      <w:pPr>
        <w:spacing w:after="0" w:line="4" w:lineRule="exact"/>
        <w:rPr>
          <w:rFonts w:ascii="Arial" w:cs="Arial" w:eastAsia="Arial" w:hAnsi="Arial"/>
          <w:sz w:val="19"/>
          <w:szCs w:val="19"/>
          <w:color w:val="auto"/>
        </w:rPr>
      </w:pPr>
    </w:p>
    <w:p>
      <w:pPr>
        <w:jc w:val="both"/>
        <w:ind w:left="1" w:hanging="1"/>
        <w:spacing w:after="0" w:line="270" w:lineRule="auto"/>
        <w:tabs>
          <w:tab w:leader="none" w:pos="368" w:val="left"/>
        </w:tabs>
        <w:numPr>
          <w:ilvl w:val="0"/>
          <w:numId w:val="41"/>
        </w:numPr>
        <w:rPr>
          <w:rFonts w:ascii="Arial" w:cs="Arial" w:eastAsia="Arial" w:hAnsi="Arial"/>
          <w:sz w:val="19"/>
          <w:szCs w:val="19"/>
          <w:color w:val="auto"/>
        </w:rPr>
      </w:pPr>
      <w:r>
        <w:rPr>
          <w:rFonts w:ascii="Arial" w:cs="Arial" w:eastAsia="Arial" w:hAnsi="Arial"/>
          <w:sz w:val="19"/>
          <w:szCs w:val="19"/>
          <w:color w:val="auto"/>
        </w:rPr>
        <w:t>provide reasonable assurance that transactions are recorded as necessary to permit the preparation of the Company’s financial statements in accordance with GAAP,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is made known to it by others within the Company, particularly during the period in which such periodic reports are being prepared.</w:t>
      </w:r>
    </w:p>
    <w:p>
      <w:pPr>
        <w:spacing w:after="0" w:line="157" w:lineRule="exact"/>
        <w:rPr>
          <w:rFonts w:ascii="Arial" w:cs="Arial" w:eastAsia="Arial" w:hAnsi="Arial"/>
          <w:sz w:val="19"/>
          <w:szCs w:val="19"/>
          <w:color w:val="auto"/>
        </w:rPr>
      </w:pPr>
    </w:p>
    <w:p>
      <w:pPr>
        <w:jc w:val="both"/>
        <w:ind w:left="1" w:firstLine="1296"/>
        <w:spacing w:after="0" w:line="274" w:lineRule="auto"/>
        <w:tabs>
          <w:tab w:leader="none" w:pos="2130" w:val="left"/>
        </w:tabs>
        <w:numPr>
          <w:ilvl w:val="2"/>
          <w:numId w:val="41"/>
        </w:numPr>
        <w:rPr>
          <w:rFonts w:ascii="Arial" w:cs="Arial" w:eastAsia="Arial" w:hAnsi="Arial"/>
          <w:sz w:val="19"/>
          <w:szCs w:val="19"/>
          <w:color w:val="auto"/>
        </w:rPr>
      </w:pPr>
      <w:r>
        <w:rPr>
          <w:rFonts w:ascii="Arial" w:cs="Arial" w:eastAsia="Arial" w:hAnsi="Arial"/>
          <w:sz w:val="19"/>
          <w:szCs w:val="19"/>
          <w:u w:val="single" w:color="auto"/>
          <w:color w:val="auto"/>
        </w:rPr>
        <w:t>Secretary’s Certificate; Further Documentation</w:t>
      </w:r>
      <w:r>
        <w:rPr>
          <w:rFonts w:ascii="Arial" w:cs="Arial" w:eastAsia="Arial" w:hAnsi="Arial"/>
          <w:sz w:val="19"/>
          <w:szCs w:val="19"/>
          <w:color w:val="auto"/>
        </w:rPr>
        <w:t>. On or prior to the date on which the first Placement Notice is delivered, the Company shall deliver to the Agent a certificate of the Secretary of the Company and attested to by an executive officer of the Company, dated as of such date, certifying as to (i) the Certificate of Incorporation of the Company, (ii) the By-laws of the Company, (iii) the resolutions of the Board of Directors of the Company authorizing the execution, delivery and performance of this Agreement and the issuance of the Placement Shares and (iv) the incumbency of the officers duly authorized to execute this Agreement and the other documents contemplated by this Agreement. Within five (5) Trading Days of each Representation Date for which a Suspension is not in effect, upon the Agent’s request, the Company shall have furnished to the Agent such further information, certificates and documents as the Agent may reasonably request.</w:t>
      </w:r>
    </w:p>
    <w:p>
      <w:pPr>
        <w:spacing w:after="0" w:line="158" w:lineRule="exact"/>
        <w:rPr>
          <w:rFonts w:ascii="Arial" w:cs="Arial" w:eastAsia="Arial" w:hAnsi="Arial"/>
          <w:sz w:val="19"/>
          <w:szCs w:val="19"/>
          <w:color w:val="auto"/>
        </w:rPr>
      </w:pPr>
    </w:p>
    <w:p>
      <w:pPr>
        <w:jc w:val="both"/>
        <w:ind w:left="1" w:firstLine="1296"/>
        <w:spacing w:after="0" w:line="252" w:lineRule="auto"/>
        <w:tabs>
          <w:tab w:leader="none" w:pos="2009" w:val="left"/>
        </w:tabs>
        <w:numPr>
          <w:ilvl w:val="2"/>
          <w:numId w:val="41"/>
        </w:numPr>
        <w:rPr>
          <w:rFonts w:ascii="Arial" w:cs="Arial" w:eastAsia="Arial" w:hAnsi="Arial"/>
          <w:sz w:val="21"/>
          <w:szCs w:val="21"/>
          <w:color w:val="auto"/>
        </w:rPr>
      </w:pPr>
      <w:r>
        <w:rPr>
          <w:rFonts w:ascii="Arial" w:cs="Arial" w:eastAsia="Arial" w:hAnsi="Arial"/>
          <w:sz w:val="21"/>
          <w:szCs w:val="21"/>
          <w:u w:val="single" w:color="auto"/>
          <w:color w:val="auto"/>
        </w:rPr>
        <w:t>Securities Act and Exchange Act</w:t>
      </w:r>
      <w:r>
        <w:rPr>
          <w:rFonts w:ascii="Arial" w:cs="Arial" w:eastAsia="Arial" w:hAnsi="Arial"/>
          <w:sz w:val="21"/>
          <w:szCs w:val="21"/>
          <w:color w:val="auto"/>
        </w:rPr>
        <w:t>. The Company will use its commercially reasonable efforts to comply with all requirements imposed upon it by the Securities Act and the Exchange Act as from time to time in force, so far as necessary to permit the continuance of sales of, or dealings in, the Placement Shares as contemplated by the provisions hereof and the Registration Statement and the Prospectus.</w:t>
      </w:r>
    </w:p>
    <w:p>
      <w:pPr>
        <w:spacing w:after="0" w:line="174" w:lineRule="exact"/>
        <w:rPr>
          <w:rFonts w:ascii="Arial" w:cs="Arial" w:eastAsia="Arial" w:hAnsi="Arial"/>
          <w:sz w:val="21"/>
          <w:szCs w:val="21"/>
          <w:color w:val="auto"/>
        </w:rPr>
      </w:pPr>
    </w:p>
    <w:p>
      <w:pPr>
        <w:ind w:left="1" w:firstLine="648"/>
        <w:spacing w:after="0" w:line="251" w:lineRule="auto"/>
        <w:tabs>
          <w:tab w:leader="none" w:pos="1595" w:val="left"/>
        </w:tabs>
        <w:numPr>
          <w:ilvl w:val="1"/>
          <w:numId w:val="41"/>
        </w:numPr>
        <w:rPr>
          <w:rFonts w:ascii="Arial" w:cs="Arial" w:eastAsia="Arial" w:hAnsi="Arial"/>
          <w:sz w:val="22"/>
          <w:szCs w:val="22"/>
          <w:color w:val="auto"/>
        </w:rPr>
      </w:pPr>
      <w:r>
        <w:rPr>
          <w:rFonts w:ascii="Arial" w:cs="Arial" w:eastAsia="Arial" w:hAnsi="Arial"/>
          <w:sz w:val="22"/>
          <w:szCs w:val="22"/>
          <w:u w:val="single" w:color="auto"/>
          <w:color w:val="auto"/>
        </w:rPr>
        <w:t>Payment of Expenses</w:t>
      </w:r>
      <w:r>
        <w:rPr>
          <w:rFonts w:ascii="Arial" w:cs="Arial" w:eastAsia="Arial" w:hAnsi="Arial"/>
          <w:sz w:val="22"/>
          <w:szCs w:val="22"/>
          <w:color w:val="auto"/>
        </w:rPr>
        <w:t>. The Company will pay all expenses incident to the performance of its obligations under this Agreement, including (i) the preparation and filing of the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28" w:name="page29"/>
    <w:bookmarkEnd w:id="28"/>
    <w:p>
      <w:pPr>
        <w:jc w:val="both"/>
        <w:ind w:left="1"/>
        <w:spacing w:after="0" w:line="269" w:lineRule="auto"/>
        <w:rPr>
          <w:sz w:val="20"/>
          <w:szCs w:val="20"/>
          <w:color w:val="auto"/>
        </w:rPr>
      </w:pPr>
      <w:r>
        <w:rPr>
          <w:rFonts w:ascii="Arial" w:cs="Arial" w:eastAsia="Arial" w:hAnsi="Arial"/>
          <w:sz w:val="19"/>
          <w:szCs w:val="19"/>
          <w:color w:val="auto"/>
        </w:rPr>
        <w:t>Registration Statement, including any fees required by the Commission, and the printing or electronic delivery of the Prospectus as originally filed and of each amendment and supplement thereto, in such number as the Agent shall deem necessary, (ii) the printing and delivery to the Agent of this Agreement and such other documents as may reasonably be required pursuant to this Agreement in connection with the offering, purchase, sale, issuance or delivery of the Placement Shares, (iii) the preparation, issuance and delivery of the certificates, if any, for the Placement Shares to the Agent, including any stock or other transfer taxes and any capital duties, stamp duties or other duties or taxes payable upon the sale, issuance or delivery of the Placement Shares to the Agent, (iv) the fees and disbursements of the counsel, accountants and other advisors to the Company, (v) the fees and disbursements of the counsel to the Agent, payable upon the execution of this Agreement, in an amount not to exceed $50,000,</w:t>
      </w:r>
    </w:p>
    <w:p>
      <w:pPr>
        <w:spacing w:after="0" w:line="2" w:lineRule="exact"/>
        <w:rPr>
          <w:sz w:val="20"/>
          <w:szCs w:val="20"/>
          <w:color w:val="auto"/>
        </w:rPr>
      </w:pPr>
    </w:p>
    <w:p>
      <w:pPr>
        <w:jc w:val="both"/>
        <w:ind w:left="1" w:hanging="1"/>
        <w:spacing w:after="0" w:line="243" w:lineRule="auto"/>
        <w:tabs>
          <w:tab w:leader="none" w:pos="407" w:val="left"/>
        </w:tabs>
        <w:numPr>
          <w:ilvl w:val="0"/>
          <w:numId w:val="42"/>
        </w:numPr>
        <w:rPr>
          <w:rFonts w:ascii="Arial" w:cs="Arial" w:eastAsia="Arial" w:hAnsi="Arial"/>
          <w:sz w:val="21"/>
          <w:szCs w:val="21"/>
          <w:color w:val="auto"/>
        </w:rPr>
      </w:pPr>
      <w:r>
        <w:rPr>
          <w:rFonts w:ascii="Arial" w:cs="Arial" w:eastAsia="Arial" w:hAnsi="Arial"/>
          <w:sz w:val="21"/>
          <w:szCs w:val="21"/>
          <w:color w:val="auto"/>
        </w:rPr>
        <w:t xml:space="preserve">the qualification or exemption of the Placement Shares under state securities laws in accordance with the provisions of </w:t>
      </w:r>
      <w:r>
        <w:rPr>
          <w:rFonts w:ascii="Arial" w:cs="Arial" w:eastAsia="Arial" w:hAnsi="Arial"/>
          <w:sz w:val="21"/>
          <w:szCs w:val="21"/>
          <w:u w:val="single" w:color="auto"/>
          <w:color w:val="auto"/>
        </w:rPr>
        <w:t>Section 7(s)</w:t>
      </w:r>
      <w:r>
        <w:rPr>
          <w:rFonts w:ascii="Arial" w:cs="Arial" w:eastAsia="Arial" w:hAnsi="Arial"/>
          <w:sz w:val="21"/>
          <w:szCs w:val="21"/>
          <w:color w:val="auto"/>
        </w:rPr>
        <w:t xml:space="preserve"> hereof, including filing fees, but excluding fees of the Agent’s counsel, (vii) the printing and delivery to the Agent of copies of any Issuer Free Writing Prospectus and the Prospectus and any amendments or supplements thereto in such number as the Agent shall reasonably deem necessary, (viii) the preparation, printing and delivery to the Agent of copies of the blue sky survey, (ix) the fees and expenses of the transfer agent and registrar for the Common Stock, (x) the filing and other fees incident to any review by FINRA of the terms of the sale of the Placement Shares including the fees of the Agent’s counsel (subject to the cap set forth in clause (v) above), and (xi) the fees and expenses incurred in connection with the listing of the Placement Shares on the Exchange.</w:t>
      </w:r>
    </w:p>
    <w:p>
      <w:pPr>
        <w:spacing w:after="0" w:line="185" w:lineRule="exact"/>
        <w:rPr>
          <w:rFonts w:ascii="Arial" w:cs="Arial" w:eastAsia="Arial" w:hAnsi="Arial"/>
          <w:sz w:val="21"/>
          <w:szCs w:val="21"/>
          <w:color w:val="auto"/>
        </w:rPr>
      </w:pPr>
    </w:p>
    <w:p>
      <w:pPr>
        <w:jc w:val="both"/>
        <w:ind w:left="1" w:firstLine="648"/>
        <w:spacing w:after="0" w:line="273" w:lineRule="auto"/>
        <w:tabs>
          <w:tab w:leader="none" w:pos="1500" w:val="left"/>
        </w:tabs>
        <w:numPr>
          <w:ilvl w:val="1"/>
          <w:numId w:val="42"/>
        </w:numPr>
        <w:rPr>
          <w:rFonts w:ascii="Arial" w:cs="Arial" w:eastAsia="Arial" w:hAnsi="Arial"/>
          <w:sz w:val="19"/>
          <w:szCs w:val="19"/>
          <w:color w:val="auto"/>
        </w:rPr>
      </w:pPr>
      <w:r>
        <w:rPr>
          <w:rFonts w:ascii="Arial" w:cs="Arial" w:eastAsia="Arial" w:hAnsi="Arial"/>
          <w:sz w:val="19"/>
          <w:szCs w:val="19"/>
          <w:u w:val="single" w:color="auto"/>
          <w:color w:val="auto"/>
        </w:rPr>
        <w:t>Representations and Covenants of the Agent</w:t>
      </w:r>
      <w:r>
        <w:rPr>
          <w:rFonts w:ascii="Arial" w:cs="Arial" w:eastAsia="Arial" w:hAnsi="Arial"/>
          <w:sz w:val="19"/>
          <w:szCs w:val="19"/>
          <w:color w:val="auto"/>
        </w:rPr>
        <w:t>. The Agent represents and warrants that it is duly registered as a broker-dealer under FINRA, the Exchange Act and the applicable statutes and regulations of each state in which the Placement Shares will be offered and sold, except such states in which the Agent is exempt from registration or such registration is not otherwise required or would not otherwise have a material impact on the sale of the Placement Shares as contemplated hereunder. The Agent shall continue, for the term of this Agreement, to be duly registered as a broker-dealer under FINRA, the Exchange Act and the applicable statutes and regulations of each state in which the Placement Shares will be offered and sold, except such states in which the Agent is exempt from registration or such registration is not otherwise required or would not otherwise have a material impact on the sale of the Placement Shares as contemplated hereunder, during the term of this Agreement. The Agent will comply, in all material respects, with all applicable law and regulations in connection with the Placement Shares, including Regulation M under the Securities Act.</w:t>
      </w:r>
    </w:p>
    <w:p>
      <w:pPr>
        <w:spacing w:after="0" w:line="156" w:lineRule="exact"/>
        <w:rPr>
          <w:rFonts w:ascii="Arial" w:cs="Arial" w:eastAsia="Arial" w:hAnsi="Arial"/>
          <w:sz w:val="19"/>
          <w:szCs w:val="19"/>
          <w:color w:val="auto"/>
        </w:rPr>
      </w:pPr>
    </w:p>
    <w:p>
      <w:pPr>
        <w:jc w:val="both"/>
        <w:ind w:left="1" w:firstLine="648"/>
        <w:spacing w:after="0" w:line="235" w:lineRule="auto"/>
        <w:tabs>
          <w:tab w:leader="none" w:pos="1554" w:val="left"/>
        </w:tabs>
        <w:numPr>
          <w:ilvl w:val="1"/>
          <w:numId w:val="42"/>
        </w:numPr>
        <w:rPr>
          <w:rFonts w:ascii="Arial" w:cs="Arial" w:eastAsia="Arial" w:hAnsi="Arial"/>
          <w:sz w:val="22"/>
          <w:szCs w:val="22"/>
          <w:color w:val="auto"/>
        </w:rPr>
      </w:pPr>
      <w:r>
        <w:rPr>
          <w:rFonts w:ascii="Arial" w:cs="Arial" w:eastAsia="Arial" w:hAnsi="Arial"/>
          <w:sz w:val="22"/>
          <w:szCs w:val="22"/>
          <w:u w:val="single" w:color="auto"/>
          <w:color w:val="auto"/>
        </w:rPr>
        <w:t>Conditions to Agent’s Obligations</w:t>
      </w:r>
      <w:r>
        <w:rPr>
          <w:rFonts w:ascii="Arial" w:cs="Arial" w:eastAsia="Arial" w:hAnsi="Arial"/>
          <w:sz w:val="22"/>
          <w:szCs w:val="22"/>
          <w:color w:val="auto"/>
        </w:rPr>
        <w:t>. The obligations of the Agent hereunder with respect to a Placement will be subject to the continuing accuracy and completeness of the representations and warranties made by the Company herein, to the due performance in all material respects by the Company of its obligations hereunder, to the completion by the Agent of a due diligence review satisfactory to it in its reasonable judgment, and to the continuing satisfaction (or waiver by the Agent in its sole discretion) in all material respects of the following additional conditions:</w:t>
      </w:r>
    </w:p>
    <w:p>
      <w:pPr>
        <w:spacing w:after="0" w:line="188" w:lineRule="exact"/>
        <w:rPr>
          <w:rFonts w:ascii="Arial" w:cs="Arial" w:eastAsia="Arial" w:hAnsi="Arial"/>
          <w:sz w:val="22"/>
          <w:szCs w:val="22"/>
          <w:color w:val="auto"/>
        </w:rPr>
      </w:pPr>
    </w:p>
    <w:p>
      <w:pPr>
        <w:jc w:val="both"/>
        <w:ind w:left="1" w:firstLine="1296"/>
        <w:spacing w:after="0" w:line="258" w:lineRule="auto"/>
        <w:tabs>
          <w:tab w:leader="none" w:pos="2131" w:val="left"/>
        </w:tabs>
        <w:numPr>
          <w:ilvl w:val="2"/>
          <w:numId w:val="42"/>
        </w:numPr>
        <w:rPr>
          <w:rFonts w:ascii="Arial" w:cs="Arial" w:eastAsia="Arial" w:hAnsi="Arial"/>
          <w:sz w:val="21"/>
          <w:szCs w:val="21"/>
          <w:color w:val="auto"/>
        </w:rPr>
      </w:pPr>
      <w:r>
        <w:rPr>
          <w:rFonts w:ascii="Arial" w:cs="Arial" w:eastAsia="Arial" w:hAnsi="Arial"/>
          <w:sz w:val="21"/>
          <w:szCs w:val="21"/>
          <w:u w:val="single" w:color="auto"/>
          <w:color w:val="auto"/>
        </w:rPr>
        <w:t>Registration Statement Effective</w:t>
      </w:r>
      <w:r>
        <w:rPr>
          <w:rFonts w:ascii="Arial" w:cs="Arial" w:eastAsia="Arial" w:hAnsi="Arial"/>
          <w:sz w:val="21"/>
          <w:szCs w:val="21"/>
          <w:color w:val="auto"/>
        </w:rPr>
        <w:t>. The Registration Statement shall have become effective and shall be available for the (i) resale of all Placement Shares issued to the Agent and not yet sold by the Agent and (ii) sale of all Placement Shares contemplated to be issued by any Placement Notice.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29" w:name="page30"/>
    <w:bookmarkEnd w:id="29"/>
    <w:p>
      <w:pPr>
        <w:ind w:left="2081" w:hanging="784"/>
        <w:spacing w:after="0"/>
        <w:tabs>
          <w:tab w:leader="none" w:pos="2081" w:val="left"/>
        </w:tabs>
        <w:numPr>
          <w:ilvl w:val="1"/>
          <w:numId w:val="43"/>
        </w:numPr>
        <w:rPr>
          <w:rFonts w:ascii="Arial" w:cs="Arial" w:eastAsia="Arial" w:hAnsi="Arial"/>
          <w:sz w:val="19"/>
          <w:szCs w:val="19"/>
          <w:color w:val="auto"/>
        </w:rPr>
      </w:pPr>
      <w:r>
        <w:rPr>
          <w:rFonts w:ascii="Arial" w:cs="Arial" w:eastAsia="Arial" w:hAnsi="Arial"/>
          <w:sz w:val="19"/>
          <w:szCs w:val="19"/>
          <w:u w:val="single" w:color="auto"/>
          <w:color w:val="auto"/>
        </w:rPr>
        <w:t>No Material Notices</w:t>
      </w:r>
      <w:r>
        <w:rPr>
          <w:rFonts w:ascii="Arial" w:cs="Arial" w:eastAsia="Arial" w:hAnsi="Arial"/>
          <w:sz w:val="19"/>
          <w:szCs w:val="19"/>
          <w:color w:val="auto"/>
        </w:rPr>
        <w:t>. None of the following events shall have occurred and be continuing:</w:t>
      </w:r>
    </w:p>
    <w:p>
      <w:pPr>
        <w:spacing w:after="0" w:line="42" w:lineRule="exact"/>
        <w:rPr>
          <w:rFonts w:ascii="Arial" w:cs="Arial" w:eastAsia="Arial" w:hAnsi="Arial"/>
          <w:sz w:val="19"/>
          <w:szCs w:val="19"/>
          <w:color w:val="auto"/>
        </w:rPr>
      </w:pPr>
    </w:p>
    <w:p>
      <w:pPr>
        <w:jc w:val="both"/>
        <w:ind w:left="1" w:hanging="1"/>
        <w:spacing w:after="0" w:line="269" w:lineRule="auto"/>
        <w:tabs>
          <w:tab w:leader="none" w:pos="272" w:val="left"/>
        </w:tabs>
        <w:numPr>
          <w:ilvl w:val="0"/>
          <w:numId w:val="44"/>
        </w:numPr>
        <w:rPr>
          <w:rFonts w:ascii="Arial" w:cs="Arial" w:eastAsia="Arial" w:hAnsi="Arial"/>
          <w:sz w:val="19"/>
          <w:szCs w:val="19"/>
          <w:color w:val="auto"/>
        </w:rPr>
      </w:pPr>
      <w:r>
        <w:rPr>
          <w:rFonts w:ascii="Arial" w:cs="Arial" w:eastAsia="Arial" w:hAnsi="Arial"/>
          <w:sz w:val="19"/>
          <w:szCs w:val="19"/>
          <w:color w:val="auto"/>
        </w:rPr>
        <w:t>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document incorporated or deemed to be incorporated therein by reference untrue in any material respect or that requires the making of any material changes in the Registration Statement, the Prospectus or the Incorporated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left="1" w:firstLine="1296"/>
        <w:spacing w:after="0" w:line="287" w:lineRule="auto"/>
        <w:tabs>
          <w:tab w:leader="none" w:pos="1996" w:val="left"/>
        </w:tabs>
        <w:numPr>
          <w:ilvl w:val="1"/>
          <w:numId w:val="44"/>
        </w:numPr>
        <w:rPr>
          <w:rFonts w:ascii="Arial" w:cs="Arial" w:eastAsia="Arial" w:hAnsi="Arial"/>
          <w:sz w:val="19"/>
          <w:szCs w:val="19"/>
          <w:color w:val="auto"/>
        </w:rPr>
      </w:pPr>
      <w:r>
        <w:rPr>
          <w:rFonts w:ascii="Arial" w:cs="Arial" w:eastAsia="Arial" w:hAnsi="Arial"/>
          <w:sz w:val="19"/>
          <w:szCs w:val="19"/>
          <w:u w:val="single" w:color="auto"/>
          <w:color w:val="auto"/>
        </w:rPr>
        <w:t>No Misstatement or Material Omission</w:t>
      </w:r>
      <w:r>
        <w:rPr>
          <w:rFonts w:ascii="Arial" w:cs="Arial" w:eastAsia="Arial" w:hAnsi="Arial"/>
          <w:sz w:val="19"/>
          <w:szCs w:val="19"/>
          <w:color w:val="auto"/>
        </w:rPr>
        <w:t>. The Agent shall not have advised the Company that the Registration Statement or Prospectus,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43" w:lineRule="exact"/>
        <w:rPr>
          <w:rFonts w:ascii="Arial" w:cs="Arial" w:eastAsia="Arial" w:hAnsi="Arial"/>
          <w:sz w:val="19"/>
          <w:szCs w:val="19"/>
          <w:color w:val="auto"/>
        </w:rPr>
      </w:pPr>
    </w:p>
    <w:p>
      <w:pPr>
        <w:jc w:val="both"/>
        <w:ind w:left="1" w:firstLine="1296"/>
        <w:spacing w:after="0" w:line="273" w:lineRule="auto"/>
        <w:tabs>
          <w:tab w:leader="none" w:pos="2036" w:val="left"/>
        </w:tabs>
        <w:numPr>
          <w:ilvl w:val="1"/>
          <w:numId w:val="44"/>
        </w:numPr>
        <w:rPr>
          <w:rFonts w:ascii="Arial" w:cs="Arial" w:eastAsia="Arial" w:hAnsi="Arial"/>
          <w:sz w:val="19"/>
          <w:szCs w:val="19"/>
          <w:color w:val="auto"/>
        </w:rPr>
      </w:pPr>
      <w:r>
        <w:rPr>
          <w:rFonts w:ascii="Arial" w:cs="Arial" w:eastAsia="Arial" w:hAnsi="Arial"/>
          <w:sz w:val="19"/>
          <w:szCs w:val="19"/>
          <w:u w:val="single" w:color="auto"/>
          <w:color w:val="auto"/>
        </w:rPr>
        <w:t>Material Changes</w:t>
      </w:r>
      <w:r>
        <w:rPr>
          <w:rFonts w:ascii="Arial" w:cs="Arial" w:eastAsia="Arial" w:hAnsi="Arial"/>
          <w:sz w:val="19"/>
          <w:szCs w:val="19"/>
          <w:color w:val="auto"/>
        </w:rPr>
        <w:t>. Except as contemplated in the Prospectus, or disclosed in the Company’s reports filed with the Commission, there shall not have been any material adverse change in the authorized capital stock of the Company or any Material Adverse Effect or any development that could reasonably be expected to cause a Material Adverse Effect, or a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the Agent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61" w:lineRule="exact"/>
        <w:rPr>
          <w:rFonts w:ascii="Arial" w:cs="Arial" w:eastAsia="Arial" w:hAnsi="Arial"/>
          <w:sz w:val="19"/>
          <w:szCs w:val="19"/>
          <w:color w:val="auto"/>
        </w:rPr>
      </w:pPr>
    </w:p>
    <w:p>
      <w:pPr>
        <w:jc w:val="both"/>
        <w:ind w:left="1" w:firstLine="1296"/>
        <w:spacing w:after="0" w:line="258" w:lineRule="auto"/>
        <w:tabs>
          <w:tab w:leader="none" w:pos="2199" w:val="left"/>
        </w:tabs>
        <w:numPr>
          <w:ilvl w:val="1"/>
          <w:numId w:val="44"/>
        </w:numPr>
        <w:rPr>
          <w:rFonts w:ascii="Arial" w:cs="Arial" w:eastAsia="Arial" w:hAnsi="Arial"/>
          <w:sz w:val="21"/>
          <w:szCs w:val="21"/>
          <w:color w:val="auto"/>
        </w:rPr>
      </w:pPr>
      <w:r>
        <w:rPr>
          <w:rFonts w:ascii="Arial" w:cs="Arial" w:eastAsia="Arial" w:hAnsi="Arial"/>
          <w:sz w:val="21"/>
          <w:szCs w:val="21"/>
          <w:u w:val="single" w:color="auto"/>
          <w:color w:val="auto"/>
        </w:rPr>
        <w:t>Legal Opinions</w:t>
      </w:r>
      <w:r>
        <w:rPr>
          <w:rFonts w:ascii="Arial" w:cs="Arial" w:eastAsia="Arial" w:hAnsi="Arial"/>
          <w:sz w:val="21"/>
          <w:szCs w:val="21"/>
          <w:color w:val="auto"/>
        </w:rPr>
        <w:t xml:space="preserve">. The Agent shall have received the opinions of Company Counsel and Intellectual Property Counsel required to be delivered pursuant to </w:t>
      </w:r>
      <w:r>
        <w:rPr>
          <w:rFonts w:ascii="Arial" w:cs="Arial" w:eastAsia="Arial" w:hAnsi="Arial"/>
          <w:sz w:val="21"/>
          <w:szCs w:val="21"/>
          <w:u w:val="single" w:color="auto"/>
          <w:color w:val="auto"/>
        </w:rPr>
        <w:t>Sections 7(m)</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7(n)</w:t>
      </w:r>
      <w:r>
        <w:rPr>
          <w:rFonts w:ascii="Arial" w:cs="Arial" w:eastAsia="Arial" w:hAnsi="Arial"/>
          <w:sz w:val="21"/>
          <w:szCs w:val="21"/>
          <w:color w:val="auto"/>
        </w:rPr>
        <w:t xml:space="preserve"> on or before the date on which such delivery of such opinion is required pursuant to </w:t>
      </w:r>
      <w:r>
        <w:rPr>
          <w:rFonts w:ascii="Arial" w:cs="Arial" w:eastAsia="Arial" w:hAnsi="Arial"/>
          <w:sz w:val="21"/>
          <w:szCs w:val="21"/>
          <w:u w:val="single" w:color="auto"/>
          <w:color w:val="auto"/>
        </w:rPr>
        <w:t>Sections 7(m)</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7(n)</w:t>
      </w:r>
      <w:r>
        <w:rPr>
          <w:rFonts w:ascii="Arial" w:cs="Arial" w:eastAsia="Arial" w:hAnsi="Arial"/>
          <w:sz w:val="21"/>
          <w:szCs w:val="21"/>
          <w:color w:val="auto"/>
        </w:rPr>
        <w:t>.</w:t>
      </w:r>
    </w:p>
    <w:p>
      <w:pPr>
        <w:spacing w:after="0" w:line="166" w:lineRule="exact"/>
        <w:rPr>
          <w:rFonts w:ascii="Arial" w:cs="Arial" w:eastAsia="Arial" w:hAnsi="Arial"/>
          <w:sz w:val="21"/>
          <w:szCs w:val="21"/>
          <w:color w:val="auto"/>
        </w:rPr>
      </w:pPr>
    </w:p>
    <w:p>
      <w:pPr>
        <w:jc w:val="both"/>
        <w:ind w:left="1" w:firstLine="1296"/>
        <w:spacing w:after="0"/>
        <w:tabs>
          <w:tab w:leader="none" w:pos="2053" w:val="left"/>
        </w:tabs>
        <w:numPr>
          <w:ilvl w:val="1"/>
          <w:numId w:val="44"/>
        </w:numPr>
        <w:rPr>
          <w:rFonts w:ascii="Arial" w:cs="Arial" w:eastAsia="Arial" w:hAnsi="Arial"/>
          <w:sz w:val="22"/>
          <w:szCs w:val="22"/>
          <w:color w:val="auto"/>
        </w:rPr>
      </w:pPr>
      <w:r>
        <w:rPr>
          <w:rFonts w:ascii="Arial" w:cs="Arial" w:eastAsia="Arial" w:hAnsi="Arial"/>
          <w:sz w:val="22"/>
          <w:szCs w:val="22"/>
          <w:u w:val="single" w:color="auto"/>
          <w:color w:val="auto"/>
        </w:rPr>
        <w:t>Comfort Letter</w:t>
      </w:r>
      <w:r>
        <w:rPr>
          <w:rFonts w:ascii="Arial" w:cs="Arial" w:eastAsia="Arial" w:hAnsi="Arial"/>
          <w:sz w:val="22"/>
          <w:szCs w:val="22"/>
          <w:color w:val="auto"/>
        </w:rPr>
        <w:t xml:space="preserve">. The Agent shall have received the Comfort Letter required to be delivered pursuant to </w:t>
      </w:r>
      <w:r>
        <w:rPr>
          <w:rFonts w:ascii="Arial" w:cs="Arial" w:eastAsia="Arial" w:hAnsi="Arial"/>
          <w:sz w:val="22"/>
          <w:szCs w:val="22"/>
          <w:u w:val="single" w:color="auto"/>
          <w:color w:val="auto"/>
        </w:rPr>
        <w:t>Section 7(o)</w:t>
      </w:r>
      <w:r>
        <w:rPr>
          <w:rFonts w:ascii="Arial" w:cs="Arial" w:eastAsia="Arial" w:hAnsi="Arial"/>
          <w:sz w:val="22"/>
          <w:szCs w:val="22"/>
          <w:color w:val="auto"/>
        </w:rPr>
        <w:t xml:space="preserve"> on or before the date on which such delivery of such Comfort Letter is required pursuant to </w:t>
      </w:r>
      <w:r>
        <w:rPr>
          <w:rFonts w:ascii="Arial" w:cs="Arial" w:eastAsia="Arial" w:hAnsi="Arial"/>
          <w:sz w:val="22"/>
          <w:szCs w:val="22"/>
          <w:u w:val="single" w:color="auto"/>
          <w:color w:val="auto"/>
        </w:rPr>
        <w:t>Section 7(o)</w:t>
      </w:r>
      <w:r>
        <w:rPr>
          <w:rFonts w:ascii="Arial" w:cs="Arial" w:eastAsia="Arial" w:hAnsi="Arial"/>
          <w:sz w:val="22"/>
          <w:szCs w:val="22"/>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30" w:name="page31"/>
    <w:bookmarkEnd w:id="30"/>
    <w:p>
      <w:pPr>
        <w:jc w:val="both"/>
        <w:ind w:firstLine="1296"/>
        <w:spacing w:after="0"/>
        <w:tabs>
          <w:tab w:leader="none" w:pos="2224" w:val="left"/>
        </w:tabs>
        <w:numPr>
          <w:ilvl w:val="1"/>
          <w:numId w:val="45"/>
        </w:numPr>
        <w:rPr>
          <w:rFonts w:ascii="Arial" w:cs="Arial" w:eastAsia="Arial" w:hAnsi="Arial"/>
          <w:sz w:val="22"/>
          <w:szCs w:val="22"/>
          <w:color w:val="auto"/>
        </w:rPr>
      </w:pPr>
      <w:r>
        <w:rPr>
          <w:rFonts w:ascii="Arial" w:cs="Arial" w:eastAsia="Arial" w:hAnsi="Arial"/>
          <w:sz w:val="22"/>
          <w:szCs w:val="22"/>
          <w:u w:val="single" w:color="auto"/>
          <w:color w:val="auto"/>
        </w:rPr>
        <w:t>Representation Certificate</w:t>
      </w:r>
      <w:r>
        <w:rPr>
          <w:rFonts w:ascii="Arial" w:cs="Arial" w:eastAsia="Arial" w:hAnsi="Arial"/>
          <w:sz w:val="22"/>
          <w:szCs w:val="22"/>
          <w:color w:val="auto"/>
        </w:rPr>
        <w:t xml:space="preserve">. The Agent shall have received the certificate required to be delivered pursuant to </w:t>
      </w:r>
      <w:r>
        <w:rPr>
          <w:rFonts w:ascii="Arial" w:cs="Arial" w:eastAsia="Arial" w:hAnsi="Arial"/>
          <w:sz w:val="22"/>
          <w:szCs w:val="22"/>
          <w:u w:val="single" w:color="auto"/>
          <w:color w:val="auto"/>
        </w:rPr>
        <w:t>Section 7(l)</w:t>
      </w:r>
      <w:r>
        <w:rPr>
          <w:rFonts w:ascii="Arial" w:cs="Arial" w:eastAsia="Arial" w:hAnsi="Arial"/>
          <w:sz w:val="22"/>
          <w:szCs w:val="22"/>
          <w:color w:val="auto"/>
        </w:rPr>
        <w:t xml:space="preserve"> on or before the date on which delivery of such certificate is required pursuant to </w:t>
      </w:r>
      <w:r>
        <w:rPr>
          <w:rFonts w:ascii="Arial" w:cs="Arial" w:eastAsia="Arial" w:hAnsi="Arial"/>
          <w:sz w:val="22"/>
          <w:szCs w:val="22"/>
          <w:u w:val="single" w:color="auto"/>
          <w:color w:val="auto"/>
        </w:rPr>
        <w:t>Section 7(l)</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firstLine="1296"/>
        <w:spacing w:after="0" w:line="251" w:lineRule="auto"/>
        <w:tabs>
          <w:tab w:leader="none" w:pos="2278" w:val="left"/>
        </w:tabs>
        <w:numPr>
          <w:ilvl w:val="1"/>
          <w:numId w:val="45"/>
        </w:numPr>
        <w:rPr>
          <w:rFonts w:ascii="Arial" w:cs="Arial" w:eastAsia="Arial" w:hAnsi="Arial"/>
          <w:sz w:val="22"/>
          <w:szCs w:val="22"/>
          <w:color w:val="auto"/>
        </w:rPr>
      </w:pPr>
      <w:r>
        <w:rPr>
          <w:rFonts w:ascii="Arial" w:cs="Arial" w:eastAsia="Arial" w:hAnsi="Arial"/>
          <w:sz w:val="22"/>
          <w:szCs w:val="22"/>
          <w:u w:val="single" w:color="auto"/>
          <w:color w:val="auto"/>
        </w:rPr>
        <w:t>No Suspension</w:t>
      </w:r>
      <w:r>
        <w:rPr>
          <w:rFonts w:ascii="Arial" w:cs="Arial" w:eastAsia="Arial" w:hAnsi="Arial"/>
          <w:sz w:val="22"/>
          <w:szCs w:val="22"/>
          <w:color w:val="auto"/>
        </w:rPr>
        <w:t>. Trading in the Common Stock shall not have been suspended on the Exchange and the Common Stock shall not have been delisted from the Exchange.</w:t>
      </w:r>
    </w:p>
    <w:p>
      <w:pPr>
        <w:spacing w:after="0" w:line="173" w:lineRule="exact"/>
        <w:rPr>
          <w:rFonts w:ascii="Arial" w:cs="Arial" w:eastAsia="Arial" w:hAnsi="Arial"/>
          <w:sz w:val="22"/>
          <w:szCs w:val="22"/>
          <w:color w:val="auto"/>
        </w:rPr>
      </w:pPr>
    </w:p>
    <w:p>
      <w:pPr>
        <w:jc w:val="both"/>
        <w:ind w:firstLine="1296"/>
        <w:spacing w:after="0" w:line="252" w:lineRule="auto"/>
        <w:tabs>
          <w:tab w:leader="none" w:pos="2176" w:val="left"/>
        </w:tabs>
        <w:numPr>
          <w:ilvl w:val="1"/>
          <w:numId w:val="45"/>
        </w:numPr>
        <w:rPr>
          <w:rFonts w:ascii="Arial" w:cs="Arial" w:eastAsia="Arial" w:hAnsi="Arial"/>
          <w:sz w:val="21"/>
          <w:szCs w:val="21"/>
          <w:color w:val="auto"/>
        </w:rPr>
      </w:pPr>
      <w:r>
        <w:rPr>
          <w:rFonts w:ascii="Arial" w:cs="Arial" w:eastAsia="Arial" w:hAnsi="Arial"/>
          <w:sz w:val="21"/>
          <w:szCs w:val="21"/>
          <w:u w:val="single" w:color="auto"/>
          <w:color w:val="auto"/>
        </w:rPr>
        <w:t>Other Materials</w:t>
      </w:r>
      <w:r>
        <w:rPr>
          <w:rFonts w:ascii="Arial" w:cs="Arial" w:eastAsia="Arial" w:hAnsi="Arial"/>
          <w:sz w:val="21"/>
          <w:szCs w:val="21"/>
          <w:color w:val="auto"/>
        </w:rPr>
        <w:t xml:space="preserve">. On each date on which the Company is required to deliver a certificate pursuant to </w:t>
      </w:r>
      <w:r>
        <w:rPr>
          <w:rFonts w:ascii="Arial" w:cs="Arial" w:eastAsia="Arial" w:hAnsi="Arial"/>
          <w:sz w:val="21"/>
          <w:szCs w:val="21"/>
          <w:u w:val="single" w:color="auto"/>
          <w:color w:val="auto"/>
        </w:rPr>
        <w:t>Section 7(l)</w:t>
      </w:r>
      <w:r>
        <w:rPr>
          <w:rFonts w:ascii="Arial" w:cs="Arial" w:eastAsia="Arial" w:hAnsi="Arial"/>
          <w:sz w:val="21"/>
          <w:szCs w:val="21"/>
          <w:color w:val="auto"/>
        </w:rPr>
        <w:t>, the Company shall have furnished to the Agent such appropriate further information, opinions, certificates, letters and other documents as the Agent may reasonably request. All such opinions, certificates, letters and other documents will be in compliance with the provisions hereof.</w:t>
      </w:r>
    </w:p>
    <w:p>
      <w:pPr>
        <w:spacing w:after="0" w:line="174" w:lineRule="exact"/>
        <w:rPr>
          <w:rFonts w:ascii="Arial" w:cs="Arial" w:eastAsia="Arial" w:hAnsi="Arial"/>
          <w:sz w:val="21"/>
          <w:szCs w:val="21"/>
          <w:color w:val="auto"/>
        </w:rPr>
      </w:pPr>
    </w:p>
    <w:p>
      <w:pPr>
        <w:jc w:val="both"/>
        <w:ind w:firstLine="1296"/>
        <w:spacing w:after="0"/>
        <w:tabs>
          <w:tab w:leader="none" w:pos="1987" w:val="left"/>
        </w:tabs>
        <w:numPr>
          <w:ilvl w:val="1"/>
          <w:numId w:val="45"/>
        </w:numPr>
        <w:rPr>
          <w:rFonts w:ascii="Arial" w:cs="Arial" w:eastAsia="Arial" w:hAnsi="Arial"/>
          <w:sz w:val="22"/>
          <w:szCs w:val="22"/>
          <w:color w:val="auto"/>
        </w:rPr>
      </w:pPr>
      <w:r>
        <w:rPr>
          <w:rFonts w:ascii="Arial" w:cs="Arial" w:eastAsia="Arial" w:hAnsi="Arial"/>
          <w:sz w:val="22"/>
          <w:szCs w:val="22"/>
          <w:u w:val="single" w:color="auto"/>
          <w:color w:val="auto"/>
        </w:rPr>
        <w:t>Securities Act Filings Made</w:t>
      </w:r>
      <w:r>
        <w:rPr>
          <w:rFonts w:ascii="Arial" w:cs="Arial" w:eastAsia="Arial" w:hAnsi="Arial"/>
          <w:sz w:val="22"/>
          <w:szCs w:val="22"/>
          <w:color w:val="auto"/>
        </w:rPr>
        <w:t>. All filings with the Commission required by Rule 424 under the Securities Act to have been filed prior to the issuance of any Placement Notice hereunder shall have been made within the applicable time period prescribed for such filing by Rule 424.</w:t>
      </w:r>
    </w:p>
    <w:p>
      <w:pPr>
        <w:spacing w:after="0" w:line="186" w:lineRule="exact"/>
        <w:rPr>
          <w:rFonts w:ascii="Arial" w:cs="Arial" w:eastAsia="Arial" w:hAnsi="Arial"/>
          <w:sz w:val="22"/>
          <w:szCs w:val="22"/>
          <w:color w:val="auto"/>
        </w:rPr>
      </w:pPr>
    </w:p>
    <w:p>
      <w:pPr>
        <w:jc w:val="both"/>
        <w:ind w:firstLine="1296"/>
        <w:spacing w:after="0" w:line="287" w:lineRule="auto"/>
        <w:tabs>
          <w:tab w:leader="none" w:pos="1994" w:val="left"/>
        </w:tabs>
        <w:numPr>
          <w:ilvl w:val="1"/>
          <w:numId w:val="45"/>
        </w:numPr>
        <w:rPr>
          <w:rFonts w:ascii="Arial" w:cs="Arial" w:eastAsia="Arial" w:hAnsi="Arial"/>
          <w:sz w:val="19"/>
          <w:szCs w:val="19"/>
          <w:color w:val="auto"/>
        </w:rPr>
      </w:pPr>
      <w:r>
        <w:rPr>
          <w:rFonts w:ascii="Arial" w:cs="Arial" w:eastAsia="Arial" w:hAnsi="Arial"/>
          <w:sz w:val="19"/>
          <w:szCs w:val="19"/>
          <w:u w:val="single" w:color="auto"/>
          <w:color w:val="auto"/>
        </w:rPr>
        <w:t>Approval for Listing</w:t>
      </w:r>
      <w:r>
        <w:rPr>
          <w:rFonts w:ascii="Arial" w:cs="Arial" w:eastAsia="Arial" w:hAnsi="Arial"/>
          <w:sz w:val="19"/>
          <w:szCs w:val="19"/>
          <w:color w:val="auto"/>
        </w:rPr>
        <w:t>. The Placement Shares shall either have been (i) approved for listing on the Exchange, subject only to notice of issuance, or (ii) the Company shall have filed an application for listing of the Placement Shares on the Exchange at, or prior to, the issuance of any Placement Notice and the Exchange shall have reviewed such application and not provided any objections thereto.</w:t>
      </w:r>
    </w:p>
    <w:p>
      <w:pPr>
        <w:spacing w:after="0" w:line="143" w:lineRule="exact"/>
        <w:rPr>
          <w:rFonts w:ascii="Arial" w:cs="Arial" w:eastAsia="Arial" w:hAnsi="Arial"/>
          <w:sz w:val="19"/>
          <w:szCs w:val="19"/>
          <w:color w:val="auto"/>
        </w:rPr>
      </w:pPr>
    </w:p>
    <w:p>
      <w:pPr>
        <w:ind w:firstLine="1296"/>
        <w:spacing w:after="0" w:line="274" w:lineRule="auto"/>
        <w:tabs>
          <w:tab w:leader="none" w:pos="2014" w:val="left"/>
        </w:tabs>
        <w:numPr>
          <w:ilvl w:val="1"/>
          <w:numId w:val="45"/>
        </w:numPr>
        <w:rPr>
          <w:rFonts w:ascii="Arial" w:cs="Arial" w:eastAsia="Arial" w:hAnsi="Arial"/>
          <w:sz w:val="21"/>
          <w:szCs w:val="21"/>
          <w:color w:val="auto"/>
        </w:rPr>
      </w:pPr>
      <w:r>
        <w:rPr>
          <w:rFonts w:ascii="Arial" w:cs="Arial" w:eastAsia="Arial" w:hAnsi="Arial"/>
          <w:sz w:val="21"/>
          <w:szCs w:val="21"/>
          <w:u w:val="single" w:color="auto"/>
          <w:color w:val="auto"/>
        </w:rPr>
        <w:t>FINRA</w:t>
      </w:r>
      <w:r>
        <w:rPr>
          <w:rFonts w:ascii="Arial" w:cs="Arial" w:eastAsia="Arial" w:hAnsi="Arial"/>
          <w:sz w:val="21"/>
          <w:szCs w:val="21"/>
          <w:color w:val="auto"/>
        </w:rPr>
        <w:t>. If applicable, FINRA shall have raised no objection to the terms of this offering and the amount of compensation allowable or payable to the Agent as described in the Prospectus.</w:t>
      </w:r>
    </w:p>
    <w:p>
      <w:pPr>
        <w:spacing w:after="0" w:line="150" w:lineRule="exact"/>
        <w:rPr>
          <w:rFonts w:ascii="Arial" w:cs="Arial" w:eastAsia="Arial" w:hAnsi="Arial"/>
          <w:sz w:val="21"/>
          <w:szCs w:val="21"/>
          <w:color w:val="auto"/>
        </w:rPr>
      </w:pPr>
    </w:p>
    <w:p>
      <w:pPr>
        <w:ind w:firstLine="1296"/>
        <w:spacing w:after="0" w:line="251" w:lineRule="auto"/>
        <w:tabs>
          <w:tab w:leader="none" w:pos="2014" w:val="left"/>
        </w:tabs>
        <w:numPr>
          <w:ilvl w:val="1"/>
          <w:numId w:val="45"/>
        </w:numPr>
        <w:rPr>
          <w:rFonts w:ascii="Arial" w:cs="Arial" w:eastAsia="Arial" w:hAnsi="Arial"/>
          <w:sz w:val="22"/>
          <w:szCs w:val="22"/>
          <w:color w:val="auto"/>
        </w:rPr>
      </w:pPr>
      <w:r>
        <w:rPr>
          <w:rFonts w:ascii="Arial" w:cs="Arial" w:eastAsia="Arial" w:hAnsi="Arial"/>
          <w:sz w:val="22"/>
          <w:szCs w:val="22"/>
          <w:u w:val="single" w:color="auto"/>
          <w:color w:val="auto"/>
        </w:rPr>
        <w:t>No Termination Event</w:t>
      </w:r>
      <w:r>
        <w:rPr>
          <w:rFonts w:ascii="Arial" w:cs="Arial" w:eastAsia="Arial" w:hAnsi="Arial"/>
          <w:sz w:val="22"/>
          <w:szCs w:val="22"/>
          <w:color w:val="auto"/>
        </w:rPr>
        <w:t xml:space="preserve">. There shall not have occurred any event that would permit the Agent to terminate this Agreement pursuant to </w:t>
      </w:r>
      <w:r>
        <w:rPr>
          <w:rFonts w:ascii="Arial" w:cs="Arial" w:eastAsia="Arial" w:hAnsi="Arial"/>
          <w:sz w:val="22"/>
          <w:szCs w:val="22"/>
          <w:u w:val="single" w:color="auto"/>
          <w:color w:val="auto"/>
        </w:rPr>
        <w:t>Section 13(a)</w:t>
      </w:r>
      <w:r>
        <w:rPr>
          <w:rFonts w:ascii="Arial" w:cs="Arial" w:eastAsia="Arial" w:hAnsi="Arial"/>
          <w:sz w:val="22"/>
          <w:szCs w:val="22"/>
          <w:color w:val="auto"/>
        </w:rPr>
        <w:t>.</w:t>
      </w:r>
    </w:p>
    <w:p>
      <w:pPr>
        <w:spacing w:after="0" w:line="173" w:lineRule="exact"/>
        <w:rPr>
          <w:rFonts w:ascii="Arial" w:cs="Arial" w:eastAsia="Arial" w:hAnsi="Arial"/>
          <w:sz w:val="22"/>
          <w:szCs w:val="22"/>
          <w:color w:val="auto"/>
        </w:rPr>
      </w:pPr>
    </w:p>
    <w:p>
      <w:pPr>
        <w:ind w:left="1280" w:hanging="632"/>
        <w:spacing w:after="0"/>
        <w:tabs>
          <w:tab w:leader="none" w:pos="128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Indemnification and Contribution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296"/>
        <w:spacing w:after="0" w:line="238" w:lineRule="auto"/>
        <w:tabs>
          <w:tab w:leader="none" w:pos="2023" w:val="left"/>
        </w:tabs>
        <w:numPr>
          <w:ilvl w:val="1"/>
          <w:numId w:val="46"/>
        </w:numPr>
        <w:rPr>
          <w:rFonts w:ascii="Arial" w:cs="Arial" w:eastAsia="Arial" w:hAnsi="Arial"/>
          <w:sz w:val="22"/>
          <w:szCs w:val="22"/>
          <w:color w:val="auto"/>
        </w:rPr>
      </w:pPr>
      <w:r>
        <w:rPr>
          <w:rFonts w:ascii="Arial" w:cs="Arial" w:eastAsia="Arial" w:hAnsi="Arial"/>
          <w:sz w:val="22"/>
          <w:szCs w:val="22"/>
          <w:u w:val="single" w:color="auto"/>
          <w:color w:val="auto"/>
        </w:rPr>
        <w:t>Company Indemnification</w:t>
      </w:r>
      <w:r>
        <w:rPr>
          <w:rFonts w:ascii="Arial" w:cs="Arial" w:eastAsia="Arial" w:hAnsi="Arial"/>
          <w:sz w:val="22"/>
          <w:szCs w:val="22"/>
          <w:color w:val="auto"/>
        </w:rPr>
        <w:t>. The Company agrees to indemnify and hold harmless the Agent, its partners, members, directors, officers, employees and agents and each person, if any, who controls the Agent within the meaning of Section 15 of the Securities Act or Section 20 of the Exchange Act (each, an “</w:t>
      </w:r>
      <w:r>
        <w:rPr>
          <w:rFonts w:ascii="Arial" w:cs="Arial" w:eastAsia="Arial" w:hAnsi="Arial"/>
          <w:sz w:val="22"/>
          <w:szCs w:val="22"/>
          <w:b w:val="1"/>
          <w:bCs w:val="1"/>
          <w:u w:val="single" w:color="auto"/>
          <w:color w:val="auto"/>
        </w:rPr>
        <w:t>Agent</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Indemnified Party</w:t>
      </w:r>
      <w:r>
        <w:rPr>
          <w:rFonts w:ascii="Arial" w:cs="Arial" w:eastAsia="Arial" w:hAnsi="Arial"/>
          <w:sz w:val="22"/>
          <w:szCs w:val="22"/>
          <w:color w:val="auto"/>
        </w:rPr>
        <w:t>”) as follows:</w:t>
      </w:r>
    </w:p>
    <w:p>
      <w:pPr>
        <w:spacing w:after="0" w:line="185" w:lineRule="exact"/>
        <w:rPr>
          <w:rFonts w:ascii="Arial" w:cs="Arial" w:eastAsia="Arial" w:hAnsi="Arial"/>
          <w:sz w:val="22"/>
          <w:szCs w:val="22"/>
          <w:color w:val="auto"/>
        </w:rPr>
      </w:pPr>
    </w:p>
    <w:p>
      <w:pPr>
        <w:jc w:val="both"/>
        <w:ind w:firstLine="1944"/>
        <w:spacing w:after="0" w:line="277" w:lineRule="auto"/>
        <w:tabs>
          <w:tab w:leader="none" w:pos="2647" w:val="left"/>
        </w:tabs>
        <w:numPr>
          <w:ilvl w:val="2"/>
          <w:numId w:val="46"/>
        </w:numPr>
        <w:rPr>
          <w:rFonts w:ascii="Arial" w:cs="Arial" w:eastAsia="Arial" w:hAnsi="Arial"/>
          <w:sz w:val="19"/>
          <w:szCs w:val="19"/>
          <w:color w:val="auto"/>
        </w:rPr>
      </w:pPr>
      <w:r>
        <w:rPr>
          <w:rFonts w:ascii="Arial" w:cs="Arial" w:eastAsia="Arial" w:hAnsi="Arial"/>
          <w:sz w:val="19"/>
          <w:szCs w:val="19"/>
          <w:color w:val="auto"/>
        </w:rPr>
        <w:t>against any and all loss, liability, claim, damage and expense whatsoever, as incurred, joint or several, to which such Agent Indemnified Party may become subject,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related Issuer Free Writing Prospectus or the Prospectus (or any amendment or supplement thereto), or the omission or alleged omission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31" w:name="page32"/>
    <w:bookmarkEnd w:id="31"/>
    <w:p>
      <w:pPr>
        <w:spacing w:after="0" w:line="251" w:lineRule="auto"/>
        <w:rPr>
          <w:sz w:val="20"/>
          <w:szCs w:val="20"/>
          <w:color w:val="auto"/>
        </w:rPr>
      </w:pPr>
      <w:r>
        <w:rPr>
          <w:rFonts w:ascii="Arial" w:cs="Arial" w:eastAsia="Arial" w:hAnsi="Arial"/>
          <w:sz w:val="22"/>
          <w:szCs w:val="22"/>
          <w:color w:val="auto"/>
        </w:rPr>
        <w:t>therefrom of a material fact necessary in order to make the statements therein, in the light of the circumstances under which they were made, not misleading;</w:t>
      </w:r>
    </w:p>
    <w:p>
      <w:pPr>
        <w:spacing w:after="0" w:line="173" w:lineRule="exact"/>
        <w:rPr>
          <w:sz w:val="20"/>
          <w:szCs w:val="20"/>
          <w:color w:val="auto"/>
        </w:rPr>
      </w:pPr>
    </w:p>
    <w:p>
      <w:pPr>
        <w:jc w:val="both"/>
        <w:ind w:firstLine="1944"/>
        <w:spacing w:after="0" w:line="279" w:lineRule="auto"/>
        <w:tabs>
          <w:tab w:leader="none" w:pos="2617" w:val="left"/>
        </w:tabs>
        <w:numPr>
          <w:ilvl w:val="0"/>
          <w:numId w:val="47"/>
        </w:numPr>
        <w:rPr>
          <w:rFonts w:ascii="Arial" w:cs="Arial" w:eastAsia="Arial" w:hAnsi="Arial"/>
          <w:sz w:val="19"/>
          <w:szCs w:val="19"/>
          <w:color w:val="auto"/>
        </w:rPr>
      </w:pPr>
      <w:r>
        <w:rPr>
          <w:rFonts w:ascii="Arial" w:cs="Arial" w:eastAsia="Arial" w:hAnsi="Arial"/>
          <w:sz w:val="19"/>
          <w:szCs w:val="19"/>
          <w:color w:val="auto"/>
        </w:rPr>
        <w:t xml:space="preserve">against any and all loss, liability, claim, damage and expense whatsoever, as incurred, joint or several, to which such Agent Indemnified Party may become subject, to the extent of the aggregate amount paid in settlement of any litigation, or any investigation or proceeding by any Governmental Authority, commenced or threatened, or of any claim whatsoever based upon any such untrue statement or omission, or any such alleged untrue statement or omission;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(subject to </w:t>
      </w:r>
      <w:r>
        <w:rPr>
          <w:rFonts w:ascii="Arial" w:cs="Arial" w:eastAsia="Arial" w:hAnsi="Arial"/>
          <w:sz w:val="19"/>
          <w:szCs w:val="19"/>
          <w:u w:val="single" w:color="auto"/>
          <w:color w:val="auto"/>
        </w:rPr>
        <w:t>Section 11(d)</w:t>
      </w:r>
      <w:r>
        <w:rPr>
          <w:rFonts w:ascii="Arial" w:cs="Arial" w:eastAsia="Arial" w:hAnsi="Arial"/>
          <w:sz w:val="19"/>
          <w:szCs w:val="19"/>
          <w:color w:val="auto"/>
        </w:rPr>
        <w:t xml:space="preserve"> below) any such settlement is effected with the written consent of the Company, which consent shall not unreasonably be delayed or withheld; and</w:t>
      </w:r>
    </w:p>
    <w:p>
      <w:pPr>
        <w:spacing w:after="0" w:line="150" w:lineRule="exact"/>
        <w:rPr>
          <w:rFonts w:ascii="Arial" w:cs="Arial" w:eastAsia="Arial" w:hAnsi="Arial"/>
          <w:sz w:val="19"/>
          <w:szCs w:val="19"/>
          <w:color w:val="auto"/>
        </w:rPr>
      </w:pPr>
    </w:p>
    <w:p>
      <w:pPr>
        <w:jc w:val="both"/>
        <w:ind w:firstLine="1944"/>
        <w:spacing w:after="0" w:line="235" w:lineRule="auto"/>
        <w:tabs>
          <w:tab w:leader="none" w:pos="2710" w:val="left"/>
        </w:tabs>
        <w:numPr>
          <w:ilvl w:val="0"/>
          <w:numId w:val="47"/>
        </w:numPr>
        <w:rPr>
          <w:rFonts w:ascii="Arial" w:cs="Arial" w:eastAsia="Arial" w:hAnsi="Arial"/>
          <w:sz w:val="22"/>
          <w:szCs w:val="22"/>
          <w:color w:val="auto"/>
        </w:rPr>
      </w:pPr>
      <w:r>
        <w:rPr>
          <w:rFonts w:ascii="Arial" w:cs="Arial" w:eastAsia="Arial" w:hAnsi="Arial"/>
          <w:sz w:val="22"/>
          <w:szCs w:val="22"/>
          <w:color w:val="auto"/>
        </w:rPr>
        <w:t>to reimburse any Agent Indemnified Party for any and all expenses whatsoever, as incurred (including the reasonable fees and disbursements of counsel), reasonably incurred by such Agent Indemnified Party in investigating, preparing or defending against any litigation, or any investigation or proceeding by any Governmental Authority, commenced or threatened, or any claim whatsoever based upon any such untrue statement or omission, or any such alleged untrue statement or omission, to the extent that any such expense is not paid under (i) or (ii) above;</w:t>
      </w:r>
    </w:p>
    <w:p>
      <w:pPr>
        <w:spacing w:after="0" w:line="18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i w:val="1"/>
          <w:iCs w:val="1"/>
          <w:color w:val="auto"/>
        </w:rPr>
        <w:t>provided</w:t>
      </w:r>
      <w:r>
        <w:rPr>
          <w:rFonts w:ascii="Arial" w:cs="Arial" w:eastAsia="Arial" w:hAnsi="Arial"/>
          <w:sz w:val="22"/>
          <w:szCs w:val="22"/>
          <w:color w:val="auto"/>
        </w:rPr>
        <w:t>,</w:t>
      </w:r>
      <w:r>
        <w:rPr>
          <w:rFonts w:ascii="Arial" w:cs="Arial" w:eastAsia="Arial" w:hAnsi="Arial"/>
          <w:sz w:val="22"/>
          <w:szCs w:val="22"/>
          <w:i w:val="1"/>
          <w:iCs w:val="1"/>
          <w:color w:val="auto"/>
        </w:rPr>
        <w:t xml:space="preserve"> however</w:t>
      </w:r>
      <w:r>
        <w:rPr>
          <w:rFonts w:ascii="Arial" w:cs="Arial" w:eastAsia="Arial" w:hAnsi="Arial"/>
          <w:sz w:val="22"/>
          <w:szCs w:val="22"/>
          <w:color w:val="auto"/>
        </w:rPr>
        <w:t>, that this indemnity agreement shall not apply to any loss, liability, claim, damage or expense to</w:t>
      </w:r>
      <w:r>
        <w:rPr>
          <w:rFonts w:ascii="Arial" w:cs="Arial" w:eastAsia="Arial" w:hAnsi="Arial"/>
          <w:sz w:val="22"/>
          <w:szCs w:val="22"/>
          <w:i w:val="1"/>
          <w:iCs w:val="1"/>
          <w:color w:val="auto"/>
        </w:rPr>
        <w:t xml:space="preserve"> </w:t>
      </w:r>
      <w:r>
        <w:rPr>
          <w:rFonts w:ascii="Arial" w:cs="Arial" w:eastAsia="Arial" w:hAnsi="Arial"/>
          <w:sz w:val="22"/>
          <w:szCs w:val="22"/>
          <w:color w:val="auto"/>
        </w:rPr>
        <w:t>the extent arising out of any untrue statement or omission or alleged untrue statement or omission made solely in reliance upon and in conformity with the Agent Information (as defined below) or any other written information furnished, after the date hereof, to the Company by the Agent expressly for use in the Registration Statement (or any amendment thereto), or in any related Issuer Free Writing Prospectus or the Prospectus (or any amendment or supplement thereto).</w:t>
      </w:r>
    </w:p>
    <w:p>
      <w:pPr>
        <w:spacing w:after="0" w:line="188" w:lineRule="exact"/>
        <w:rPr>
          <w:sz w:val="20"/>
          <w:szCs w:val="20"/>
          <w:color w:val="auto"/>
        </w:rPr>
      </w:pPr>
    </w:p>
    <w:p>
      <w:pPr>
        <w:jc w:val="both"/>
        <w:ind w:firstLine="1296"/>
        <w:spacing w:after="0" w:line="272" w:lineRule="auto"/>
        <w:tabs>
          <w:tab w:leader="none" w:pos="2008"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Agent Indemnification</w:t>
      </w:r>
      <w:r>
        <w:rPr>
          <w:rFonts w:ascii="Arial" w:cs="Arial" w:eastAsia="Arial" w:hAnsi="Arial"/>
          <w:sz w:val="19"/>
          <w:szCs w:val="19"/>
          <w:color w:val="auto"/>
        </w:rPr>
        <w:t xml:space="preserve">. The Agent agrees to indemnify and hold harmless the Company and its directors and each officer of the Company who signed the Registration Statement, and each person, if any, who controls the Company within the meaning of Section 15 of the Securities Act or Section 20 of the Exchange Act against any and all loss, liability, claim, damage and expense described in the indemnity contained in </w:t>
      </w:r>
      <w:r>
        <w:rPr>
          <w:rFonts w:ascii="Arial" w:cs="Arial" w:eastAsia="Arial" w:hAnsi="Arial"/>
          <w:sz w:val="19"/>
          <w:szCs w:val="19"/>
          <w:u w:val="single" w:color="auto"/>
          <w:color w:val="auto"/>
        </w:rPr>
        <w:t>Section 11(a)</w:t>
      </w:r>
      <w:r>
        <w:rPr>
          <w:rFonts w:ascii="Arial" w:cs="Arial" w:eastAsia="Arial" w:hAnsi="Arial"/>
          <w:sz w:val="19"/>
          <w:szCs w:val="19"/>
          <w:color w:val="auto"/>
        </w:rPr>
        <w:t>, as incurred, but only with respect to untrue statements or omissions, or alleged untrue statements or omissions, made in the Registration Statement (or any amendments thereto) or the Prospectus (or any amendment or supplement thereto) in reliance upon and in conformity with information relating to the Agent and furnished to the Company in writing by the Agent expressly for use therein. The Company hereby acknowledges that as of the date of this Agreement, the only information that the Agent has furnished to the Company expressly for use in the Registration Statement, the Prospectus or any Issuer Free Writing Prospectus (or any amendment or supplement thereto) are the statements set forth in the seventh and eighth paragraphs under the caption “Plan of Distribution” in the Prospectus (the “</w:t>
      </w:r>
      <w:r>
        <w:rPr>
          <w:rFonts w:ascii="Arial" w:cs="Arial" w:eastAsia="Arial" w:hAnsi="Arial"/>
          <w:sz w:val="19"/>
          <w:szCs w:val="19"/>
          <w:b w:val="1"/>
          <w:bCs w:val="1"/>
          <w:u w:val="single" w:color="auto"/>
          <w:color w:val="auto"/>
        </w:rPr>
        <w:t>Agent Information</w:t>
      </w:r>
      <w:r>
        <w:rPr>
          <w:rFonts w:ascii="Arial" w:cs="Arial" w:eastAsia="Arial" w:hAnsi="Arial"/>
          <w:sz w:val="19"/>
          <w:szCs w:val="19"/>
          <w:color w:val="auto"/>
        </w:rPr>
        <w:t>”).</w:t>
      </w:r>
    </w:p>
    <w:p>
      <w:pPr>
        <w:spacing w:after="0" w:line="161" w:lineRule="exact"/>
        <w:rPr>
          <w:rFonts w:ascii="Arial" w:cs="Arial" w:eastAsia="Arial" w:hAnsi="Arial"/>
          <w:sz w:val="19"/>
          <w:szCs w:val="19"/>
          <w:color w:val="auto"/>
        </w:rPr>
      </w:pPr>
    </w:p>
    <w:p>
      <w:pPr>
        <w:jc w:val="both"/>
        <w:ind w:firstLine="1296"/>
        <w:spacing w:after="0" w:line="236" w:lineRule="auto"/>
        <w:tabs>
          <w:tab w:leader="none" w:pos="1982"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Procedure</w:t>
      </w:r>
      <w:r>
        <w:rPr>
          <w:rFonts w:ascii="Arial" w:cs="Arial" w:eastAsia="Arial" w:hAnsi="Arial"/>
          <w:sz w:val="22"/>
          <w:szCs w:val="22"/>
          <w:color w:val="auto"/>
        </w:rPr>
        <w:t xml:space="preserve">. Any party that proposes to assert the right to be indemnified under this </w:t>
      </w:r>
      <w:r>
        <w:rPr>
          <w:rFonts w:ascii="Arial" w:cs="Arial" w:eastAsia="Arial" w:hAnsi="Arial"/>
          <w:sz w:val="22"/>
          <w:szCs w:val="22"/>
          <w:u w:val="single" w:color="auto"/>
          <w:color w:val="auto"/>
        </w:rPr>
        <w:t>Section 11</w:t>
      </w:r>
      <w:r>
        <w:rPr>
          <w:rFonts w:ascii="Arial" w:cs="Arial" w:eastAsia="Arial" w:hAnsi="Arial"/>
          <w:sz w:val="22"/>
          <w:szCs w:val="22"/>
          <w:color w:val="auto"/>
        </w:rPr>
        <w:t xml:space="preserve"> will, promptly after receipt of notice of commencement of any action against such party in respect of which a claim is to be made against an indemnifying party or parties under this </w:t>
      </w:r>
      <w:r>
        <w:rPr>
          <w:rFonts w:ascii="Arial" w:cs="Arial" w:eastAsia="Arial" w:hAnsi="Arial"/>
          <w:sz w:val="22"/>
          <w:szCs w:val="22"/>
          <w:u w:val="single" w:color="auto"/>
          <w:color w:val="auto"/>
        </w:rPr>
        <w:t>Section 11</w:t>
      </w:r>
      <w:r>
        <w:rPr>
          <w:rFonts w:ascii="Arial" w:cs="Arial" w:eastAsia="Arial" w:hAnsi="Arial"/>
          <w:sz w:val="22"/>
          <w:szCs w:val="22"/>
          <w:color w:val="auto"/>
        </w:rPr>
        <w:t>, notify each such indemnifying party of the commencement of such action, enclosing a copy of all papers served, but the omission so to notify such indemnifying party will</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32" w:name="page33"/>
    <w:bookmarkEnd w:id="32"/>
    <w:p>
      <w:pPr>
        <w:jc w:val="both"/>
        <w:ind w:left="1"/>
        <w:spacing w:after="0" w:line="268" w:lineRule="auto"/>
        <w:rPr>
          <w:sz w:val="20"/>
          <w:szCs w:val="20"/>
          <w:color w:val="auto"/>
        </w:rPr>
      </w:pPr>
      <w:r>
        <w:rPr>
          <w:rFonts w:ascii="Arial" w:cs="Arial" w:eastAsia="Arial" w:hAnsi="Arial"/>
          <w:sz w:val="19"/>
          <w:szCs w:val="19"/>
          <w:color w:val="auto"/>
        </w:rPr>
        <w:t xml:space="preserve">not relieve the indemnifying party from (i) any liability that it might have to any indemnified party otherwise than under this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and (ii) any liability that it may have to any indemnified party under the foregoing provision of this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w:t>
      </w:r>
    </w:p>
    <w:p>
      <w:pPr>
        <w:spacing w:after="0" w:line="4" w:lineRule="exact"/>
        <w:rPr>
          <w:sz w:val="20"/>
          <w:szCs w:val="20"/>
          <w:color w:val="auto"/>
        </w:rPr>
      </w:pPr>
    </w:p>
    <w:p>
      <w:pPr>
        <w:jc w:val="both"/>
        <w:ind w:left="1" w:hanging="1"/>
        <w:spacing w:after="0" w:line="267" w:lineRule="auto"/>
        <w:tabs>
          <w:tab w:leader="none" w:pos="359"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admitted to practice in such jurisdiction at any one time for all such indemnified party or parties. All such fees, disbursements and other charges will be reimbursed by the indemnifying party promptly after the indemnifying party receives a written invoice relating to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(whether or not any indemnified party is a party thereto), unless such settlement, compromise or consent</w:t>
      </w:r>
    </w:p>
    <w:p>
      <w:pPr>
        <w:jc w:val="both"/>
        <w:ind w:left="1" w:hanging="1"/>
        <w:spacing w:after="0" w:line="234" w:lineRule="auto"/>
        <w:tabs>
          <w:tab w:leader="none" w:pos="344" w:val="left"/>
        </w:tabs>
        <w:numPr>
          <w:ilvl w:val="0"/>
          <w:numId w:val="50"/>
        </w:numPr>
        <w:rPr>
          <w:rFonts w:ascii="Arial" w:cs="Arial" w:eastAsia="Arial" w:hAnsi="Arial"/>
          <w:sz w:val="22"/>
          <w:szCs w:val="22"/>
          <w:color w:val="auto"/>
        </w:rPr>
      </w:pPr>
      <w:r>
        <w:rPr>
          <w:rFonts w:ascii="Arial" w:cs="Arial" w:eastAsia="Arial" w:hAnsi="Arial"/>
          <w:sz w:val="22"/>
          <w:szCs w:val="22"/>
          <w:color w:val="auto"/>
        </w:rPr>
        <w:t>includes an unconditional release of each indemnified party from all liability arising out of such litigation, investigation, proceeding or claim and (2) does not include a statement as to or an admission of fault, culpability or a failure to act by or on behalf of any indemnified party.</w:t>
      </w:r>
    </w:p>
    <w:p>
      <w:pPr>
        <w:spacing w:after="0" w:line="187" w:lineRule="exact"/>
        <w:rPr>
          <w:rFonts w:ascii="Arial" w:cs="Arial" w:eastAsia="Arial" w:hAnsi="Arial"/>
          <w:sz w:val="22"/>
          <w:szCs w:val="22"/>
          <w:color w:val="auto"/>
        </w:rPr>
      </w:pPr>
    </w:p>
    <w:p>
      <w:pPr>
        <w:jc w:val="both"/>
        <w:ind w:left="1" w:firstLine="1296"/>
        <w:spacing w:after="0" w:line="270" w:lineRule="auto"/>
        <w:tabs>
          <w:tab w:leader="none" w:pos="2171" w:val="left"/>
        </w:tabs>
        <w:numPr>
          <w:ilvl w:val="1"/>
          <w:numId w:val="50"/>
        </w:numPr>
        <w:rPr>
          <w:rFonts w:ascii="Arial" w:cs="Arial" w:eastAsia="Arial" w:hAnsi="Arial"/>
          <w:sz w:val="19"/>
          <w:szCs w:val="19"/>
          <w:color w:val="auto"/>
        </w:rPr>
      </w:pPr>
      <w:r>
        <w:rPr>
          <w:rFonts w:ascii="Arial" w:cs="Arial" w:eastAsia="Arial" w:hAnsi="Arial"/>
          <w:sz w:val="19"/>
          <w:szCs w:val="19"/>
          <w:u w:val="single" w:color="auto"/>
          <w:color w:val="auto"/>
        </w:rPr>
        <w:t>Settlement Without Consent if Failure to Reimburse</w:t>
      </w:r>
      <w:r>
        <w:rPr>
          <w:rFonts w:ascii="Arial" w:cs="Arial" w:eastAsia="Arial" w:hAnsi="Arial"/>
          <w:sz w:val="19"/>
          <w:szCs w:val="19"/>
          <w:i w:val="1"/>
          <w:iCs w:val="1"/>
          <w:color w:val="auto"/>
        </w:rPr>
        <w:t>.</w:t>
      </w:r>
      <w:r>
        <w:rPr>
          <w:rFonts w:ascii="Arial" w:cs="Arial" w:eastAsia="Arial" w:hAnsi="Arial"/>
          <w:sz w:val="19"/>
          <w:szCs w:val="19"/>
          <w:color w:val="auto"/>
        </w:rPr>
        <w:t xml:space="preserve"> If an indemnified party shall have requested an indemnifying party to reimburse the indemnified party for reasonable fees and expenses of counsel for which it is entitled to be reimbursed under this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such indemnifying party agrees that it shall be liable for any settlement of the nature contemplated by </w:t>
      </w:r>
      <w:r>
        <w:rPr>
          <w:rFonts w:ascii="Arial" w:cs="Arial" w:eastAsia="Arial" w:hAnsi="Arial"/>
          <w:sz w:val="19"/>
          <w:szCs w:val="19"/>
          <w:u w:val="single" w:color="auto"/>
          <w:color w:val="auto"/>
        </w:rPr>
        <w:t>Section 11(a)(ii)</w:t>
      </w:r>
      <w:r>
        <w:rPr>
          <w:rFonts w:ascii="Arial" w:cs="Arial" w:eastAsia="Arial" w:hAnsi="Arial"/>
          <w:sz w:val="19"/>
          <w:szCs w:val="19"/>
          <w:color w:val="auto"/>
        </w:rPr>
        <w:t xml:space="preserve"> effected without its written consent if (1) such settlement is entered into more than 45 days after receipt by such indemnifying party of the aforesaid request,</w:t>
      </w:r>
    </w:p>
    <w:p>
      <w:pPr>
        <w:spacing w:after="0" w:line="4" w:lineRule="exact"/>
        <w:rPr>
          <w:rFonts w:ascii="Arial" w:cs="Arial" w:eastAsia="Arial" w:hAnsi="Arial"/>
          <w:sz w:val="19"/>
          <w:szCs w:val="19"/>
          <w:color w:val="auto"/>
        </w:rPr>
      </w:pPr>
    </w:p>
    <w:p>
      <w:pPr>
        <w:ind w:left="301" w:hanging="301"/>
        <w:spacing w:after="0"/>
        <w:tabs>
          <w:tab w:leader="none" w:pos="301" w:val="left"/>
        </w:tabs>
        <w:numPr>
          <w:ilvl w:val="0"/>
          <w:numId w:val="50"/>
        </w:numPr>
        <w:rPr>
          <w:rFonts w:ascii="Arial" w:cs="Arial" w:eastAsia="Arial" w:hAnsi="Arial"/>
          <w:sz w:val="22"/>
          <w:szCs w:val="22"/>
          <w:color w:val="auto"/>
        </w:rPr>
      </w:pPr>
      <w:r>
        <w:rPr>
          <w:rFonts w:ascii="Arial" w:cs="Arial" w:eastAsia="Arial" w:hAnsi="Arial"/>
          <w:sz w:val="22"/>
          <w:szCs w:val="22"/>
          <w:color w:val="auto"/>
        </w:rPr>
        <w:t>such</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4" w:right="919" w:bottom="1440" w:gutter="0" w:footer="0" w:header="0"/>
        </w:sectPr>
      </w:pPr>
    </w:p>
    <w:bookmarkStart w:id="33" w:name="page34"/>
    <w:bookmarkEnd w:id="33"/>
    <w:p>
      <w:pPr>
        <w:jc w:val="both"/>
        <w:spacing w:after="0"/>
        <w:rPr>
          <w:sz w:val="20"/>
          <w:szCs w:val="20"/>
          <w:color w:val="auto"/>
        </w:rPr>
      </w:pPr>
      <w:r>
        <w:rPr>
          <w:rFonts w:ascii="Arial" w:cs="Arial" w:eastAsia="Arial" w:hAnsi="Arial"/>
          <w:sz w:val="22"/>
          <w:szCs w:val="22"/>
          <w:color w:val="auto"/>
        </w:rPr>
        <w:t>indemnifying party shall have received notice of the terms of such settlement at least 30 days prior to such settlement being entered into and (3) such indemnifying party shall not have reimbursed such indemnified party in accordance with such request prior to the date of such settlement.</w:t>
      </w:r>
    </w:p>
    <w:p>
      <w:pPr>
        <w:spacing w:after="0" w:line="186" w:lineRule="exact"/>
        <w:rPr>
          <w:sz w:val="20"/>
          <w:szCs w:val="20"/>
          <w:color w:val="auto"/>
        </w:rPr>
      </w:pPr>
    </w:p>
    <w:p>
      <w:pPr>
        <w:jc w:val="both"/>
        <w:ind w:firstLine="1296"/>
        <w:spacing w:after="0" w:line="268" w:lineRule="auto"/>
        <w:tabs>
          <w:tab w:leader="none" w:pos="2185"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Contribution</w:t>
      </w:r>
      <w:r>
        <w:rPr>
          <w:rFonts w:ascii="Arial" w:cs="Arial" w:eastAsia="Arial" w:hAnsi="Arial"/>
          <w:sz w:val="19"/>
          <w:szCs w:val="19"/>
          <w:color w:val="auto"/>
        </w:rPr>
        <w:t xml:space="preserve">. In order to provide for just and equitable contribution in circumstances in which the indemnification provided for in the foregoing paragraphs of this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is applicable in accordance with its terms but for any reason is held to be unavailable from the Company or the Agent, the Company and the Agent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the Agent, such as persons who control the Company within the meaning of the Securities Act, officers of the Company who signed the Registration Statement and directors of the Company, who also may be liable for contribution) to which the Company and the Agent may be subject in such proportion as shall be appropriate to reflect the relative benefits received by the Company on the one hand and the Agent on the other hand. The relative benefits received by the Company on the one hand and the Agent on the other hand shall be deemed to be in the same proportion as the total net proceeds from the sale of the Placement Shares (net of commissions to the Agent but before deducting expenses) received by the Company bear to the total compensation received by the Agent (before deducting expenses)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 prevent such statement or omission. The Company and the Agent agree that it would not be just and equitable if contributions pursuant to this </w:t>
      </w:r>
      <w:r>
        <w:rPr>
          <w:rFonts w:ascii="Arial" w:cs="Arial" w:eastAsia="Arial" w:hAnsi="Arial"/>
          <w:sz w:val="19"/>
          <w:szCs w:val="19"/>
          <w:u w:val="single" w:color="auto"/>
          <w:color w:val="auto"/>
        </w:rPr>
        <w:t>Section 11(e)</w:t>
      </w:r>
      <w:r>
        <w:rPr>
          <w:rFonts w:ascii="Arial" w:cs="Arial" w:eastAsia="Arial" w:hAnsi="Arial"/>
          <w:sz w:val="19"/>
          <w:szCs w:val="19"/>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Arial" w:cs="Arial" w:eastAsia="Arial" w:hAnsi="Arial"/>
          <w:sz w:val="19"/>
          <w:szCs w:val="19"/>
          <w:u w:val="single" w:color="auto"/>
          <w:color w:val="auto"/>
        </w:rPr>
        <w:t>Section 11(e)</w:t>
      </w:r>
      <w:r>
        <w:rPr>
          <w:rFonts w:ascii="Arial" w:cs="Arial" w:eastAsia="Arial" w:hAnsi="Arial"/>
          <w:sz w:val="19"/>
          <w:szCs w:val="19"/>
          <w:color w:val="auto"/>
        </w:rPr>
        <w:t xml:space="preserve"> shall be deemed to include, for the purpose of this </w:t>
      </w:r>
      <w:r>
        <w:rPr>
          <w:rFonts w:ascii="Arial" w:cs="Arial" w:eastAsia="Arial" w:hAnsi="Arial"/>
          <w:sz w:val="19"/>
          <w:szCs w:val="19"/>
          <w:u w:val="single" w:color="auto"/>
          <w:color w:val="auto"/>
        </w:rPr>
        <w:t>Section 11(e)</w:t>
      </w:r>
      <w:r>
        <w:rPr>
          <w:rFonts w:ascii="Arial" w:cs="Arial" w:eastAsia="Arial" w:hAnsi="Arial"/>
          <w:sz w:val="19"/>
          <w:szCs w:val="19"/>
          <w:color w:val="auto"/>
        </w:rPr>
        <w:t xml:space="preserve">, any legal or other expenses reasonably incurred by such indemnified party in connection with investigating or defending any such action or claim to the extent consistent with </w:t>
      </w:r>
      <w:r>
        <w:rPr>
          <w:rFonts w:ascii="Arial" w:cs="Arial" w:eastAsia="Arial" w:hAnsi="Arial"/>
          <w:sz w:val="19"/>
          <w:szCs w:val="19"/>
          <w:u w:val="single" w:color="auto"/>
          <w:color w:val="auto"/>
        </w:rPr>
        <w:t>Section 11(c)</w:t>
      </w:r>
      <w:r>
        <w:rPr>
          <w:rFonts w:ascii="Arial" w:cs="Arial" w:eastAsia="Arial" w:hAnsi="Arial"/>
          <w:sz w:val="19"/>
          <w:szCs w:val="19"/>
          <w:color w:val="auto"/>
        </w:rPr>
        <w:t xml:space="preserve"> hereof. Notwithstanding the foregoing provisions of this </w:t>
      </w:r>
      <w:r>
        <w:rPr>
          <w:rFonts w:ascii="Arial" w:cs="Arial" w:eastAsia="Arial" w:hAnsi="Arial"/>
          <w:sz w:val="19"/>
          <w:szCs w:val="19"/>
          <w:u w:val="single" w:color="auto"/>
          <w:color w:val="auto"/>
        </w:rPr>
        <w:t>Section 11(e)</w:t>
      </w:r>
      <w:r>
        <w:rPr>
          <w:rFonts w:ascii="Arial" w:cs="Arial" w:eastAsia="Arial" w:hAnsi="Arial"/>
          <w:sz w:val="19"/>
          <w:szCs w:val="19"/>
          <w:color w:val="auto"/>
        </w:rPr>
        <w:t xml:space="preserve">, the Agent shall not be required to contribute any amount in excess of the commissions received by it under this Agreement and no person found guilty of fraudulent misrepresentation (within the meaning of </w:t>
      </w:r>
      <w:r>
        <w:rPr>
          <w:rFonts w:ascii="Arial" w:cs="Arial" w:eastAsia="Arial" w:hAnsi="Arial"/>
          <w:sz w:val="19"/>
          <w:szCs w:val="19"/>
          <w:u w:val="single" w:color="auto"/>
          <w:color w:val="auto"/>
        </w:rPr>
        <w:t>Section 11(f)</w:t>
      </w:r>
      <w:r>
        <w:rPr>
          <w:rFonts w:ascii="Arial" w:cs="Arial" w:eastAsia="Arial" w:hAnsi="Arial"/>
          <w:sz w:val="19"/>
          <w:szCs w:val="19"/>
          <w:color w:val="auto"/>
        </w:rPr>
        <w:t xml:space="preserve"> of the Securities Act) will be entitled to contribution from any person who was not guilty of such fraudulent misrepresentation. For purposes of this </w:t>
      </w:r>
      <w:r>
        <w:rPr>
          <w:rFonts w:ascii="Arial" w:cs="Arial" w:eastAsia="Arial" w:hAnsi="Arial"/>
          <w:sz w:val="19"/>
          <w:szCs w:val="19"/>
          <w:u w:val="single" w:color="auto"/>
          <w:color w:val="auto"/>
        </w:rPr>
        <w:t>Section 11(e)</w:t>
      </w:r>
      <w:r>
        <w:rPr>
          <w:rFonts w:ascii="Arial" w:cs="Arial" w:eastAsia="Arial" w:hAnsi="Arial"/>
          <w:sz w:val="19"/>
          <w:szCs w:val="19"/>
          <w:color w:val="auto"/>
        </w:rPr>
        <w:t>, any person who controls a party to this Agreement within the meaning of the Securities Act, and any officers, directors, partners, employees or agents of the Agent, will have the same rights to contribution as that party, and each director of the Company and each officer of the Company who signed the Registration Statement will have the same rights to contribution as the Company, subject in each case to the provisions hereof. Any party entitled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34" w:name="page35"/>
    <w:bookmarkEnd w:id="34"/>
    <w:p>
      <w:pPr>
        <w:jc w:val="both"/>
        <w:spacing w:after="0" w:line="275" w:lineRule="auto"/>
        <w:rPr>
          <w:sz w:val="20"/>
          <w:szCs w:val="20"/>
          <w:color w:val="auto"/>
        </w:rPr>
      </w:pPr>
      <w:r>
        <w:rPr>
          <w:rFonts w:ascii="Arial" w:cs="Arial" w:eastAsia="Arial" w:hAnsi="Arial"/>
          <w:sz w:val="19"/>
          <w:szCs w:val="19"/>
          <w:color w:val="auto"/>
        </w:rPr>
        <w:t xml:space="preserve">to contribution, promptly after receipt of notice of commencement of any action against such party in respect of which a claim for contribution may be made under this </w:t>
      </w:r>
      <w:r>
        <w:rPr>
          <w:rFonts w:ascii="Arial" w:cs="Arial" w:eastAsia="Arial" w:hAnsi="Arial"/>
          <w:sz w:val="19"/>
          <w:szCs w:val="19"/>
          <w:u w:val="single" w:color="auto"/>
          <w:color w:val="auto"/>
        </w:rPr>
        <w:t>Section 11(e)</w:t>
      </w:r>
      <w:r>
        <w:rPr>
          <w:rFonts w:ascii="Arial" w:cs="Arial" w:eastAsia="Arial" w:hAnsi="Arial"/>
          <w:sz w:val="19"/>
          <w:szCs w:val="19"/>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Arial" w:cs="Arial" w:eastAsia="Arial" w:hAnsi="Arial"/>
          <w:sz w:val="19"/>
          <w:szCs w:val="19"/>
          <w:u w:val="single" w:color="auto"/>
          <w:color w:val="auto"/>
        </w:rPr>
        <w:t>Section 11(e)</w:t>
      </w:r>
      <w:r>
        <w:rPr>
          <w:rFonts w:ascii="Arial" w:cs="Arial" w:eastAsia="Arial" w:hAnsi="Arial"/>
          <w:sz w:val="19"/>
          <w:szCs w:val="19"/>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11(c)</w:t>
      </w:r>
      <w:r>
        <w:rPr>
          <w:rFonts w:ascii="Arial" w:cs="Arial" w:eastAsia="Arial" w:hAnsi="Arial"/>
          <w:sz w:val="19"/>
          <w:szCs w:val="19"/>
          <w:color w:val="auto"/>
        </w:rPr>
        <w:t xml:space="preserve"> hereof, no party will be liable for contribution with respect to any action or claim settled without its written consent if such consent is required pursuant to </w:t>
      </w:r>
      <w:r>
        <w:rPr>
          <w:rFonts w:ascii="Arial" w:cs="Arial" w:eastAsia="Arial" w:hAnsi="Arial"/>
          <w:sz w:val="19"/>
          <w:szCs w:val="19"/>
          <w:u w:val="single" w:color="auto"/>
          <w:color w:val="auto"/>
        </w:rPr>
        <w:t>Section 11(c)</w:t>
      </w:r>
      <w:r>
        <w:rPr>
          <w:rFonts w:ascii="Arial" w:cs="Arial" w:eastAsia="Arial" w:hAnsi="Arial"/>
          <w:sz w:val="19"/>
          <w:szCs w:val="19"/>
          <w:color w:val="auto"/>
        </w:rPr>
        <w:t xml:space="preserve"> hereof.</w:t>
      </w:r>
    </w:p>
    <w:p>
      <w:pPr>
        <w:spacing w:after="0" w:line="158" w:lineRule="exact"/>
        <w:rPr>
          <w:sz w:val="20"/>
          <w:szCs w:val="20"/>
          <w:color w:val="auto"/>
        </w:rPr>
      </w:pPr>
    </w:p>
    <w:p>
      <w:pPr>
        <w:jc w:val="both"/>
        <w:ind w:firstLine="648"/>
        <w:spacing w:after="0" w:line="248" w:lineRule="auto"/>
        <w:tabs>
          <w:tab w:leader="none" w:pos="1405"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Representations and Agreements to Survive Delivery</w:t>
      </w:r>
      <w:r>
        <w:rPr>
          <w:rFonts w:ascii="Arial" w:cs="Arial" w:eastAsia="Arial" w:hAnsi="Arial"/>
          <w:sz w:val="21"/>
          <w:szCs w:val="21"/>
          <w:color w:val="auto"/>
        </w:rPr>
        <w:t xml:space="preserve">. The indemnity and contribution agreements contained in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of this Agreement and all representations and warranties of the Company and the Agent herein or in certificates delivered pursuant hereto shall survive, as of their respective dates, regardless of (i) any investigation made by or on behalf of the Agent, any controlling persons, or the Company (or any of their respective officers, directors or controlling persons), (ii) delivery and acceptance of the Placement Shares and payment therefor or (iii) any termination of this Agreement.</w:t>
      </w:r>
    </w:p>
    <w:p>
      <w:pPr>
        <w:spacing w:after="0" w:line="177" w:lineRule="exact"/>
        <w:rPr>
          <w:rFonts w:ascii="Arial" w:cs="Arial" w:eastAsia="Arial" w:hAnsi="Arial"/>
          <w:sz w:val="21"/>
          <w:szCs w:val="21"/>
          <w:color w:val="auto"/>
        </w:rPr>
      </w:pPr>
    </w:p>
    <w:p>
      <w:pPr>
        <w:ind w:left="1300" w:hanging="652"/>
        <w:spacing w:after="0"/>
        <w:tabs>
          <w:tab w:leader="none" w:pos="1300"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296"/>
        <w:spacing w:after="0" w:line="269" w:lineRule="auto"/>
        <w:tabs>
          <w:tab w:leader="none" w:pos="2052" w:val="left"/>
        </w:tabs>
        <w:numPr>
          <w:ilvl w:val="1"/>
          <w:numId w:val="52"/>
        </w:numPr>
        <w:rPr>
          <w:rFonts w:ascii="Arial" w:cs="Arial" w:eastAsia="Arial" w:hAnsi="Arial"/>
          <w:sz w:val="19"/>
          <w:szCs w:val="19"/>
          <w:color w:val="auto"/>
        </w:rPr>
      </w:pPr>
      <w:r>
        <w:rPr>
          <w:rFonts w:ascii="Arial" w:cs="Arial" w:eastAsia="Arial" w:hAnsi="Arial"/>
          <w:sz w:val="19"/>
          <w:szCs w:val="19"/>
          <w:color w:val="auto"/>
        </w:rPr>
        <w:t xml:space="preserve">The Agent may terminate this Agreement, by written notice to the Company, as hereinafter specified at any time (1) if there has been, since the time of execution of this Agreement or since the date as of which information is given in the Prospectus, any change, or any development or event involving a prospective change, in the condition, financial or otherwise, or in the business, properties, earnings, results of operations or prospects of the Company, whether or not arising in the ordinary course of business, which individually or in the aggregate, in the sole judgment of the Agent is material and adverse and makes it impractical or inadvisable to market the Placement Shares or to enforce contracts for the sale of the Placement Shares, (2)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Agent, impracticable or inadvisable to market the Placement Shares or to enforce contracts for the sale of the Placement Shares, (3) if trading in the Common Stock has been suspended or limited by the Commission or the Exchange and such suspension or limitation is continuing, or if trading generally on the Exchange has been suspended or limited and such suspension or limitation is continuing, or minimum prices for trading have been fixed on the Exchange, (4) if any suspension of trading of any securities of the Company on any exchange or in the over-the-counter market shall have occurred and be continuing, (5) if a major disruption of securities settlements or clearance services in the United States shall have occurred and be continuing, or (6) if a banking moratorium has been declared by either U.S. Federal or New York authorities. Any such termination shall be without liability of any party to any other party except that the provisions of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(Payment of Expenses),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(Indemnification and Contribution),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(Representations and Agreements to Survive Delivery), </w:t>
      </w:r>
      <w:r>
        <w:rPr>
          <w:rFonts w:ascii="Arial" w:cs="Arial" w:eastAsia="Arial" w:hAnsi="Arial"/>
          <w:sz w:val="19"/>
          <w:szCs w:val="19"/>
          <w:u w:val="single" w:color="auto"/>
          <w:color w:val="auto"/>
        </w:rPr>
        <w:t>Section 18</w:t>
      </w:r>
      <w:r>
        <w:rPr>
          <w:rFonts w:ascii="Arial" w:cs="Arial" w:eastAsia="Arial" w:hAnsi="Arial"/>
          <w:sz w:val="19"/>
          <w:szCs w:val="19"/>
          <w:color w:val="auto"/>
        </w:rPr>
        <w:t xml:space="preserve"> (Governing Law and Time; Waiver of Jury Trial) and </w:t>
      </w:r>
      <w:r>
        <w:rPr>
          <w:rFonts w:ascii="Arial" w:cs="Arial" w:eastAsia="Arial" w:hAnsi="Arial"/>
          <w:sz w:val="19"/>
          <w:szCs w:val="19"/>
          <w:u w:val="single" w:color="auto"/>
          <w:color w:val="auto"/>
        </w:rPr>
        <w:t>Section 19</w:t>
      </w:r>
      <w:r>
        <w:rPr>
          <w:rFonts w:ascii="Arial" w:cs="Arial" w:eastAsia="Arial" w:hAnsi="Arial"/>
          <w:sz w:val="19"/>
          <w:szCs w:val="19"/>
          <w:color w:val="auto"/>
        </w:rPr>
        <w:t xml:space="preserve"> (Consent to Jurisdiction) hereof shall remain in full force and effect notwithstanding such termination. If the Agent elects to</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35" w:name="page36"/>
    <w:bookmarkEnd w:id="35"/>
    <w:p>
      <w:pPr>
        <w:spacing w:after="0" w:line="251" w:lineRule="auto"/>
        <w:rPr>
          <w:sz w:val="20"/>
          <w:szCs w:val="20"/>
          <w:color w:val="auto"/>
        </w:rPr>
      </w:pPr>
      <w:r>
        <w:rPr>
          <w:rFonts w:ascii="Arial" w:cs="Arial" w:eastAsia="Arial" w:hAnsi="Arial"/>
          <w:sz w:val="22"/>
          <w:szCs w:val="22"/>
          <w:color w:val="auto"/>
        </w:rPr>
        <w:t xml:space="preserve">terminate this Agreement as provided in this </w:t>
      </w:r>
      <w:r>
        <w:rPr>
          <w:rFonts w:ascii="Arial" w:cs="Arial" w:eastAsia="Arial" w:hAnsi="Arial"/>
          <w:sz w:val="22"/>
          <w:szCs w:val="22"/>
          <w:u w:val="single" w:color="auto"/>
          <w:color w:val="auto"/>
        </w:rPr>
        <w:t>Section 13(a)</w:t>
      </w:r>
      <w:r>
        <w:rPr>
          <w:rFonts w:ascii="Arial" w:cs="Arial" w:eastAsia="Arial" w:hAnsi="Arial"/>
          <w:sz w:val="22"/>
          <w:szCs w:val="22"/>
          <w:color w:val="auto"/>
        </w:rPr>
        <w:t xml:space="preserve">, the Agent shall provide the required notice as specified in </w:t>
      </w:r>
      <w:r>
        <w:rPr>
          <w:rFonts w:ascii="Arial" w:cs="Arial" w:eastAsia="Arial" w:hAnsi="Arial"/>
          <w:sz w:val="22"/>
          <w:szCs w:val="22"/>
          <w:u w:val="single" w:color="auto"/>
          <w:color w:val="auto"/>
        </w:rPr>
        <w:t>Section 14</w:t>
      </w:r>
      <w:r>
        <w:rPr>
          <w:rFonts w:ascii="Arial" w:cs="Arial" w:eastAsia="Arial" w:hAnsi="Arial"/>
          <w:sz w:val="22"/>
          <w:szCs w:val="22"/>
          <w:color w:val="auto"/>
        </w:rPr>
        <w:t xml:space="preserve"> (Notices).</w:t>
      </w:r>
    </w:p>
    <w:p>
      <w:pPr>
        <w:spacing w:after="0" w:line="173" w:lineRule="exact"/>
        <w:rPr>
          <w:sz w:val="20"/>
          <w:szCs w:val="20"/>
          <w:color w:val="auto"/>
        </w:rPr>
      </w:pPr>
    </w:p>
    <w:p>
      <w:pPr>
        <w:jc w:val="both"/>
        <w:ind w:firstLine="1296"/>
        <w:spacing w:after="0" w:line="287" w:lineRule="auto"/>
        <w:tabs>
          <w:tab w:leader="none" w:pos="2014" w:val="left"/>
        </w:tabs>
        <w:numPr>
          <w:ilvl w:val="0"/>
          <w:numId w:val="53"/>
        </w:numPr>
        <w:rPr>
          <w:rFonts w:ascii="Arial" w:cs="Arial" w:eastAsia="Arial" w:hAnsi="Arial"/>
          <w:sz w:val="19"/>
          <w:szCs w:val="19"/>
          <w:color w:val="auto"/>
        </w:rPr>
      </w:pPr>
      <w:r>
        <w:rPr>
          <w:rFonts w:ascii="Arial" w:cs="Arial" w:eastAsia="Arial" w:hAnsi="Arial"/>
          <w:sz w:val="19"/>
          <w:szCs w:val="19"/>
          <w:color w:val="auto"/>
        </w:rPr>
        <w:t xml:space="preserve">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19</w:t>
      </w:r>
      <w:r>
        <w:rPr>
          <w:rFonts w:ascii="Arial" w:cs="Arial" w:eastAsia="Arial" w:hAnsi="Arial"/>
          <w:sz w:val="19"/>
          <w:szCs w:val="19"/>
          <w:color w:val="auto"/>
        </w:rPr>
        <w:t xml:space="preserve"> hereof shall remain in full force and effect notwithstanding such termination.</w:t>
      </w:r>
    </w:p>
    <w:p>
      <w:pPr>
        <w:spacing w:after="0" w:line="143" w:lineRule="exact"/>
        <w:rPr>
          <w:rFonts w:ascii="Arial" w:cs="Arial" w:eastAsia="Arial" w:hAnsi="Arial"/>
          <w:sz w:val="19"/>
          <w:szCs w:val="19"/>
          <w:color w:val="auto"/>
        </w:rPr>
      </w:pPr>
    </w:p>
    <w:p>
      <w:pPr>
        <w:jc w:val="both"/>
        <w:ind w:firstLine="1296"/>
        <w:spacing w:after="0" w:line="287" w:lineRule="auto"/>
        <w:tabs>
          <w:tab w:leader="none" w:pos="2115" w:val="left"/>
        </w:tabs>
        <w:numPr>
          <w:ilvl w:val="0"/>
          <w:numId w:val="53"/>
        </w:numPr>
        <w:rPr>
          <w:rFonts w:ascii="Arial" w:cs="Arial" w:eastAsia="Arial" w:hAnsi="Arial"/>
          <w:sz w:val="19"/>
          <w:szCs w:val="19"/>
          <w:color w:val="auto"/>
        </w:rPr>
      </w:pPr>
      <w:r>
        <w:rPr>
          <w:rFonts w:ascii="Arial" w:cs="Arial" w:eastAsia="Arial" w:hAnsi="Arial"/>
          <w:sz w:val="19"/>
          <w:szCs w:val="19"/>
          <w:color w:val="auto"/>
        </w:rPr>
        <w:t xml:space="preserve">The Agent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19</w:t>
      </w:r>
      <w:r>
        <w:rPr>
          <w:rFonts w:ascii="Arial" w:cs="Arial" w:eastAsia="Arial" w:hAnsi="Arial"/>
          <w:sz w:val="19"/>
          <w:szCs w:val="19"/>
          <w:color w:val="auto"/>
        </w:rPr>
        <w:t xml:space="preserve"> hereof shall remain in full force and effect notwithstanding such termination.</w:t>
      </w:r>
    </w:p>
    <w:p>
      <w:pPr>
        <w:spacing w:after="0" w:line="143" w:lineRule="exact"/>
        <w:rPr>
          <w:rFonts w:ascii="Arial" w:cs="Arial" w:eastAsia="Arial" w:hAnsi="Arial"/>
          <w:sz w:val="19"/>
          <w:szCs w:val="19"/>
          <w:color w:val="auto"/>
        </w:rPr>
      </w:pPr>
    </w:p>
    <w:p>
      <w:pPr>
        <w:jc w:val="both"/>
        <w:ind w:firstLine="1296"/>
        <w:spacing w:after="0" w:line="287" w:lineRule="auto"/>
        <w:tabs>
          <w:tab w:leader="none" w:pos="2158" w:val="left"/>
        </w:tabs>
        <w:numPr>
          <w:ilvl w:val="0"/>
          <w:numId w:val="53"/>
        </w:numPr>
        <w:rPr>
          <w:rFonts w:ascii="Arial" w:cs="Arial" w:eastAsia="Arial" w:hAnsi="Arial"/>
          <w:sz w:val="19"/>
          <w:szCs w:val="19"/>
          <w:color w:val="auto"/>
        </w:rPr>
      </w:pPr>
      <w:r>
        <w:rPr>
          <w:rFonts w:ascii="Arial" w:cs="Arial" w:eastAsia="Arial" w:hAnsi="Arial"/>
          <w:sz w:val="19"/>
          <w:szCs w:val="19"/>
          <w:color w:val="auto"/>
        </w:rPr>
        <w:t xml:space="preserve">Unless earlier terminated pursuant to this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this Agreement shall automatically terminate upon the issuance and sale of all of the Placement Shares through the Agent on the terms and subject to the conditions set forth herein; provided that the provisions of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18</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19</w:t>
      </w:r>
      <w:r>
        <w:rPr>
          <w:rFonts w:ascii="Arial" w:cs="Arial" w:eastAsia="Arial" w:hAnsi="Arial"/>
          <w:sz w:val="19"/>
          <w:szCs w:val="19"/>
          <w:color w:val="auto"/>
        </w:rPr>
        <w:t xml:space="preserve"> hereof shall remain in full force and effect notwithstanding such termination.</w:t>
      </w:r>
    </w:p>
    <w:p>
      <w:pPr>
        <w:spacing w:after="0" w:line="143" w:lineRule="exact"/>
        <w:rPr>
          <w:rFonts w:ascii="Arial" w:cs="Arial" w:eastAsia="Arial" w:hAnsi="Arial"/>
          <w:sz w:val="19"/>
          <w:szCs w:val="19"/>
          <w:color w:val="auto"/>
        </w:rPr>
      </w:pPr>
    </w:p>
    <w:p>
      <w:pPr>
        <w:jc w:val="both"/>
        <w:ind w:firstLine="1296"/>
        <w:spacing w:after="0" w:line="252" w:lineRule="auto"/>
        <w:tabs>
          <w:tab w:leader="none" w:pos="2052" w:val="left"/>
        </w:tabs>
        <w:numPr>
          <w:ilvl w:val="0"/>
          <w:numId w:val="53"/>
        </w:numPr>
        <w:rPr>
          <w:rFonts w:ascii="Arial" w:cs="Arial" w:eastAsia="Arial" w:hAnsi="Arial"/>
          <w:sz w:val="21"/>
          <w:szCs w:val="21"/>
          <w:color w:val="auto"/>
        </w:rPr>
      </w:pPr>
      <w:r>
        <w:rPr>
          <w:rFonts w:ascii="Arial" w:cs="Arial" w:eastAsia="Arial" w:hAnsi="Arial"/>
          <w:sz w:val="21"/>
          <w:szCs w:val="21"/>
          <w:color w:val="auto"/>
        </w:rPr>
        <w:t xml:space="preserve">This Agreement shall remain in full force and effect unless terminated pursuant to </w:t>
      </w:r>
      <w:r>
        <w:rPr>
          <w:rFonts w:ascii="Arial" w:cs="Arial" w:eastAsia="Arial" w:hAnsi="Arial"/>
          <w:sz w:val="21"/>
          <w:szCs w:val="21"/>
          <w:u w:val="single" w:color="auto"/>
          <w:color w:val="auto"/>
        </w:rPr>
        <w:t>Sections</w:t>
      </w:r>
      <w:r>
        <w:rPr>
          <w:rFonts w:ascii="Arial" w:cs="Arial" w:eastAsia="Arial" w:hAnsi="Arial"/>
          <w:sz w:val="21"/>
          <w:szCs w:val="21"/>
          <w:color w:val="auto"/>
        </w:rPr>
        <w:t xml:space="preserve"> </w:t>
      </w:r>
      <w:r>
        <w:rPr>
          <w:rFonts w:ascii="Arial" w:cs="Arial" w:eastAsia="Arial" w:hAnsi="Arial"/>
          <w:sz w:val="21"/>
          <w:szCs w:val="21"/>
          <w:u w:val="single" w:color="auto"/>
          <w:color w:val="auto"/>
        </w:rPr>
        <w:t>13(a)</w:t>
      </w:r>
      <w:r>
        <w:rPr>
          <w:rFonts w:ascii="Arial" w:cs="Arial" w:eastAsia="Arial" w:hAnsi="Arial"/>
          <w:sz w:val="21"/>
          <w:szCs w:val="21"/>
          <w:color w:val="auto"/>
        </w:rPr>
        <w:t xml:space="preserve">, </w:t>
      </w:r>
      <w:r>
        <w:rPr>
          <w:rFonts w:ascii="Arial" w:cs="Arial" w:eastAsia="Arial" w:hAnsi="Arial"/>
          <w:sz w:val="21"/>
          <w:szCs w:val="21"/>
          <w:u w:val="single" w:color="auto"/>
          <w:color w:val="auto"/>
        </w:rPr>
        <w:t>(b)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(c)</w:t>
      </w:r>
      <w:r>
        <w:rPr>
          <w:rFonts w:ascii="Arial" w:cs="Arial" w:eastAsia="Arial" w:hAnsi="Arial"/>
          <w:sz w:val="21"/>
          <w:szCs w:val="21"/>
          <w:color w:val="auto"/>
        </w:rPr>
        <w:t xml:space="preserve"> above or otherwise by mutual agreement of the parties;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any such termination by mutual agreement shall in all cases be deemed to provide that </w:t>
      </w:r>
      <w:r>
        <w:rPr>
          <w:rFonts w:ascii="Arial" w:cs="Arial" w:eastAsia="Arial" w:hAnsi="Arial"/>
          <w:sz w:val="21"/>
          <w:szCs w:val="21"/>
          <w:u w:val="single" w:color="auto"/>
          <w:color w:val="auto"/>
        </w:rPr>
        <w:t>Section 8</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11</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18</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19</w:t>
      </w:r>
      <w:r>
        <w:rPr>
          <w:rFonts w:ascii="Arial" w:cs="Arial" w:eastAsia="Arial" w:hAnsi="Arial"/>
          <w:sz w:val="21"/>
          <w:szCs w:val="21"/>
          <w:color w:val="auto"/>
        </w:rPr>
        <w:t xml:space="preserve"> shall remain in full force and effect notwithstanding such termination.</w:t>
      </w:r>
    </w:p>
    <w:p>
      <w:pPr>
        <w:spacing w:after="0" w:line="174" w:lineRule="exact"/>
        <w:rPr>
          <w:rFonts w:ascii="Arial" w:cs="Arial" w:eastAsia="Arial" w:hAnsi="Arial"/>
          <w:sz w:val="21"/>
          <w:szCs w:val="21"/>
          <w:color w:val="auto"/>
        </w:rPr>
      </w:pPr>
    </w:p>
    <w:p>
      <w:pPr>
        <w:jc w:val="both"/>
        <w:ind w:firstLine="1296"/>
        <w:spacing w:after="0" w:line="236" w:lineRule="auto"/>
        <w:tabs>
          <w:tab w:leader="none" w:pos="2017" w:val="left"/>
        </w:tabs>
        <w:numPr>
          <w:ilvl w:val="0"/>
          <w:numId w:val="53"/>
        </w:numPr>
        <w:rPr>
          <w:rFonts w:ascii="Arial" w:cs="Arial" w:eastAsia="Arial" w:hAnsi="Arial"/>
          <w:sz w:val="22"/>
          <w:szCs w:val="22"/>
          <w:color w:val="auto"/>
        </w:rPr>
      </w:pPr>
      <w:r>
        <w:rPr>
          <w:rFonts w:ascii="Arial" w:cs="Arial" w:eastAsia="Arial" w:hAnsi="Arial"/>
          <w:sz w:val="22"/>
          <w:szCs w:val="22"/>
          <w:color w:val="auto"/>
        </w:rPr>
        <w:t xml:space="preserve">Any termination of this Agreement shall be effective on the date specified in such notice of termination;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such termination shall not be effective until the close of business on the date of receipt of such notice by the Agent or the Company, as the case may be. If such termination shall occur prior to the Settlement Date for any sale of Placement Shares, such Placement Shares shall settle in accordance with the provisions of this Agreement.</w:t>
      </w:r>
    </w:p>
    <w:p>
      <w:pPr>
        <w:spacing w:after="0" w:line="188" w:lineRule="exact"/>
        <w:rPr>
          <w:sz w:val="20"/>
          <w:szCs w:val="20"/>
          <w:color w:val="auto"/>
        </w:rPr>
      </w:pPr>
    </w:p>
    <w:p>
      <w:pPr>
        <w:jc w:val="both"/>
        <w:ind w:firstLine="648"/>
        <w:spacing w:after="0"/>
        <w:tabs>
          <w:tab w:leader="none" w:pos="1364"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or other communications required or permitted to be given by any party to any other party pursuant to the terms of this Agreement shall be in writing, unless otherwise specified, and if sent to the Agent, shall be delivered to:</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Leerink Partners LLC</w:t>
      </w:r>
    </w:p>
    <w:p>
      <w:pPr>
        <w:ind w:left="1300"/>
        <w:spacing w:after="0" w:line="238" w:lineRule="auto"/>
        <w:rPr>
          <w:sz w:val="20"/>
          <w:szCs w:val="20"/>
          <w:color w:val="auto"/>
        </w:rPr>
      </w:pPr>
      <w:r>
        <w:rPr>
          <w:rFonts w:ascii="Arial" w:cs="Arial" w:eastAsia="Arial" w:hAnsi="Arial"/>
          <w:sz w:val="22"/>
          <w:szCs w:val="22"/>
          <w:color w:val="auto"/>
        </w:rPr>
        <w:t>1301 Avenue of the Americas, 12</w:t>
      </w:r>
      <w:r>
        <w:rPr>
          <w:rFonts w:ascii="Arial" w:cs="Arial" w:eastAsia="Arial" w:hAnsi="Arial"/>
          <w:sz w:val="10"/>
          <w:szCs w:val="10"/>
          <w:color w:val="auto"/>
        </w:rPr>
        <w:t>th</w:t>
      </w:r>
      <w:r>
        <w:rPr>
          <w:rFonts w:ascii="Arial" w:cs="Arial" w:eastAsia="Arial" w:hAnsi="Arial"/>
          <w:sz w:val="22"/>
          <w:szCs w:val="22"/>
          <w:color w:val="auto"/>
        </w:rPr>
        <w:t xml:space="preserve"> floor</w:t>
      </w:r>
    </w:p>
    <w:p>
      <w:pPr>
        <w:ind w:left="1300"/>
        <w:spacing w:after="0" w:line="230" w:lineRule="auto"/>
        <w:rPr>
          <w:sz w:val="20"/>
          <w:szCs w:val="20"/>
          <w:color w:val="auto"/>
        </w:rPr>
      </w:pPr>
      <w:r>
        <w:rPr>
          <w:rFonts w:ascii="Arial" w:cs="Arial" w:eastAsia="Arial" w:hAnsi="Arial"/>
          <w:sz w:val="22"/>
          <w:szCs w:val="22"/>
          <w:color w:val="auto"/>
        </w:rPr>
        <w:t>New York, NY 10019</w:t>
      </w:r>
    </w:p>
    <w:p>
      <w:pPr>
        <w:ind w:left="1300"/>
        <w:spacing w:after="0" w:line="231" w:lineRule="auto"/>
        <w:tabs>
          <w:tab w:leader="none" w:pos="25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Capital Markets/Patrick Morley</w:t>
      </w:r>
    </w:p>
    <w:p>
      <w:pPr>
        <w:spacing w:after="0" w:line="1"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22"/>
          <w:szCs w:val="22"/>
          <w:color w:val="auto"/>
        </w:rPr>
        <w:t>Facsimile:</w:t>
      </w:r>
      <w:r>
        <w:rPr>
          <w:sz w:val="20"/>
          <w:szCs w:val="20"/>
          <w:color w:val="auto"/>
        </w:rPr>
        <w:tab/>
      </w:r>
      <w:r>
        <w:rPr>
          <w:rFonts w:ascii="Arial" w:cs="Arial" w:eastAsia="Arial" w:hAnsi="Arial"/>
          <w:sz w:val="22"/>
          <w:szCs w:val="22"/>
          <w:color w:val="auto"/>
        </w:rPr>
        <w:t>(646) 499-7122</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with copies to:</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Leerink Partners LLC</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1301 Avenue of the Americas, 12</w:t>
      </w:r>
      <w:r>
        <w:rPr>
          <w:rFonts w:ascii="Arial" w:cs="Arial" w:eastAsia="Arial" w:hAnsi="Arial"/>
          <w:sz w:val="10"/>
          <w:szCs w:val="10"/>
          <w:color w:val="auto"/>
        </w:rPr>
        <w:t>th</w:t>
      </w:r>
      <w:r>
        <w:rPr>
          <w:rFonts w:ascii="Arial" w:cs="Arial" w:eastAsia="Arial" w:hAnsi="Arial"/>
          <w:sz w:val="22"/>
          <w:szCs w:val="22"/>
          <w:color w:val="auto"/>
        </w:rPr>
        <w:t xml:space="preserve"> floor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36" w:name="page37"/>
    <w:bookmarkEnd w:id="36"/>
    <w:p>
      <w:pPr>
        <w:ind w:left="1300"/>
        <w:spacing w:after="0"/>
        <w:rPr>
          <w:sz w:val="20"/>
          <w:szCs w:val="20"/>
          <w:color w:val="auto"/>
        </w:rPr>
      </w:pPr>
      <w:r>
        <w:rPr>
          <w:rFonts w:ascii="Arial" w:cs="Arial" w:eastAsia="Arial" w:hAnsi="Arial"/>
          <w:sz w:val="22"/>
          <w:szCs w:val="22"/>
          <w:color w:val="auto"/>
        </w:rPr>
        <w:t>New York, NY 10019</w:t>
      </w:r>
    </w:p>
    <w:p>
      <w:pPr>
        <w:ind w:left="1300"/>
        <w:spacing w:after="0" w:line="238" w:lineRule="auto"/>
        <w:tabs>
          <w:tab w:leader="none" w:pos="25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Legal/Stuart R. Nayman</w:t>
      </w:r>
    </w:p>
    <w:p>
      <w:pPr>
        <w:ind w:left="1300"/>
        <w:spacing w:after="0"/>
        <w:tabs>
          <w:tab w:leader="none" w:pos="2600" w:val="left"/>
        </w:tabs>
        <w:rPr>
          <w:sz w:val="20"/>
          <w:szCs w:val="20"/>
          <w:color w:val="auto"/>
        </w:rPr>
      </w:pPr>
      <w:r>
        <w:rPr>
          <w:rFonts w:ascii="Arial" w:cs="Arial" w:eastAsia="Arial" w:hAnsi="Arial"/>
          <w:sz w:val="22"/>
          <w:szCs w:val="22"/>
          <w:color w:val="auto"/>
        </w:rPr>
        <w:t>Facsimile:</w:t>
      </w:r>
      <w:r>
        <w:rPr>
          <w:sz w:val="20"/>
          <w:szCs w:val="20"/>
          <w:color w:val="auto"/>
        </w:rPr>
        <w:tab/>
      </w:r>
      <w:r>
        <w:rPr>
          <w:rFonts w:ascii="Arial" w:cs="Arial" w:eastAsia="Arial" w:hAnsi="Arial"/>
          <w:sz w:val="22"/>
          <w:szCs w:val="22"/>
          <w:color w:val="auto"/>
        </w:rPr>
        <w:t>(646) 499-7051</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and with a copy to:</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Cooley LLP</w:t>
      </w:r>
    </w:p>
    <w:p>
      <w:pPr>
        <w:ind w:left="1300"/>
        <w:spacing w:after="0" w:line="238" w:lineRule="auto"/>
        <w:rPr>
          <w:sz w:val="20"/>
          <w:szCs w:val="20"/>
          <w:color w:val="auto"/>
        </w:rPr>
      </w:pPr>
      <w:r>
        <w:rPr>
          <w:rFonts w:ascii="Arial" w:cs="Arial" w:eastAsia="Arial" w:hAnsi="Arial"/>
          <w:sz w:val="22"/>
          <w:szCs w:val="22"/>
          <w:color w:val="auto"/>
        </w:rPr>
        <w:t>1114 Avenue of the Americas</w:t>
      </w:r>
    </w:p>
    <w:p>
      <w:pPr>
        <w:ind w:left="1300"/>
        <w:spacing w:after="0" w:line="230" w:lineRule="auto"/>
        <w:rPr>
          <w:sz w:val="20"/>
          <w:szCs w:val="20"/>
          <w:color w:val="auto"/>
        </w:rPr>
      </w:pPr>
      <w:r>
        <w:rPr>
          <w:rFonts w:ascii="Arial" w:cs="Arial" w:eastAsia="Arial" w:hAnsi="Arial"/>
          <w:sz w:val="22"/>
          <w:szCs w:val="22"/>
          <w:color w:val="auto"/>
        </w:rPr>
        <w:t>New York, NY 10036</w:t>
      </w:r>
    </w:p>
    <w:p>
      <w:pPr>
        <w:ind w:left="1300"/>
        <w:spacing w:after="0" w:line="231" w:lineRule="auto"/>
        <w:tabs>
          <w:tab w:leader="none" w:pos="25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Daniel I. Goldberg, Esq.</w:t>
      </w:r>
    </w:p>
    <w:p>
      <w:pPr>
        <w:spacing w:after="0" w:line="1"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22"/>
          <w:szCs w:val="22"/>
          <w:color w:val="auto"/>
        </w:rPr>
        <w:t>Facsimile:</w:t>
      </w:r>
      <w:r>
        <w:rPr>
          <w:sz w:val="20"/>
          <w:szCs w:val="20"/>
          <w:color w:val="auto"/>
        </w:rPr>
        <w:tab/>
      </w:r>
      <w:r>
        <w:rPr>
          <w:rFonts w:ascii="Arial" w:cs="Arial" w:eastAsia="Arial" w:hAnsi="Arial"/>
          <w:sz w:val="22"/>
          <w:szCs w:val="22"/>
          <w:color w:val="auto"/>
        </w:rPr>
        <w:t>(212) 479-6275</w:t>
      </w:r>
    </w:p>
    <w:p>
      <w:pPr>
        <w:spacing w:after="0" w:line="188" w:lineRule="exact"/>
        <w:rPr>
          <w:sz w:val="20"/>
          <w:szCs w:val="20"/>
          <w:color w:val="auto"/>
        </w:rPr>
      </w:pPr>
    </w:p>
    <w:p>
      <w:pPr>
        <w:jc w:val="center"/>
        <w:ind w:right="6220"/>
        <w:spacing w:after="0"/>
        <w:rPr>
          <w:sz w:val="20"/>
          <w:szCs w:val="20"/>
          <w:color w:val="auto"/>
        </w:rPr>
      </w:pPr>
      <w:r>
        <w:rPr>
          <w:rFonts w:ascii="Arial" w:cs="Arial" w:eastAsia="Arial" w:hAnsi="Arial"/>
          <w:sz w:val="19"/>
          <w:szCs w:val="19"/>
          <w:color w:val="auto"/>
        </w:rPr>
        <w:t>and if to the Company, shall be delivered to:</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Ardelyx, Inc.</w:t>
      </w:r>
    </w:p>
    <w:p>
      <w:pPr>
        <w:ind w:left="1300"/>
        <w:spacing w:after="0" w:line="238" w:lineRule="auto"/>
        <w:rPr>
          <w:sz w:val="20"/>
          <w:szCs w:val="20"/>
          <w:color w:val="auto"/>
        </w:rPr>
      </w:pPr>
      <w:r>
        <w:rPr>
          <w:rFonts w:ascii="Arial" w:cs="Arial" w:eastAsia="Arial" w:hAnsi="Arial"/>
          <w:sz w:val="22"/>
          <w:szCs w:val="22"/>
          <w:color w:val="auto"/>
        </w:rPr>
        <w:t>34175 Ardenwood Blvd.</w:t>
      </w:r>
    </w:p>
    <w:p>
      <w:pPr>
        <w:ind w:left="1300"/>
        <w:spacing w:after="0" w:line="230" w:lineRule="auto"/>
        <w:rPr>
          <w:sz w:val="20"/>
          <w:szCs w:val="20"/>
          <w:color w:val="auto"/>
        </w:rPr>
      </w:pPr>
      <w:r>
        <w:rPr>
          <w:rFonts w:ascii="Arial" w:cs="Arial" w:eastAsia="Arial" w:hAnsi="Arial"/>
          <w:sz w:val="22"/>
          <w:szCs w:val="22"/>
          <w:color w:val="auto"/>
        </w:rPr>
        <w:t>Fremont, California</w:t>
      </w:r>
    </w:p>
    <w:p>
      <w:pPr>
        <w:ind w:left="1300"/>
        <w:spacing w:after="0" w:line="231" w:lineRule="auto"/>
        <w:tabs>
          <w:tab w:leader="none" w:pos="25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Chief Executive Officer and President</w:t>
      </w:r>
    </w:p>
    <w:p>
      <w:pPr>
        <w:ind w:left="1300"/>
        <w:spacing w:after="0" w:line="231" w:lineRule="auto"/>
        <w:tabs>
          <w:tab w:leader="none" w:pos="25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General Counsel</w:t>
      </w:r>
    </w:p>
    <w:p>
      <w:pPr>
        <w:ind w:left="1300"/>
        <w:spacing w:after="0" w:line="230" w:lineRule="auto"/>
        <w:tabs>
          <w:tab w:leader="none" w:pos="2600" w:val="left"/>
        </w:tabs>
        <w:rPr>
          <w:sz w:val="20"/>
          <w:szCs w:val="20"/>
          <w:color w:val="auto"/>
        </w:rPr>
      </w:pPr>
      <w:r>
        <w:rPr>
          <w:rFonts w:ascii="Arial" w:cs="Arial" w:eastAsia="Arial" w:hAnsi="Arial"/>
          <w:sz w:val="22"/>
          <w:szCs w:val="22"/>
          <w:color w:val="auto"/>
        </w:rPr>
        <w:t>Facsimile:</w:t>
      </w:r>
      <w:r>
        <w:rPr>
          <w:sz w:val="20"/>
          <w:szCs w:val="20"/>
          <w:color w:val="auto"/>
        </w:rPr>
        <w:tab/>
      </w:r>
      <w:r>
        <w:rPr>
          <w:rFonts w:ascii="Arial" w:cs="Arial" w:eastAsia="Arial" w:hAnsi="Arial"/>
          <w:sz w:val="22"/>
          <w:szCs w:val="22"/>
          <w:color w:val="auto"/>
        </w:rPr>
        <w:t>(510) 745-0493</w:t>
      </w:r>
    </w:p>
    <w:p>
      <w:pPr>
        <w:ind w:left="1300"/>
        <w:spacing w:after="0" w:line="231" w:lineRule="auto"/>
        <w:rPr>
          <w:sz w:val="20"/>
          <w:szCs w:val="20"/>
          <w:color w:val="auto"/>
        </w:rPr>
      </w:pPr>
      <w:r>
        <w:rPr>
          <w:rFonts w:ascii="Arial" w:cs="Arial" w:eastAsia="Arial" w:hAnsi="Arial"/>
          <w:sz w:val="22"/>
          <w:szCs w:val="22"/>
          <w:color w:val="auto"/>
        </w:rPr>
        <w:t>Email: mraab@ardelyx.com</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egrammer@ardelyx.com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Latham &amp; Watkins LLP</w:t>
      </w:r>
    </w:p>
    <w:p>
      <w:pPr>
        <w:ind w:left="1300"/>
        <w:spacing w:after="0" w:line="238" w:lineRule="auto"/>
        <w:rPr>
          <w:sz w:val="20"/>
          <w:szCs w:val="20"/>
          <w:color w:val="auto"/>
        </w:rPr>
      </w:pPr>
      <w:r>
        <w:rPr>
          <w:rFonts w:ascii="Arial" w:cs="Arial" w:eastAsia="Arial" w:hAnsi="Arial"/>
          <w:sz w:val="22"/>
          <w:szCs w:val="22"/>
          <w:color w:val="auto"/>
        </w:rPr>
        <w:t>140 Scott Drive</w:t>
      </w:r>
    </w:p>
    <w:p>
      <w:pPr>
        <w:ind w:left="1300"/>
        <w:spacing w:after="0" w:line="230" w:lineRule="auto"/>
        <w:rPr>
          <w:sz w:val="20"/>
          <w:szCs w:val="20"/>
          <w:color w:val="auto"/>
        </w:rPr>
      </w:pPr>
      <w:r>
        <w:rPr>
          <w:rFonts w:ascii="Arial" w:cs="Arial" w:eastAsia="Arial" w:hAnsi="Arial"/>
          <w:sz w:val="22"/>
          <w:szCs w:val="22"/>
          <w:color w:val="auto"/>
        </w:rPr>
        <w:t>Menlo Park, California 94025</w:t>
      </w:r>
    </w:p>
    <w:p>
      <w:pPr>
        <w:ind w:left="1300"/>
        <w:spacing w:after="0" w:line="231" w:lineRule="auto"/>
        <w:tabs>
          <w:tab w:leader="none" w:pos="25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Mark V. Roeder</w:t>
      </w:r>
    </w:p>
    <w:p>
      <w:pPr>
        <w:ind w:left="1300"/>
        <w:spacing w:after="0" w:line="231" w:lineRule="auto"/>
        <w:tabs>
          <w:tab w:leader="none" w:pos="2600" w:val="left"/>
        </w:tabs>
        <w:rPr>
          <w:sz w:val="20"/>
          <w:szCs w:val="20"/>
          <w:color w:val="auto"/>
        </w:rPr>
      </w:pPr>
      <w:r>
        <w:rPr>
          <w:rFonts w:ascii="Arial" w:cs="Arial" w:eastAsia="Arial" w:hAnsi="Arial"/>
          <w:sz w:val="22"/>
          <w:szCs w:val="22"/>
          <w:color w:val="auto"/>
        </w:rPr>
        <w:t>Facsimile:</w:t>
      </w:r>
      <w:r>
        <w:rPr>
          <w:sz w:val="20"/>
          <w:szCs w:val="20"/>
          <w:color w:val="auto"/>
        </w:rPr>
        <w:tab/>
      </w:r>
      <w:r>
        <w:rPr>
          <w:rFonts w:ascii="Arial" w:cs="Arial" w:eastAsia="Arial" w:hAnsi="Arial"/>
          <w:sz w:val="22"/>
          <w:szCs w:val="22"/>
          <w:color w:val="auto"/>
        </w:rPr>
        <w:t>(650) 463-2600</w:t>
      </w:r>
    </w:p>
    <w:p>
      <w:pPr>
        <w:ind w:left="1300"/>
        <w:spacing w:after="0"/>
        <w:rPr>
          <w:sz w:val="20"/>
          <w:szCs w:val="20"/>
          <w:color w:val="auto"/>
        </w:rPr>
      </w:pPr>
      <w:r>
        <w:rPr>
          <w:rFonts w:ascii="Arial" w:cs="Arial" w:eastAsia="Arial" w:hAnsi="Arial"/>
          <w:sz w:val="22"/>
          <w:szCs w:val="22"/>
          <w:color w:val="auto"/>
        </w:rPr>
        <w:t>Email: mark.roeder@lw.com</w:t>
      </w:r>
    </w:p>
    <w:p>
      <w:pPr>
        <w:spacing w:after="0" w:line="188"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or, if such day is not a Business Day, on the next succeeding Business Day, (ii) by Electronic Notice as set forth in the next paragraph, (iii) on the next Business Day after timely delivery to a nationally-recognized overnight courier or (iv) on the Business Day actually received if deposited in the U.S. mail (certified or registered mail, return receipt requested, postage prepaid). For purposes of this Agreement, “</w:t>
      </w:r>
      <w:r>
        <w:rPr>
          <w:rFonts w:ascii="Arial" w:cs="Arial" w:eastAsia="Arial" w:hAnsi="Arial"/>
          <w:sz w:val="21"/>
          <w:szCs w:val="21"/>
          <w:b w:val="1"/>
          <w:bCs w:val="1"/>
          <w:u w:val="single" w:color="auto"/>
          <w:color w:val="auto"/>
        </w:rPr>
        <w:t>Business Day</w:t>
      </w:r>
      <w:r>
        <w:rPr>
          <w:rFonts w:ascii="Arial" w:cs="Arial" w:eastAsia="Arial" w:hAnsi="Arial"/>
          <w:sz w:val="21"/>
          <w:szCs w:val="21"/>
          <w:color w:val="auto"/>
        </w:rPr>
        <w:t>” shall mean any day on which the Exchange and commercial banks in the City of New York are open for business.</w:t>
      </w:r>
    </w:p>
    <w:p>
      <w:pPr>
        <w:spacing w:after="0" w:line="17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An electronic communication (“</w:t>
      </w:r>
      <w:r>
        <w:rPr>
          <w:rFonts w:ascii="Arial" w:cs="Arial" w:eastAsia="Arial" w:hAnsi="Arial"/>
          <w:sz w:val="22"/>
          <w:szCs w:val="22"/>
          <w:b w:val="1"/>
          <w:bCs w:val="1"/>
          <w:u w:val="single" w:color="auto"/>
          <w:color w:val="auto"/>
        </w:rPr>
        <w:t>Electronic Notice</w:t>
      </w:r>
      <w:r>
        <w:rPr>
          <w:rFonts w:ascii="Arial" w:cs="Arial" w:eastAsia="Arial" w:hAnsi="Arial"/>
          <w:sz w:val="22"/>
          <w:szCs w:val="22"/>
          <w:color w:val="auto"/>
        </w:rPr>
        <w:t xml:space="preserve">”) shall be deemed written notice for purposes of this </w:t>
      </w:r>
      <w:r>
        <w:rPr>
          <w:rFonts w:ascii="Arial" w:cs="Arial" w:eastAsia="Arial" w:hAnsi="Arial"/>
          <w:sz w:val="22"/>
          <w:szCs w:val="22"/>
          <w:u w:val="single" w:color="auto"/>
          <w:color w:val="auto"/>
        </w:rPr>
        <w:t>Section 14</w:t>
      </w:r>
      <w:r>
        <w:rPr>
          <w:rFonts w:ascii="Arial" w:cs="Arial" w:eastAsia="Arial" w:hAnsi="Arial"/>
          <w:sz w:val="22"/>
          <w:szCs w:val="22"/>
          <w:color w:val="auto"/>
        </w:rPr>
        <w:t xml:space="preserve"> if sent to the electronic mail address specified by the receiving party under separate cover. Electronic Notice shall be deemed received at the time the party sending</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37" w:name="page38"/>
    <w:bookmarkEnd w:id="37"/>
    <w:p>
      <w:pPr>
        <w:jc w:val="both"/>
        <w:spacing w:after="0" w:line="297" w:lineRule="auto"/>
        <w:rPr>
          <w:sz w:val="20"/>
          <w:szCs w:val="20"/>
          <w:color w:val="auto"/>
        </w:rPr>
      </w:pPr>
      <w:r>
        <w:rPr>
          <w:rFonts w:ascii="Arial" w:cs="Arial" w:eastAsia="Arial" w:hAnsi="Arial"/>
          <w:sz w:val="19"/>
          <w:szCs w:val="19"/>
          <w:color w:val="auto"/>
        </w:rPr>
        <w:t>Electronic Notice receives verification of receipt by the receiving party. Any party receiving Electronic Notice may request and shall be entitled to receive the notice on paper, in a nonelectronic form (“</w:t>
      </w:r>
      <w:r>
        <w:rPr>
          <w:rFonts w:ascii="Arial" w:cs="Arial" w:eastAsia="Arial" w:hAnsi="Arial"/>
          <w:sz w:val="19"/>
          <w:szCs w:val="19"/>
          <w:b w:val="1"/>
          <w:bCs w:val="1"/>
          <w:u w:val="single" w:color="auto"/>
          <w:color w:val="auto"/>
        </w:rPr>
        <w:t>Nonelectronic Notic</w:t>
      </w:r>
      <w:r>
        <w:rPr>
          <w:rFonts w:ascii="Arial" w:cs="Arial" w:eastAsia="Arial" w:hAnsi="Arial"/>
          <w:sz w:val="19"/>
          <w:szCs w:val="19"/>
          <w:b w:val="1"/>
          <w:bCs w:val="1"/>
          <w:color w:val="auto"/>
        </w:rPr>
        <w:t>e</w:t>
      </w:r>
      <w:r>
        <w:rPr>
          <w:rFonts w:ascii="Arial" w:cs="Arial" w:eastAsia="Arial" w:hAnsi="Arial"/>
          <w:sz w:val="19"/>
          <w:szCs w:val="19"/>
          <w:color w:val="auto"/>
        </w:rPr>
        <w:t>”) which shall be sent to the requesting party within ten (10) days of receipt of the written request for Nonelectronic Notice.</w:t>
      </w:r>
    </w:p>
    <w:p>
      <w:pPr>
        <w:spacing w:after="0" w:line="134" w:lineRule="exact"/>
        <w:rPr>
          <w:sz w:val="20"/>
          <w:szCs w:val="20"/>
          <w:color w:val="auto"/>
        </w:rPr>
      </w:pPr>
    </w:p>
    <w:p>
      <w:pPr>
        <w:jc w:val="both"/>
        <w:ind w:firstLine="648"/>
        <w:spacing w:after="0" w:line="273" w:lineRule="auto"/>
        <w:tabs>
          <w:tab w:leader="none" w:pos="1513"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xml:space="preserve">. This Agreement shall inure to the benefit of and be binding upon the Company and the Agent and their respective successors and the affiliates, controlling persons, officers and directors referred to in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Agent may assign its rights and obligations hereunder to an affiliate thereof without obtaining the Company’s consent so long as such affiliate is a registered broker dealer and the Agent provides notice of such assignment to the Company.</w:t>
      </w:r>
    </w:p>
    <w:p>
      <w:pPr>
        <w:spacing w:after="0" w:line="161" w:lineRule="exact"/>
        <w:rPr>
          <w:rFonts w:ascii="Arial" w:cs="Arial" w:eastAsia="Arial" w:hAnsi="Arial"/>
          <w:sz w:val="19"/>
          <w:szCs w:val="19"/>
          <w:color w:val="auto"/>
        </w:rPr>
      </w:pPr>
    </w:p>
    <w:p>
      <w:pPr>
        <w:jc w:val="both"/>
        <w:ind w:firstLine="648"/>
        <w:spacing w:after="0"/>
        <w:tabs>
          <w:tab w:leader="none" w:pos="1472"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Adjustments for Stock Splits</w:t>
      </w:r>
      <w:r>
        <w:rPr>
          <w:rFonts w:ascii="Arial" w:cs="Arial" w:eastAsia="Arial" w:hAnsi="Arial"/>
          <w:sz w:val="22"/>
          <w:szCs w:val="22"/>
          <w:color w:val="auto"/>
        </w:rPr>
        <w:t>. The parties acknowledge and agree that all share-related numbers contained in this Agreement shall be adjusted to take into account any stock split, stock dividend or similar event effected with respect to the Placement Shares.</w:t>
      </w:r>
    </w:p>
    <w:p>
      <w:pPr>
        <w:spacing w:after="0" w:line="186" w:lineRule="exact"/>
        <w:rPr>
          <w:rFonts w:ascii="Arial" w:cs="Arial" w:eastAsia="Arial" w:hAnsi="Arial"/>
          <w:sz w:val="22"/>
          <w:szCs w:val="22"/>
          <w:color w:val="auto"/>
        </w:rPr>
      </w:pPr>
    </w:p>
    <w:p>
      <w:pPr>
        <w:jc w:val="both"/>
        <w:ind w:firstLine="648"/>
        <w:spacing w:after="0" w:line="271" w:lineRule="auto"/>
        <w:tabs>
          <w:tab w:leader="none" w:pos="1364"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Entire Agreement; Amendment; Severability; Waiver</w:t>
      </w:r>
      <w:r>
        <w:rPr>
          <w:rFonts w:ascii="Arial" w:cs="Arial" w:eastAsia="Arial" w:hAnsi="Arial"/>
          <w:sz w:val="19"/>
          <w:szCs w:val="19"/>
          <w:color w:val="auto"/>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written waiver from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159" w:lineRule="exact"/>
        <w:rPr>
          <w:rFonts w:ascii="Arial" w:cs="Arial" w:eastAsia="Arial" w:hAnsi="Arial"/>
          <w:sz w:val="19"/>
          <w:szCs w:val="19"/>
          <w:color w:val="auto"/>
        </w:rPr>
      </w:pPr>
    </w:p>
    <w:p>
      <w:pPr>
        <w:jc w:val="both"/>
        <w:ind w:firstLine="648"/>
        <w:spacing w:after="0" w:line="235" w:lineRule="auto"/>
        <w:tabs>
          <w:tab w:leader="none" w:pos="1337" w:val="left"/>
        </w:tabs>
        <w:numPr>
          <w:ilvl w:val="0"/>
          <w:numId w:val="55"/>
        </w:numPr>
        <w:rPr>
          <w:rFonts w:ascii="Arial" w:cs="Arial" w:eastAsia="Arial" w:hAnsi="Arial"/>
          <w:sz w:val="22"/>
          <w:szCs w:val="22"/>
          <w:color w:val="auto"/>
        </w:rPr>
      </w:pPr>
      <w:r>
        <w:rPr>
          <w:rFonts w:ascii="Arial" w:cs="Arial" w:eastAsia="Arial" w:hAnsi="Arial"/>
          <w:sz w:val="22"/>
          <w:szCs w:val="22"/>
          <w:b w:val="1"/>
          <w:bCs w:val="1"/>
          <w:u w:val="single" w:color="auto"/>
          <w:color w:val="auto"/>
        </w:rPr>
        <w:t>GOVERNING LAW AND TIME; WAIVER OF JURY TRIAL</w:t>
      </w:r>
      <w:r>
        <w:rPr>
          <w:rFonts w:ascii="Arial" w:cs="Arial" w:eastAsia="Arial" w:hAnsi="Arial"/>
          <w:sz w:val="22"/>
          <w:szCs w:val="22"/>
          <w:b w:val="1"/>
          <w:bCs w:val="1"/>
          <w:color w:val="auto"/>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38" w:name="page39"/>
    <w:bookmarkEnd w:id="38"/>
    <w:p>
      <w:pPr>
        <w:jc w:val="both"/>
        <w:ind w:firstLine="648"/>
        <w:spacing w:after="0" w:line="232" w:lineRule="auto"/>
        <w:tabs>
          <w:tab w:leader="none" w:pos="1391" w:val="left"/>
        </w:tabs>
        <w:numPr>
          <w:ilvl w:val="0"/>
          <w:numId w:val="56"/>
        </w:numPr>
        <w:rPr>
          <w:rFonts w:ascii="Arial" w:cs="Arial" w:eastAsia="Arial" w:hAnsi="Arial"/>
          <w:sz w:val="22"/>
          <w:szCs w:val="22"/>
          <w:color w:val="auto"/>
        </w:rPr>
      </w:pPr>
      <w:r>
        <w:rPr>
          <w:rFonts w:ascii="Arial" w:cs="Arial" w:eastAsia="Arial" w:hAnsi="Arial"/>
          <w:sz w:val="22"/>
          <w:szCs w:val="22"/>
          <w:b w:val="1"/>
          <w:bCs w:val="1"/>
          <w:u w:val="single" w:color="auto"/>
          <w:color w:val="auto"/>
        </w:rPr>
        <w:t>CONSENT TO JURISDICTION</w:t>
      </w:r>
      <w:r>
        <w:rPr>
          <w:rFonts w:ascii="Arial" w:cs="Arial" w:eastAsia="Arial" w:hAnsi="Arial"/>
          <w:sz w:val="22"/>
          <w:szCs w:val="22"/>
          <w:b w:val="1"/>
          <w:bCs w:val="1"/>
          <w:color w:val="auto"/>
        </w:rPr>
        <w:t>.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99" w:lineRule="exact"/>
        <w:rPr>
          <w:rFonts w:ascii="Arial" w:cs="Arial" w:eastAsia="Arial" w:hAnsi="Arial"/>
          <w:sz w:val="22"/>
          <w:szCs w:val="22"/>
          <w:color w:val="auto"/>
        </w:rPr>
      </w:pPr>
    </w:p>
    <w:p>
      <w:pPr>
        <w:jc w:val="both"/>
        <w:ind w:firstLine="648"/>
        <w:spacing w:after="0" w:line="297" w:lineRule="auto"/>
        <w:tabs>
          <w:tab w:leader="none" w:pos="1378"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Use of Information</w:t>
      </w:r>
      <w:r>
        <w:rPr>
          <w:rFonts w:ascii="Arial" w:cs="Arial" w:eastAsia="Arial" w:hAnsi="Arial"/>
          <w:sz w:val="19"/>
          <w:szCs w:val="19"/>
          <w:color w:val="auto"/>
        </w:rPr>
        <w:t>. The Agent may not provide any information gained in connection with this Agreement and the transactions contemplated by this Agreement, including due diligence, to any third party other than its legal counsel advising it on this Agreement unless expressly approved by the Company in writing.</w:t>
      </w:r>
    </w:p>
    <w:p>
      <w:pPr>
        <w:spacing w:after="0" w:line="134" w:lineRule="exact"/>
        <w:rPr>
          <w:rFonts w:ascii="Arial" w:cs="Arial" w:eastAsia="Arial" w:hAnsi="Arial"/>
          <w:sz w:val="19"/>
          <w:szCs w:val="19"/>
          <w:color w:val="auto"/>
        </w:rPr>
      </w:pPr>
    </w:p>
    <w:p>
      <w:pPr>
        <w:jc w:val="both"/>
        <w:ind w:firstLine="648"/>
        <w:spacing w:after="0" w:line="258" w:lineRule="auto"/>
        <w:tabs>
          <w:tab w:leader="none" w:pos="1337"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or electronic transmission.</w:t>
      </w:r>
    </w:p>
    <w:p>
      <w:pPr>
        <w:spacing w:after="0" w:line="166" w:lineRule="exact"/>
        <w:rPr>
          <w:rFonts w:ascii="Arial" w:cs="Arial" w:eastAsia="Arial" w:hAnsi="Arial"/>
          <w:sz w:val="21"/>
          <w:szCs w:val="21"/>
          <w:color w:val="auto"/>
        </w:rPr>
      </w:pPr>
    </w:p>
    <w:p>
      <w:pPr>
        <w:ind w:firstLine="648"/>
        <w:spacing w:after="0" w:line="251" w:lineRule="auto"/>
        <w:tabs>
          <w:tab w:leader="none" w:pos="1364"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Effect of Headings</w:t>
      </w:r>
      <w:r>
        <w:rPr>
          <w:rFonts w:ascii="Arial" w:cs="Arial" w:eastAsia="Arial" w:hAnsi="Arial"/>
          <w:sz w:val="22"/>
          <w:szCs w:val="22"/>
          <w:color w:val="auto"/>
        </w:rPr>
        <w:t>. The section and exhibit headings herein are for convenience only and shall not affect the construction hereof.</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39" w:name="page40"/>
    <w:bookmarkEnd w:id="39"/>
    <w:p>
      <w:pPr>
        <w:jc w:val="both"/>
        <w:ind w:firstLine="648"/>
        <w:spacing w:after="0" w:line="244" w:lineRule="auto"/>
        <w:tabs>
          <w:tab w:leader="none" w:pos="1405"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Permitted Free Writing Prospectuses</w:t>
      </w:r>
      <w:r>
        <w:rPr>
          <w:rFonts w:ascii="Arial" w:cs="Arial" w:eastAsia="Arial" w:hAnsi="Arial"/>
          <w:sz w:val="21"/>
          <w:szCs w:val="21"/>
          <w:color w:val="auto"/>
        </w:rPr>
        <w:t xml:space="preserve">. The Company represents, warrants and agrees that, unless it obtains the prior consent of the Agent, which shall not be unreasonably withheld, conditioned or delayed, and the Agent represents, warrants and agrees that, unless it obtains the prior consent of the Company, which shall not be unreasonably withheld, conditioned or delayed,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 or by the Company, as the case may be, is referred to herein as a “Permitted Free Writing Prospectus.”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Arial" w:cs="Arial" w:eastAsia="Arial" w:hAnsi="Arial"/>
          <w:sz w:val="21"/>
          <w:szCs w:val="21"/>
          <w:u w:val="single" w:color="auto"/>
          <w:color w:val="auto"/>
        </w:rPr>
        <w:t>Exhibit 23</w:t>
      </w:r>
      <w:r>
        <w:rPr>
          <w:rFonts w:ascii="Arial" w:cs="Arial" w:eastAsia="Arial" w:hAnsi="Arial"/>
          <w:sz w:val="21"/>
          <w:szCs w:val="21"/>
          <w:color w:val="auto"/>
        </w:rPr>
        <w:t xml:space="preserve"> hereto are Permitted Free Writing Prospectuses.</w:t>
      </w:r>
    </w:p>
    <w:p>
      <w:pPr>
        <w:spacing w:after="0" w:line="184" w:lineRule="exact"/>
        <w:rPr>
          <w:rFonts w:ascii="Arial" w:cs="Arial" w:eastAsia="Arial" w:hAnsi="Arial"/>
          <w:sz w:val="21"/>
          <w:szCs w:val="21"/>
          <w:color w:val="auto"/>
        </w:rPr>
      </w:pPr>
    </w:p>
    <w:p>
      <w:pPr>
        <w:ind w:left="1300" w:hanging="652"/>
        <w:spacing w:after="0"/>
        <w:tabs>
          <w:tab w:leader="none" w:pos="1300"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Absence of Fiduciary Relationship</w:t>
      </w:r>
      <w:r>
        <w:rPr>
          <w:rFonts w:ascii="Arial" w:cs="Arial" w:eastAsia="Arial" w:hAnsi="Arial"/>
          <w:sz w:val="22"/>
          <w:szCs w:val="22"/>
          <w:color w:val="auto"/>
        </w:rPr>
        <w:t>. The Company acknowledges and agrees that:</w:t>
      </w:r>
    </w:p>
    <w:p>
      <w:pPr>
        <w:spacing w:after="0" w:line="206" w:lineRule="exact"/>
        <w:rPr>
          <w:rFonts w:ascii="Arial" w:cs="Arial" w:eastAsia="Arial" w:hAnsi="Arial"/>
          <w:sz w:val="22"/>
          <w:szCs w:val="22"/>
          <w:color w:val="auto"/>
        </w:rPr>
      </w:pPr>
    </w:p>
    <w:p>
      <w:pPr>
        <w:jc w:val="both"/>
        <w:ind w:firstLine="1296"/>
        <w:spacing w:after="0" w:line="246" w:lineRule="auto"/>
        <w:tabs>
          <w:tab w:leader="none" w:pos="2077" w:val="left"/>
        </w:tabs>
        <w:numPr>
          <w:ilvl w:val="1"/>
          <w:numId w:val="57"/>
        </w:numPr>
        <w:rPr>
          <w:rFonts w:ascii="Arial" w:cs="Arial" w:eastAsia="Arial" w:hAnsi="Arial"/>
          <w:sz w:val="21"/>
          <w:szCs w:val="21"/>
          <w:color w:val="auto"/>
        </w:rPr>
      </w:pPr>
      <w:r>
        <w:rPr>
          <w:rFonts w:ascii="Arial" w:cs="Arial" w:eastAsia="Arial" w:hAnsi="Arial"/>
          <w:sz w:val="21"/>
          <w:szCs w:val="21"/>
          <w:color w:val="auto"/>
        </w:rPr>
        <w:t>the Agent is acting solely as agent in connection with the public offering of the Placement Shares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the Agent, on the other hand, has been or will be created in respect of any of the transactions contemplated by this Agreement, irrespective of whether or not the Agent has advised or is advising the Company on other matters, and the Agent has no obligation to the Company with respect to the transactions contemplated by this Agreement except the obligations expressly set forth in this Agreement;</w:t>
      </w:r>
    </w:p>
    <w:p>
      <w:pPr>
        <w:spacing w:after="0" w:line="180" w:lineRule="exact"/>
        <w:rPr>
          <w:rFonts w:ascii="Arial" w:cs="Arial" w:eastAsia="Arial" w:hAnsi="Arial"/>
          <w:sz w:val="21"/>
          <w:szCs w:val="21"/>
          <w:color w:val="auto"/>
        </w:rPr>
      </w:pPr>
    </w:p>
    <w:p>
      <w:pPr>
        <w:ind w:firstLine="1296"/>
        <w:spacing w:after="0" w:line="251" w:lineRule="auto"/>
        <w:tabs>
          <w:tab w:leader="none" w:pos="2068" w:val="left"/>
        </w:tabs>
        <w:numPr>
          <w:ilvl w:val="1"/>
          <w:numId w:val="57"/>
        </w:numPr>
        <w:rPr>
          <w:rFonts w:ascii="Arial" w:cs="Arial" w:eastAsia="Arial" w:hAnsi="Arial"/>
          <w:sz w:val="22"/>
          <w:szCs w:val="22"/>
          <w:color w:val="auto"/>
        </w:rPr>
      </w:pPr>
      <w:r>
        <w:rPr>
          <w:rFonts w:ascii="Arial" w:cs="Arial" w:eastAsia="Arial" w:hAnsi="Arial"/>
          <w:sz w:val="22"/>
          <w:szCs w:val="22"/>
          <w:color w:val="auto"/>
        </w:rPr>
        <w:t>it is capable of evaluating and understanding, and understands and accepts, the terms, risks and conditions of the transactions contemplated by this Agreement;</w:t>
      </w:r>
    </w:p>
    <w:p>
      <w:pPr>
        <w:spacing w:after="0" w:line="173" w:lineRule="exact"/>
        <w:rPr>
          <w:rFonts w:ascii="Arial" w:cs="Arial" w:eastAsia="Arial" w:hAnsi="Arial"/>
          <w:sz w:val="22"/>
          <w:szCs w:val="22"/>
          <w:color w:val="auto"/>
        </w:rPr>
      </w:pPr>
    </w:p>
    <w:p>
      <w:pPr>
        <w:jc w:val="both"/>
        <w:ind w:firstLine="1296"/>
        <w:spacing w:after="0"/>
        <w:tabs>
          <w:tab w:leader="none" w:pos="2144" w:val="left"/>
        </w:tabs>
        <w:numPr>
          <w:ilvl w:val="1"/>
          <w:numId w:val="57"/>
        </w:numPr>
        <w:rPr>
          <w:rFonts w:ascii="Arial" w:cs="Arial" w:eastAsia="Arial" w:hAnsi="Arial"/>
          <w:sz w:val="22"/>
          <w:szCs w:val="22"/>
          <w:color w:val="auto"/>
        </w:rPr>
      </w:pPr>
      <w:r>
        <w:rPr>
          <w:rFonts w:ascii="Arial" w:cs="Arial" w:eastAsia="Arial" w:hAnsi="Arial"/>
          <w:sz w:val="22"/>
          <w:szCs w:val="22"/>
          <w:color w:val="auto"/>
        </w:rPr>
        <w:t>neither the Agent nor its affiliates have provided any legal, accounting, regulatory or tax advice with respect to the transactions contemplated by this Agreement and it has consulted its own legal, accounting, regulatory and tax advisors to the extent it has deemed appropriate;</w:t>
      </w:r>
    </w:p>
    <w:p>
      <w:pPr>
        <w:spacing w:after="0" w:line="186" w:lineRule="exact"/>
        <w:rPr>
          <w:rFonts w:ascii="Arial" w:cs="Arial" w:eastAsia="Arial" w:hAnsi="Arial"/>
          <w:sz w:val="22"/>
          <w:szCs w:val="22"/>
          <w:color w:val="auto"/>
        </w:rPr>
      </w:pPr>
    </w:p>
    <w:p>
      <w:pPr>
        <w:jc w:val="both"/>
        <w:ind w:firstLine="1296"/>
        <w:spacing w:after="0" w:line="238" w:lineRule="auto"/>
        <w:tabs>
          <w:tab w:leader="none" w:pos="1990" w:val="left"/>
        </w:tabs>
        <w:numPr>
          <w:ilvl w:val="1"/>
          <w:numId w:val="57"/>
        </w:numPr>
        <w:rPr>
          <w:rFonts w:ascii="Arial" w:cs="Arial" w:eastAsia="Arial" w:hAnsi="Arial"/>
          <w:sz w:val="22"/>
          <w:szCs w:val="22"/>
          <w:color w:val="auto"/>
        </w:rPr>
      </w:pPr>
      <w:r>
        <w:rPr>
          <w:rFonts w:ascii="Arial" w:cs="Arial" w:eastAsia="Arial" w:hAnsi="Arial"/>
          <w:sz w:val="22"/>
          <w:szCs w:val="22"/>
          <w:color w:val="auto"/>
        </w:rPr>
        <w:t>it is aware that the Agent and its affiliates are engaged in a broad range of transactions which may involve interests that differ from those of the Company and the Agent and its affiliates have no obligation to disclose such interests and transactions to the Company by virtue of any fiduciary, advisory or agency relationship or otherwise; and</w:t>
      </w:r>
    </w:p>
    <w:p>
      <w:pPr>
        <w:spacing w:after="0" w:line="185" w:lineRule="exact"/>
        <w:rPr>
          <w:rFonts w:ascii="Arial" w:cs="Arial" w:eastAsia="Arial" w:hAnsi="Arial"/>
          <w:sz w:val="22"/>
          <w:szCs w:val="22"/>
          <w:color w:val="auto"/>
        </w:rPr>
      </w:pPr>
    </w:p>
    <w:p>
      <w:pPr>
        <w:jc w:val="both"/>
        <w:ind w:firstLine="1296"/>
        <w:spacing w:after="0" w:line="279" w:lineRule="auto"/>
        <w:tabs>
          <w:tab w:leader="none" w:pos="2016" w:val="left"/>
        </w:tabs>
        <w:numPr>
          <w:ilvl w:val="1"/>
          <w:numId w:val="57"/>
        </w:numPr>
        <w:rPr>
          <w:rFonts w:ascii="Arial" w:cs="Arial" w:eastAsia="Arial" w:hAnsi="Arial"/>
          <w:sz w:val="19"/>
          <w:szCs w:val="19"/>
          <w:color w:val="auto"/>
        </w:rPr>
      </w:pPr>
      <w:r>
        <w:rPr>
          <w:rFonts w:ascii="Arial" w:cs="Arial" w:eastAsia="Arial" w:hAnsi="Arial"/>
          <w:sz w:val="19"/>
          <w:szCs w:val="19"/>
          <w:color w:val="auto"/>
        </w:rPr>
        <w:t>it waives, to the fullest extent permitted by law, any claims it may have against the Agent or its affiliates for breach of fiduciary duty or alleged breach of fiduciary duty in connection with the sale of Placement Shares under this Agreement and agrees that the Agent and its affiliates shall not have any liability (whether direct or indirect, in contract, tort or otherwise) to it in respect of such a fiduciary duty claim or to any person asserting a fiduciary duty claim on its behalf or in right of it or the Company, employees or creditors of Company, other than in respect of the Agent’s obligations under this Agreement and to keep information provided by</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40" w:name="page41"/>
    <w:bookmarkEnd w:id="40"/>
    <w:p>
      <w:pPr>
        <w:spacing w:after="0"/>
        <w:rPr>
          <w:sz w:val="20"/>
          <w:szCs w:val="20"/>
          <w:color w:val="auto"/>
        </w:rPr>
      </w:pPr>
      <w:r>
        <w:rPr>
          <w:rFonts w:ascii="Arial" w:cs="Arial" w:eastAsia="Arial" w:hAnsi="Arial"/>
          <w:sz w:val="19"/>
          <w:szCs w:val="19"/>
          <w:color w:val="auto"/>
        </w:rPr>
        <w:t>the Company to the Agent and the Agent's counsel confidential to the extent not otherwise publicly-available.</w:t>
      </w:r>
    </w:p>
    <w:p>
      <w:pPr>
        <w:spacing w:after="0" w:line="241" w:lineRule="exact"/>
        <w:rPr>
          <w:sz w:val="20"/>
          <w:szCs w:val="20"/>
          <w:color w:val="auto"/>
        </w:rPr>
      </w:pPr>
    </w:p>
    <w:p>
      <w:pPr>
        <w:ind w:left="1360" w:hanging="712"/>
        <w:spacing w:after="0"/>
        <w:tabs>
          <w:tab w:leader="none" w:pos="1360"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As used in this Agreement, the following terms have the respective meanings set forth</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18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Applicable Time</w:t>
      </w:r>
      <w:r>
        <w:rPr>
          <w:rFonts w:ascii="Arial" w:cs="Arial" w:eastAsia="Arial" w:hAnsi="Arial"/>
          <w:sz w:val="22"/>
          <w:szCs w:val="22"/>
          <w:color w:val="auto"/>
        </w:rPr>
        <w:t>” means (i) each Representation Date and (ii) the time of each sale of any Placement Shares pursuant to this Agreement.</w:t>
      </w:r>
    </w:p>
    <w:p>
      <w:pPr>
        <w:spacing w:after="0" w:line="16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Collaborators</w:t>
      </w:r>
      <w:r>
        <w:rPr>
          <w:rFonts w:ascii="Arial" w:cs="Arial" w:eastAsia="Arial" w:hAnsi="Arial"/>
          <w:sz w:val="22"/>
          <w:szCs w:val="22"/>
          <w:color w:val="auto"/>
        </w:rPr>
        <w:t>” shall mean each of AstraZeneca AB and Sanofi, limited to their respective activities or operations on behalf of the Company or related to the business of the Company.</w:t>
      </w:r>
    </w:p>
    <w:p>
      <w:pPr>
        <w:spacing w:after="0" w:line="16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Governmental Authority</w:t>
      </w:r>
      <w:r>
        <w:rPr>
          <w:rFonts w:ascii="Arial" w:cs="Arial" w:eastAsia="Arial" w:hAnsi="Arial"/>
          <w:sz w:val="19"/>
          <w:szCs w:val="19"/>
          <w:color w:val="auto"/>
        </w:rPr>
        <w:t>” means (i) any federal, provincial, state, local, municipal, national or international government or governmental authority, regulatory or administrative agency, governmental commission, department, board, bureau, agency or instrumentality, court, tribunal, arbitrator or arbitral body (public or private); (ii) any self-regulatory organization; or (iii) any political subdivision of any of the foregoing.</w:t>
      </w:r>
    </w:p>
    <w:p>
      <w:pPr>
        <w:spacing w:after="0" w:line="13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Issuer Free Writing Prospectus</w:t>
      </w:r>
      <w:r>
        <w:rPr>
          <w:rFonts w:ascii="Arial" w:cs="Arial" w:eastAsia="Arial" w:hAnsi="Arial"/>
          <w:sz w:val="21"/>
          <w:szCs w:val="21"/>
          <w:color w:val="auto"/>
        </w:rPr>
        <w:t>” means any “issuer free writing prospectus,” as defined in Rule 433, relating to the Placement Shares that (1) is required to be filed with the Commission by the Company, (2) is a “road show” that is a “written communication” within the meaning of Rule 433(d)(8)(i) whether or not required to be filed with the Commission, or (3) is exempt from filing pursuant to Rule 433(d)(5)(i) because it contains a description of the Placement Shares or of the offering that does not reflect the final terms, in each case in the form filed or required to be filed with the Commission or, if not required to be filed, in the form retained in the Company’s records pursuant to Rule 433(g) under the Securities Act Regulations.</w:t>
      </w:r>
    </w:p>
    <w:p>
      <w:pPr>
        <w:spacing w:after="0" w:line="171" w:lineRule="exact"/>
        <w:rPr>
          <w:sz w:val="20"/>
          <w:szCs w:val="20"/>
          <w:color w:val="auto"/>
        </w:rPr>
      </w:pPr>
    </w:p>
    <w:p>
      <w:pPr>
        <w:jc w:val="both"/>
        <w:ind w:firstLine="756"/>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Rule 164</w:t>
      </w:r>
      <w:r>
        <w:rPr>
          <w:rFonts w:ascii="Arial" w:cs="Arial" w:eastAsia="Arial" w:hAnsi="Arial"/>
          <w:sz w:val="22"/>
          <w:szCs w:val="22"/>
          <w:color w:val="auto"/>
        </w:rPr>
        <w:t>,” “</w:t>
      </w:r>
      <w:r>
        <w:rPr>
          <w:rFonts w:ascii="Arial" w:cs="Arial" w:eastAsia="Arial" w:hAnsi="Arial"/>
          <w:sz w:val="22"/>
          <w:szCs w:val="22"/>
          <w:b w:val="1"/>
          <w:bCs w:val="1"/>
          <w:u w:val="single" w:color="auto"/>
          <w:color w:val="auto"/>
        </w:rPr>
        <w:t>Rule 172</w:t>
      </w:r>
      <w:r>
        <w:rPr>
          <w:rFonts w:ascii="Arial" w:cs="Arial" w:eastAsia="Arial" w:hAnsi="Arial"/>
          <w:sz w:val="22"/>
          <w:szCs w:val="22"/>
          <w:color w:val="auto"/>
        </w:rPr>
        <w:t>,” “</w:t>
      </w:r>
      <w:r>
        <w:rPr>
          <w:rFonts w:ascii="Arial" w:cs="Arial" w:eastAsia="Arial" w:hAnsi="Arial"/>
          <w:sz w:val="22"/>
          <w:szCs w:val="22"/>
          <w:b w:val="1"/>
          <w:bCs w:val="1"/>
          <w:u w:val="single" w:color="auto"/>
          <w:color w:val="auto"/>
        </w:rPr>
        <w:t>Rule 405</w:t>
      </w:r>
      <w:r>
        <w:rPr>
          <w:rFonts w:ascii="Arial" w:cs="Arial" w:eastAsia="Arial" w:hAnsi="Arial"/>
          <w:sz w:val="22"/>
          <w:szCs w:val="22"/>
          <w:color w:val="auto"/>
        </w:rPr>
        <w:t>,” “</w:t>
      </w:r>
      <w:r>
        <w:rPr>
          <w:rFonts w:ascii="Arial" w:cs="Arial" w:eastAsia="Arial" w:hAnsi="Arial"/>
          <w:sz w:val="22"/>
          <w:szCs w:val="22"/>
          <w:b w:val="1"/>
          <w:bCs w:val="1"/>
          <w:u w:val="single" w:color="auto"/>
          <w:color w:val="auto"/>
        </w:rPr>
        <w:t>Rule 415</w:t>
      </w:r>
      <w:r>
        <w:rPr>
          <w:rFonts w:ascii="Arial" w:cs="Arial" w:eastAsia="Arial" w:hAnsi="Arial"/>
          <w:sz w:val="22"/>
          <w:szCs w:val="22"/>
          <w:color w:val="auto"/>
        </w:rPr>
        <w:t>,” “</w:t>
      </w:r>
      <w:r>
        <w:rPr>
          <w:rFonts w:ascii="Arial" w:cs="Arial" w:eastAsia="Arial" w:hAnsi="Arial"/>
          <w:sz w:val="22"/>
          <w:szCs w:val="22"/>
          <w:b w:val="1"/>
          <w:bCs w:val="1"/>
          <w:u w:val="single" w:color="auto"/>
          <w:color w:val="auto"/>
        </w:rPr>
        <w:t>Rule 424</w:t>
      </w:r>
      <w:r>
        <w:rPr>
          <w:rFonts w:ascii="Arial" w:cs="Arial" w:eastAsia="Arial" w:hAnsi="Arial"/>
          <w:sz w:val="22"/>
          <w:szCs w:val="22"/>
          <w:color w:val="auto"/>
        </w:rPr>
        <w:t>,” “</w:t>
      </w:r>
      <w:r>
        <w:rPr>
          <w:rFonts w:ascii="Arial" w:cs="Arial" w:eastAsia="Arial" w:hAnsi="Arial"/>
          <w:sz w:val="22"/>
          <w:szCs w:val="22"/>
          <w:b w:val="1"/>
          <w:bCs w:val="1"/>
          <w:u w:val="single" w:color="auto"/>
          <w:color w:val="auto"/>
        </w:rPr>
        <w:t>Rule 424(b)</w:t>
      </w:r>
      <w:r>
        <w:rPr>
          <w:rFonts w:ascii="Arial" w:cs="Arial" w:eastAsia="Arial" w:hAnsi="Arial"/>
          <w:sz w:val="22"/>
          <w:szCs w:val="22"/>
          <w:color w:val="auto"/>
        </w:rPr>
        <w:t>,” “</w:t>
      </w:r>
      <w:r>
        <w:rPr>
          <w:rFonts w:ascii="Arial" w:cs="Arial" w:eastAsia="Arial" w:hAnsi="Arial"/>
          <w:sz w:val="22"/>
          <w:szCs w:val="22"/>
          <w:b w:val="1"/>
          <w:bCs w:val="1"/>
          <w:u w:val="single" w:color="auto"/>
          <w:color w:val="auto"/>
        </w:rPr>
        <w:t>Rule 430B</w:t>
      </w:r>
      <w:r>
        <w:rPr>
          <w:rFonts w:ascii="Arial" w:cs="Arial" w:eastAsia="Arial" w:hAnsi="Arial"/>
          <w:sz w:val="22"/>
          <w:szCs w:val="22"/>
          <w:color w:val="auto"/>
        </w:rPr>
        <w:t>,” and “</w:t>
      </w:r>
      <w:r>
        <w:rPr>
          <w:rFonts w:ascii="Arial" w:cs="Arial" w:eastAsia="Arial" w:hAnsi="Arial"/>
          <w:sz w:val="22"/>
          <w:szCs w:val="22"/>
          <w:b w:val="1"/>
          <w:bCs w:val="1"/>
          <w:u w:val="single" w:color="auto"/>
          <w:color w:val="auto"/>
        </w:rPr>
        <w:t>Rule 433</w:t>
      </w:r>
      <w:r>
        <w:rPr>
          <w:rFonts w:ascii="Arial" w:cs="Arial" w:eastAsia="Arial" w:hAnsi="Arial"/>
          <w:sz w:val="22"/>
          <w:szCs w:val="22"/>
          <w:color w:val="auto"/>
        </w:rPr>
        <w:t>” refer to such rules under the Securities Act Regulations.</w:t>
      </w:r>
    </w:p>
    <w:p>
      <w:pPr>
        <w:spacing w:after="0" w:line="16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4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Shares by the Agent outside of the United States.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41" w:name="page42"/>
    <w:bookmarkEnd w:id="41"/>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Follows</w:t>
      </w:r>
      <w:r>
        <w:rPr>
          <w:rFonts w:ascii="Arial" w:cs="Arial" w:eastAsia="Arial" w:hAnsi="Arial"/>
          <w:sz w:val="19"/>
          <w:szCs w:val="19"/>
          <w:color w:val="auto"/>
        </w:rPr>
        <w:t>]</w:t>
      </w:r>
    </w:p>
    <w:p>
      <w:pPr>
        <w:sectPr>
          <w:pgSz w:w="11900" w:h="16838" w:orient="portrait"/>
          <w:cols w:equalWidth="0" w:num="1">
            <w:col w:w="9019"/>
          </w:cols>
          <w:pgMar w:left="1440" w:top="33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97790</wp:posOffset>
            </wp:positionV>
            <wp:extent cx="638873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019"/>
          </w:cols>
          <w:pgMar w:left="1440" w:top="334" w:right="1440" w:bottom="1440" w:gutter="0" w:footer="0" w:header="0"/>
          <w:type w:val="continuous"/>
        </w:sectPr>
      </w:pPr>
    </w:p>
    <w:bookmarkStart w:id="42" w:name="page43"/>
    <w:bookmarkEnd w:id="42"/>
    <w:p>
      <w:pPr>
        <w:jc w:val="both"/>
        <w:ind w:firstLine="648"/>
        <w:spacing w:after="0"/>
        <w:rPr>
          <w:sz w:val="20"/>
          <w:szCs w:val="20"/>
          <w:color w:val="auto"/>
        </w:rPr>
      </w:pPr>
      <w:r>
        <w:rPr>
          <w:rFonts w:ascii="Arial" w:cs="Arial" w:eastAsia="Arial" w:hAnsi="Arial"/>
          <w:sz w:val="22"/>
          <w:szCs w:val="22"/>
          <w:color w:val="auto"/>
        </w:rPr>
        <w:t>If the foregoing correctly sets forth the understanding between the Company and the Agent, please so indicate in the space provided below for that purpose, whereupon this letter shall constitute a binding agreement between the Company and the Agent.</w:t>
      </w:r>
    </w:p>
    <w:p>
      <w:pPr>
        <w:spacing w:after="0" w:line="186"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ARDELYX, INC.</w:t>
      </w:r>
    </w:p>
    <w:p>
      <w:pPr>
        <w:spacing w:after="0" w:line="200" w:lineRule="exact"/>
        <w:rPr>
          <w:sz w:val="20"/>
          <w:szCs w:val="20"/>
          <w:color w:val="auto"/>
        </w:rPr>
      </w:pPr>
    </w:p>
    <w:p>
      <w:pPr>
        <w:spacing w:after="0" w:line="276" w:lineRule="exact"/>
        <w:rPr>
          <w:sz w:val="20"/>
          <w:szCs w:val="20"/>
          <w:color w:val="auto"/>
        </w:rPr>
      </w:pPr>
    </w:p>
    <w:p>
      <w:pPr>
        <w:ind w:left="5040"/>
        <w:spacing w:after="0"/>
        <w:tabs>
          <w:tab w:leader="none" w:pos="5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3517900</wp:posOffset>
            </wp:positionH>
            <wp:positionV relativeFrom="paragraph">
              <wp:posOffset>7620</wp:posOffset>
            </wp:positionV>
            <wp:extent cx="28727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5540"/>
        <w:spacing w:after="0"/>
        <w:rPr>
          <w:sz w:val="20"/>
          <w:szCs w:val="20"/>
          <w:color w:val="auto"/>
        </w:rPr>
      </w:pPr>
      <w:r>
        <w:rPr>
          <w:rFonts w:ascii="Arial" w:cs="Arial" w:eastAsia="Arial" w:hAnsi="Arial"/>
          <w:sz w:val="22"/>
          <w:szCs w:val="22"/>
          <w:color w:val="auto"/>
        </w:rPr>
        <w:t>Name: Michael Raab</w:t>
      </w:r>
    </w:p>
    <w:p>
      <w:pPr>
        <w:ind w:left="5540"/>
        <w:spacing w:after="0"/>
        <w:tabs>
          <w:tab w:leader="none" w:pos="62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President</w:t>
      </w:r>
    </w:p>
    <w:p>
      <w:pPr>
        <w:spacing w:after="0" w:line="215"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ACCEPTED as of the date first-above written:</w:t>
      </w:r>
    </w:p>
    <w:p>
      <w:pPr>
        <w:spacing w:after="0" w:line="233"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LEERINK PARTNERS LLC</w:t>
      </w:r>
    </w:p>
    <w:p>
      <w:pPr>
        <w:spacing w:after="0" w:line="200" w:lineRule="exact"/>
        <w:rPr>
          <w:sz w:val="20"/>
          <w:szCs w:val="20"/>
          <w:color w:val="auto"/>
        </w:rPr>
      </w:pPr>
    </w:p>
    <w:p>
      <w:pPr>
        <w:spacing w:after="0" w:line="276" w:lineRule="exact"/>
        <w:rPr>
          <w:sz w:val="20"/>
          <w:szCs w:val="20"/>
          <w:color w:val="auto"/>
        </w:rPr>
      </w:pPr>
    </w:p>
    <w:p>
      <w:pPr>
        <w:ind w:left="5040"/>
        <w:spacing w:after="0"/>
        <w:tabs>
          <w:tab w:leader="none" w:pos="5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Jon Civitarese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3517900</wp:posOffset>
            </wp:positionH>
            <wp:positionV relativeFrom="paragraph">
              <wp:posOffset>7620</wp:posOffset>
            </wp:positionV>
            <wp:extent cx="28727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5540"/>
        <w:spacing w:after="0"/>
        <w:rPr>
          <w:sz w:val="20"/>
          <w:szCs w:val="20"/>
          <w:color w:val="auto"/>
        </w:rPr>
      </w:pPr>
      <w:r>
        <w:rPr>
          <w:rFonts w:ascii="Arial" w:cs="Arial" w:eastAsia="Arial" w:hAnsi="Arial"/>
          <w:sz w:val="22"/>
          <w:szCs w:val="22"/>
          <w:color w:val="auto"/>
        </w:rPr>
        <w:t>Name: Jon Civitarese</w:t>
      </w:r>
    </w:p>
    <w:p>
      <w:pPr>
        <w:ind w:left="5540"/>
        <w:spacing w:after="0"/>
        <w:tabs>
          <w:tab w:leader="none" w:pos="62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ARDELYX, INC. – SALES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334" w:right="919" w:bottom="1440" w:gutter="0" w:footer="0" w:header="0"/>
        </w:sectPr>
      </w:pPr>
    </w:p>
    <w:bookmarkStart w:id="43" w:name="page44"/>
    <w:bookmarkEnd w:id="43"/>
    <w:tbl>
      <w:tblPr>
        <w:tblLayout w:type="fixed"/>
        <w:tblInd w:w="640" w:type="dxa"/>
        <w:tblCellMar>
          <w:top w:w="0" w:type="dxa"/>
          <w:left w:w="0" w:type="dxa"/>
          <w:bottom w:w="0" w:type="dxa"/>
          <w:right w:w="0" w:type="dxa"/>
        </w:tblCellMar>
      </w:tblPr>
      <w:tr>
        <w:trPr>
          <w:trHeight w:val="281"/>
        </w:trPr>
        <w:tc>
          <w:tcPr>
            <w:tcW w:w="10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Arial" w:cs="Arial" w:eastAsia="Arial" w:hAnsi="Arial"/>
                <w:sz w:val="22"/>
                <w:szCs w:val="22"/>
                <w:b w:val="1"/>
                <w:bCs w:val="1"/>
                <w:color w:val="auto"/>
                <w:w w:val="96"/>
              </w:rPr>
              <w:t>SCHEDULE 1</w:t>
            </w:r>
          </w:p>
        </w:tc>
      </w:tr>
      <w:tr>
        <w:trPr>
          <w:trHeight w:val="206"/>
        </w:trPr>
        <w:tc>
          <w:tcPr>
            <w:tcW w:w="10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520" w:type="dxa"/>
            <w:vAlign w:val="bottom"/>
            <w:tcBorders>
              <w:bottom w:val="single" w:sz="8" w:color="auto"/>
            </w:tcBorders>
          </w:tcPr>
          <w:p>
            <w:pPr>
              <w:spacing w:after="0"/>
              <w:rPr>
                <w:sz w:val="17"/>
                <w:szCs w:val="17"/>
                <w:color w:val="auto"/>
              </w:rPr>
            </w:pPr>
          </w:p>
        </w:tc>
      </w:tr>
      <w:tr>
        <w:trPr>
          <w:trHeight w:val="463"/>
        </w:trPr>
        <w:tc>
          <w:tcPr>
            <w:tcW w:w="10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Arial" w:cs="Arial" w:eastAsia="Arial" w:hAnsi="Arial"/>
                <w:sz w:val="22"/>
                <w:szCs w:val="22"/>
                <w:b w:val="1"/>
                <w:bCs w:val="1"/>
                <w:color w:val="auto"/>
                <w:w w:val="88"/>
              </w:rPr>
              <w:t>Form of Placement Notice</w:t>
            </w:r>
          </w:p>
        </w:tc>
      </w:tr>
      <w:tr>
        <w:trPr>
          <w:trHeight w:val="213"/>
        </w:trPr>
        <w:tc>
          <w:tcPr>
            <w:tcW w:w="10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r>
      <w:tr>
        <w:trPr>
          <w:trHeight w:val="469"/>
        </w:trPr>
        <w:tc>
          <w:tcPr>
            <w:tcW w:w="1000" w:type="dxa"/>
            <w:vAlign w:val="bottom"/>
          </w:tcPr>
          <w:p>
            <w:pPr>
              <w:spacing w:after="0"/>
              <w:rPr>
                <w:sz w:val="20"/>
                <w:szCs w:val="20"/>
                <w:color w:val="auto"/>
              </w:rPr>
            </w:pPr>
            <w:r>
              <w:rPr>
                <w:rFonts w:ascii="Arial" w:cs="Arial" w:eastAsia="Arial" w:hAnsi="Arial"/>
                <w:sz w:val="22"/>
                <w:szCs w:val="22"/>
                <w:color w:val="auto"/>
              </w:rPr>
              <w:t>From:</w:t>
            </w:r>
          </w:p>
        </w:tc>
        <w:tc>
          <w:tcPr>
            <w:tcW w:w="4660" w:type="dxa"/>
            <w:vAlign w:val="bottom"/>
            <w:gridSpan w:val="2"/>
          </w:tcPr>
          <w:p>
            <w:pPr>
              <w:ind w:left="280"/>
              <w:spacing w:after="0"/>
              <w:rPr>
                <w:sz w:val="20"/>
                <w:szCs w:val="20"/>
                <w:color w:val="auto"/>
              </w:rPr>
            </w:pPr>
            <w:r>
              <w:rPr>
                <w:rFonts w:ascii="Arial" w:cs="Arial" w:eastAsia="Arial" w:hAnsi="Arial"/>
                <w:sz w:val="22"/>
                <w:szCs w:val="22"/>
                <w:color w:val="auto"/>
              </w:rPr>
              <w:t>Ardelyx, Inc.</w:t>
            </w:r>
          </w:p>
        </w:tc>
      </w:tr>
      <w:tr>
        <w:trPr>
          <w:trHeight w:val="428"/>
        </w:trPr>
        <w:tc>
          <w:tcPr>
            <w:tcW w:w="1000" w:type="dxa"/>
            <w:vAlign w:val="bottom"/>
          </w:tcPr>
          <w:p>
            <w:pPr>
              <w:spacing w:after="0"/>
              <w:rPr>
                <w:sz w:val="20"/>
                <w:szCs w:val="20"/>
                <w:color w:val="auto"/>
              </w:rPr>
            </w:pPr>
            <w:r>
              <w:rPr>
                <w:rFonts w:ascii="Arial" w:cs="Arial" w:eastAsia="Arial" w:hAnsi="Arial"/>
                <w:sz w:val="22"/>
                <w:szCs w:val="22"/>
                <w:color w:val="auto"/>
              </w:rPr>
              <w:t>To:</w:t>
            </w:r>
          </w:p>
        </w:tc>
        <w:tc>
          <w:tcPr>
            <w:tcW w:w="4660" w:type="dxa"/>
            <w:vAlign w:val="bottom"/>
            <w:gridSpan w:val="2"/>
          </w:tcPr>
          <w:p>
            <w:pPr>
              <w:ind w:left="320"/>
              <w:spacing w:after="0"/>
              <w:rPr>
                <w:sz w:val="20"/>
                <w:szCs w:val="20"/>
                <w:color w:val="auto"/>
              </w:rPr>
            </w:pPr>
            <w:r>
              <w:rPr>
                <w:rFonts w:ascii="Arial" w:cs="Arial" w:eastAsia="Arial" w:hAnsi="Arial"/>
                <w:sz w:val="22"/>
                <w:szCs w:val="22"/>
                <w:color w:val="auto"/>
              </w:rPr>
              <w:t>Leerink Partners LLC</w:t>
            </w:r>
          </w:p>
        </w:tc>
      </w:tr>
      <w:tr>
        <w:trPr>
          <w:trHeight w:val="275"/>
        </w:trPr>
        <w:tc>
          <w:tcPr>
            <w:tcW w:w="1000" w:type="dxa"/>
            <w:vAlign w:val="bottom"/>
          </w:tcPr>
          <w:p>
            <w:pPr>
              <w:spacing w:after="0"/>
              <w:rPr>
                <w:sz w:val="23"/>
                <w:szCs w:val="23"/>
                <w:color w:val="auto"/>
              </w:rPr>
            </w:pPr>
          </w:p>
        </w:tc>
        <w:tc>
          <w:tcPr>
            <w:tcW w:w="4660" w:type="dxa"/>
            <w:vAlign w:val="bottom"/>
            <w:gridSpan w:val="2"/>
          </w:tcPr>
          <w:p>
            <w:pPr>
              <w:ind w:left="300"/>
              <w:spacing w:after="0"/>
              <w:rPr>
                <w:sz w:val="20"/>
                <w:szCs w:val="20"/>
                <w:color w:val="auto"/>
              </w:rPr>
            </w:pPr>
            <w:r>
              <w:rPr>
                <w:rFonts w:ascii="Arial" w:cs="Arial" w:eastAsia="Arial" w:hAnsi="Arial"/>
                <w:sz w:val="22"/>
                <w:szCs w:val="22"/>
                <w:color w:val="auto"/>
              </w:rPr>
              <w:t>Attention: [—]</w:t>
            </w:r>
          </w:p>
        </w:tc>
      </w:tr>
      <w:tr>
        <w:trPr>
          <w:trHeight w:val="459"/>
        </w:trPr>
        <w:tc>
          <w:tcPr>
            <w:tcW w:w="1000" w:type="dxa"/>
            <w:vAlign w:val="bottom"/>
          </w:tcPr>
          <w:p>
            <w:pPr>
              <w:spacing w:after="0"/>
              <w:rPr>
                <w:sz w:val="20"/>
                <w:szCs w:val="20"/>
                <w:color w:val="auto"/>
              </w:rPr>
            </w:pPr>
            <w:r>
              <w:rPr>
                <w:rFonts w:ascii="Arial" w:cs="Arial" w:eastAsia="Arial" w:hAnsi="Arial"/>
                <w:sz w:val="22"/>
                <w:szCs w:val="22"/>
                <w:color w:val="auto"/>
              </w:rPr>
              <w:t>Subject:</w:t>
            </w:r>
          </w:p>
        </w:tc>
        <w:tc>
          <w:tcPr>
            <w:tcW w:w="4660" w:type="dxa"/>
            <w:vAlign w:val="bottom"/>
            <w:gridSpan w:val="2"/>
          </w:tcPr>
          <w:p>
            <w:pPr>
              <w:ind w:left="320"/>
              <w:spacing w:after="0"/>
              <w:rPr>
                <w:sz w:val="20"/>
                <w:szCs w:val="20"/>
                <w:color w:val="auto"/>
              </w:rPr>
            </w:pPr>
            <w:r>
              <w:rPr>
                <w:rFonts w:ascii="Arial" w:cs="Arial" w:eastAsia="Arial" w:hAnsi="Arial"/>
                <w:sz w:val="22"/>
                <w:szCs w:val="22"/>
                <w:color w:val="auto"/>
              </w:rPr>
              <w:t>Placement Notice</w:t>
            </w:r>
          </w:p>
        </w:tc>
      </w:tr>
      <w:tr>
        <w:trPr>
          <w:trHeight w:val="459"/>
        </w:trPr>
        <w:tc>
          <w:tcPr>
            <w:tcW w:w="1000" w:type="dxa"/>
            <w:vAlign w:val="bottom"/>
          </w:tcPr>
          <w:p>
            <w:pPr>
              <w:spacing w:after="0"/>
              <w:rPr>
                <w:sz w:val="20"/>
                <w:szCs w:val="20"/>
                <w:color w:val="auto"/>
              </w:rPr>
            </w:pPr>
            <w:r>
              <w:rPr>
                <w:rFonts w:ascii="Arial" w:cs="Arial" w:eastAsia="Arial" w:hAnsi="Arial"/>
                <w:sz w:val="22"/>
                <w:szCs w:val="22"/>
                <w:color w:val="auto"/>
              </w:rPr>
              <w:t>Date:</w:t>
            </w:r>
          </w:p>
        </w:tc>
        <w:tc>
          <w:tcPr>
            <w:tcW w:w="4660" w:type="dxa"/>
            <w:vAlign w:val="bottom"/>
            <w:gridSpan w:val="2"/>
          </w:tcPr>
          <w:p>
            <w:pPr>
              <w:ind w:left="340"/>
              <w:spacing w:after="0"/>
              <w:rPr>
                <w:sz w:val="20"/>
                <w:szCs w:val="20"/>
                <w:color w:val="auto"/>
              </w:rPr>
            </w:pPr>
            <w:r>
              <w:rPr>
                <w:rFonts w:ascii="Arial" w:cs="Arial" w:eastAsia="Arial" w:hAnsi="Arial"/>
                <w:sz w:val="22"/>
                <w:szCs w:val="22"/>
                <w:color w:val="auto"/>
              </w:rPr>
              <w:t>[—], 2018</w:t>
            </w:r>
          </w:p>
        </w:tc>
      </w:tr>
    </w:tbl>
    <w:p>
      <w:pPr>
        <w:spacing w:after="0" w:line="18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Pursuant to the terms and subject to the conditions contained in the Sales Agreement between Ardelyx, Inc., a Delaware corporation (the “</w:t>
      </w:r>
      <w:r>
        <w:rPr>
          <w:rFonts w:ascii="Arial" w:cs="Arial" w:eastAsia="Arial" w:hAnsi="Arial"/>
          <w:sz w:val="22"/>
          <w:szCs w:val="22"/>
          <w:b w:val="1"/>
          <w:bCs w:val="1"/>
          <w:u w:val="single" w:color="auto"/>
          <w:color w:val="auto"/>
        </w:rPr>
        <w:t>Company</w:t>
      </w:r>
      <w:r>
        <w:rPr>
          <w:rFonts w:ascii="Arial" w:cs="Arial" w:eastAsia="Arial" w:hAnsi="Arial"/>
          <w:sz w:val="22"/>
          <w:szCs w:val="22"/>
          <w:color w:val="auto"/>
        </w:rPr>
        <w:t>”), and Leerink Partners LLC (the “</w:t>
      </w:r>
      <w:r>
        <w:rPr>
          <w:rFonts w:ascii="Arial" w:cs="Arial" w:eastAsia="Arial" w:hAnsi="Arial"/>
          <w:sz w:val="22"/>
          <w:szCs w:val="22"/>
          <w:b w:val="1"/>
          <w:bCs w:val="1"/>
          <w:u w:val="single" w:color="auto"/>
          <w:color w:val="auto"/>
        </w:rPr>
        <w:t>Agent</w:t>
      </w:r>
      <w:r>
        <w:rPr>
          <w:rFonts w:ascii="Arial" w:cs="Arial" w:eastAsia="Arial" w:hAnsi="Arial"/>
          <w:sz w:val="22"/>
          <w:szCs w:val="22"/>
          <w:color w:val="auto"/>
        </w:rPr>
        <w:t>”), dated August 9, 2018, the Company hereby requests that the Agent sell up to [•] of the Company’s Common Stock, par value $0.0001 per share, at a minimum market price of $[•] per share, during the time period beginning [month, day, time] and ending [month, day,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904875</wp:posOffset>
            </wp:positionV>
            <wp:extent cx="638873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44" w:name="page45"/>
    <w:bookmarkEnd w:id="44"/>
    <w:p>
      <w:pPr>
        <w:jc w:val="center"/>
        <w:spacing w:after="0"/>
        <w:rPr>
          <w:sz w:val="20"/>
          <w:szCs w:val="20"/>
          <w:color w:val="auto"/>
        </w:rPr>
      </w:pPr>
      <w:r>
        <w:rPr>
          <w:rFonts w:ascii="Arial" w:cs="Arial" w:eastAsia="Arial" w:hAnsi="Arial"/>
          <w:sz w:val="22"/>
          <w:szCs w:val="22"/>
          <w:b w:val="1"/>
          <w:bCs w:val="1"/>
          <w:color w:val="auto"/>
        </w:rPr>
        <w:t>SCHEDULE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148590</wp:posOffset>
            </wp:positionV>
            <wp:extent cx="16033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148590</wp:posOffset>
            </wp:positionV>
            <wp:extent cx="160337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The Company shall pay to the Agent in cash, upon each sale of Placement Shares pursuant to this Agreement, an amount equal to 3.0% of the aggregate gross proceeds from each sale of Placement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286385</wp:posOffset>
            </wp:positionV>
            <wp:extent cx="638873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328" w:right="919" w:bottom="1440" w:gutter="0" w:footer="0" w:header="0"/>
        </w:sectPr>
      </w:pPr>
    </w:p>
    <w:bookmarkStart w:id="45" w:name="page46"/>
    <w:bookmarkEnd w:id="45"/>
    <w:p>
      <w:pPr>
        <w:jc w:val="right"/>
        <w:ind w:right="3839"/>
        <w:spacing w:after="0"/>
        <w:rPr>
          <w:sz w:val="20"/>
          <w:szCs w:val="20"/>
          <w:color w:val="auto"/>
        </w:rPr>
      </w:pPr>
      <w:r>
        <w:rPr>
          <w:rFonts w:ascii="Arial" w:cs="Arial" w:eastAsia="Arial" w:hAnsi="Arial"/>
          <w:sz w:val="22"/>
          <w:szCs w:val="22"/>
          <w:b w:val="1"/>
          <w:bCs w:val="1"/>
          <w:color w:val="auto"/>
        </w:rPr>
        <w:t>SCHEDULE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148590</wp:posOffset>
            </wp:positionV>
            <wp:extent cx="16033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380"/>
        <w:spacing w:after="0"/>
        <w:rPr>
          <w:sz w:val="20"/>
          <w:szCs w:val="20"/>
          <w:color w:val="auto"/>
        </w:rPr>
      </w:pPr>
      <w:r>
        <w:rPr>
          <w:rFonts w:ascii="Arial" w:cs="Arial" w:eastAsia="Arial" w:hAnsi="Arial"/>
          <w:sz w:val="19"/>
          <w:szCs w:val="19"/>
          <w:b w:val="1"/>
          <w:bCs w:val="1"/>
          <w:color w:val="auto"/>
        </w:rPr>
        <w:t>Notice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170180</wp:posOffset>
            </wp:positionV>
            <wp:extent cx="160337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The Company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Michael Raab </w:t>
      </w:r>
      <w:r>
        <w:rPr>
          <w:rFonts w:ascii="Arial" w:cs="Arial" w:eastAsia="Arial" w:hAnsi="Arial"/>
          <w:sz w:val="22"/>
          <w:szCs w:val="22"/>
          <w:u w:val="single" w:color="auto"/>
          <w:color w:val="auto"/>
        </w:rPr>
        <w:t>(mraab@ardelyx.com)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Mark Kaufmann </w:t>
      </w:r>
      <w:r>
        <w:rPr>
          <w:rFonts w:ascii="Arial" w:cs="Arial" w:eastAsia="Arial" w:hAnsi="Arial"/>
          <w:sz w:val="22"/>
          <w:szCs w:val="22"/>
          <w:u w:val="single" w:color="auto"/>
          <w:color w:val="auto"/>
        </w:rPr>
        <w:t>(mkaufmann@ardelyx.com)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Elizabeth Grammer </w:t>
      </w:r>
      <w:r>
        <w:rPr>
          <w:rFonts w:ascii="Arial" w:cs="Arial" w:eastAsia="Arial" w:hAnsi="Arial"/>
          <w:sz w:val="22"/>
          <w:szCs w:val="22"/>
          <w:u w:val="single" w:color="auto"/>
          <w:color w:val="auto"/>
        </w:rPr>
        <w:t>(egrammer@ardelyx.com)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The Agent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Dan Dubin, M.D. </w:t>
      </w:r>
      <w:r>
        <w:rPr>
          <w:rFonts w:ascii="Arial" w:cs="Arial" w:eastAsia="Arial" w:hAnsi="Arial"/>
          <w:sz w:val="22"/>
          <w:szCs w:val="22"/>
          <w:u w:val="single" w:color="auto"/>
          <w:color w:val="auto"/>
        </w:rPr>
        <w:t>(dan.dubin@leerink.com)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Rahul Chaudhary </w:t>
      </w:r>
      <w:r>
        <w:rPr>
          <w:rFonts w:ascii="Arial" w:cs="Arial" w:eastAsia="Arial" w:hAnsi="Arial"/>
          <w:sz w:val="22"/>
          <w:szCs w:val="22"/>
          <w:u w:val="single" w:color="auto"/>
          <w:color w:val="auto"/>
        </w:rPr>
        <w:t>(rahul.chaudhary@leerink.com)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Jon Civitarese </w:t>
      </w:r>
      <w:r>
        <w:rPr>
          <w:rFonts w:ascii="Arial" w:cs="Arial" w:eastAsia="Arial" w:hAnsi="Arial"/>
          <w:sz w:val="22"/>
          <w:szCs w:val="22"/>
          <w:u w:val="single" w:color="auto"/>
          <w:color w:val="auto"/>
        </w:rPr>
        <w:t>(jon.civitarese@leerink.com)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Eric Olsen </w:t>
      </w:r>
      <w:r>
        <w:rPr>
          <w:rFonts w:ascii="Arial" w:cs="Arial" w:eastAsia="Arial" w:hAnsi="Arial"/>
          <w:sz w:val="22"/>
          <w:szCs w:val="22"/>
          <w:u w:val="single" w:color="auto"/>
          <w:color w:val="auto"/>
        </w:rPr>
        <w:t>(eric.olsen@leerink.com)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Patrick Morley </w:t>
      </w:r>
      <w:r>
        <w:rPr>
          <w:rFonts w:ascii="Arial" w:cs="Arial" w:eastAsia="Arial" w:hAnsi="Arial"/>
          <w:sz w:val="22"/>
          <w:szCs w:val="22"/>
          <w:u w:val="single" w:color="auto"/>
          <w:color w:val="auto"/>
        </w:rPr>
        <w:t>(patrick.morley@leerink.com)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Stuart Nayman </w:t>
      </w:r>
      <w:r>
        <w:rPr>
          <w:rFonts w:ascii="Arial" w:cs="Arial" w:eastAsia="Arial" w:hAnsi="Arial"/>
          <w:sz w:val="22"/>
          <w:szCs w:val="22"/>
          <w:u w:val="single" w:color="auto"/>
          <w:color w:val="auto"/>
        </w:rPr>
        <w:t>(stuart.nayman@leerink.com)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Sam Spector </w:t>
      </w:r>
      <w:r>
        <w:rPr>
          <w:rFonts w:ascii="Arial" w:cs="Arial" w:eastAsia="Arial" w:hAnsi="Arial"/>
          <w:sz w:val="19"/>
          <w:szCs w:val="19"/>
          <w:u w:val="single" w:color="auto"/>
          <w:color w:val="1F497D"/>
        </w:rPr>
        <w:t>(</w:t>
      </w:r>
      <w:r>
        <w:rPr>
          <w:rFonts w:ascii="Arial" w:cs="Arial" w:eastAsia="Arial" w:hAnsi="Arial"/>
          <w:sz w:val="19"/>
          <w:szCs w:val="19"/>
          <w:u w:val="single" w:color="auto"/>
          <w:color w:val="auto"/>
        </w:rPr>
        <w:t>sam.spector@leerink.com</w:t>
      </w:r>
      <w:r>
        <w:rPr>
          <w:rFonts w:ascii="Arial" w:cs="Arial" w:eastAsia="Arial" w:hAnsi="Arial"/>
          <w:sz w:val="19"/>
          <w:szCs w:val="19"/>
          <w:u w:val="single" w:color="auto"/>
          <w:color w:val="1F497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350520</wp:posOffset>
            </wp:positionV>
            <wp:extent cx="638873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539"/>
          </w:cols>
          <w:pgMar w:left="920" w:top="328" w:right="1440" w:bottom="1440" w:gutter="0" w:footer="0" w:header="0"/>
        </w:sectPr>
      </w:pPr>
    </w:p>
    <w:bookmarkStart w:id="46" w:name="page47"/>
    <w:bookmarkEnd w:id="46"/>
    <w:p>
      <w:pPr>
        <w:jc w:val="center"/>
        <w:ind w:right="-540"/>
        <w:spacing w:after="0"/>
        <w:rPr>
          <w:sz w:val="20"/>
          <w:szCs w:val="20"/>
          <w:color w:val="auto"/>
        </w:rPr>
      </w:pPr>
      <w:r>
        <w:rPr>
          <w:rFonts w:ascii="Arial" w:cs="Arial" w:eastAsia="Arial" w:hAnsi="Arial"/>
          <w:sz w:val="22"/>
          <w:szCs w:val="22"/>
          <w:b w:val="1"/>
          <w:bCs w:val="1"/>
          <w:u w:val="single" w:color="auto"/>
          <w:color w:val="auto"/>
        </w:rPr>
        <w:t>Exhibit 23</w:t>
      </w:r>
    </w:p>
    <w:p>
      <w:pPr>
        <w:spacing w:after="0" w:line="206" w:lineRule="exact"/>
        <w:rPr>
          <w:sz w:val="20"/>
          <w:szCs w:val="20"/>
          <w:color w:val="auto"/>
        </w:rPr>
      </w:pPr>
    </w:p>
    <w:p>
      <w:pPr>
        <w:jc w:val="center"/>
        <w:ind w:right="-540"/>
        <w:spacing w:after="0"/>
        <w:rPr>
          <w:sz w:val="20"/>
          <w:szCs w:val="20"/>
          <w:color w:val="auto"/>
        </w:rPr>
      </w:pPr>
      <w:r>
        <w:rPr>
          <w:rFonts w:ascii="Arial" w:cs="Arial" w:eastAsia="Arial" w:hAnsi="Arial"/>
          <w:sz w:val="19"/>
          <w:szCs w:val="19"/>
          <w:b w:val="1"/>
          <w:bCs w:val="1"/>
          <w:color w:val="auto"/>
        </w:rPr>
        <w:t>Permitted Free Writing Prospectus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350520</wp:posOffset>
            </wp:positionV>
            <wp:extent cx="638873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328" w:right="1440"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1006475</wp:posOffset>
            </wp:positionH>
            <wp:positionV relativeFrom="page">
              <wp:posOffset>929640</wp:posOffset>
            </wp:positionV>
            <wp:extent cx="204089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204089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60"/>
        <w:spacing w:after="0"/>
        <w:rPr>
          <w:sz w:val="20"/>
          <w:szCs w:val="20"/>
          <w:color w:val="auto"/>
        </w:rPr>
      </w:pPr>
      <w:r>
        <w:rPr>
          <w:rFonts w:ascii="Arial" w:cs="Arial" w:eastAsia="Arial" w:hAnsi="Arial"/>
          <w:sz w:val="19"/>
          <w:szCs w:val="19"/>
          <w:color w:val="auto"/>
        </w:rPr>
        <w:t>August 9, 2018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140 Scott Drive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Menlo Park, California 94025</w:t>
      </w:r>
    </w:p>
    <w:p>
      <w:pPr>
        <w:spacing w:after="0" w:line="40" w:lineRule="exact"/>
        <w:rPr>
          <w:sz w:val="20"/>
          <w:szCs w:val="20"/>
          <w:color w:val="auto"/>
        </w:rPr>
      </w:pPr>
    </w:p>
    <w:p>
      <w:pPr>
        <w:spacing w:after="0"/>
        <w:rPr>
          <w:sz w:val="20"/>
          <w:szCs w:val="20"/>
          <w:color w:val="auto"/>
        </w:rPr>
      </w:pPr>
      <w:r>
        <w:rPr>
          <w:rFonts w:ascii="Arial" w:cs="Arial" w:eastAsia="Arial" w:hAnsi="Arial"/>
          <w:sz w:val="12"/>
          <w:szCs w:val="12"/>
          <w:color w:val="auto"/>
        </w:rPr>
        <w:t>Tel: +1.650.328.4600 Fax: +1.650.463.2600</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www.lw.com</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FIRM / AFFILIATE OFFICES</w:t>
      </w:r>
    </w:p>
    <w:p>
      <w:pPr>
        <w:spacing w:after="0" w:line="40" w:lineRule="exact"/>
        <w:rPr>
          <w:sz w:val="20"/>
          <w:szCs w:val="20"/>
          <w:color w:val="auto"/>
        </w:rPr>
      </w:pPr>
    </w:p>
    <w:p>
      <w:pPr>
        <w:spacing w:after="0"/>
        <w:tabs>
          <w:tab w:leader="none" w:pos="1280" w:val="left"/>
        </w:tabs>
        <w:rPr>
          <w:sz w:val="20"/>
          <w:szCs w:val="20"/>
          <w:color w:val="auto"/>
        </w:rPr>
      </w:pPr>
      <w:r>
        <w:rPr>
          <w:rFonts w:ascii="Arial" w:cs="Arial" w:eastAsia="Arial" w:hAnsi="Arial"/>
          <w:sz w:val="13"/>
          <w:szCs w:val="13"/>
          <w:color w:val="auto"/>
        </w:rPr>
        <w:t>Beijing</w:t>
      </w:r>
      <w:r>
        <w:rPr>
          <w:sz w:val="20"/>
          <w:szCs w:val="20"/>
          <w:color w:val="auto"/>
        </w:rPr>
        <w:tab/>
      </w:r>
      <w:r>
        <w:rPr>
          <w:rFonts w:ascii="Arial" w:cs="Arial" w:eastAsia="Arial" w:hAnsi="Arial"/>
          <w:sz w:val="13"/>
          <w:szCs w:val="13"/>
          <w:color w:val="auto"/>
        </w:rPr>
        <w:t>Moscow</w:t>
      </w:r>
    </w:p>
    <w:p>
      <w:pPr>
        <w:spacing w:after="0" w:line="40" w:lineRule="exact"/>
        <w:rPr>
          <w:sz w:val="20"/>
          <w:szCs w:val="20"/>
          <w:color w:val="auto"/>
        </w:rPr>
      </w:pPr>
    </w:p>
    <w:p>
      <w:pPr>
        <w:spacing w:after="0"/>
        <w:tabs>
          <w:tab w:leader="none" w:pos="1280" w:val="left"/>
        </w:tabs>
        <w:rPr>
          <w:sz w:val="20"/>
          <w:szCs w:val="20"/>
          <w:color w:val="auto"/>
        </w:rPr>
      </w:pPr>
      <w:r>
        <w:rPr>
          <w:rFonts w:ascii="Arial" w:cs="Arial" w:eastAsia="Arial" w:hAnsi="Arial"/>
          <w:sz w:val="13"/>
          <w:szCs w:val="13"/>
          <w:color w:val="auto"/>
        </w:rPr>
        <w:t>Boston</w:t>
      </w:r>
      <w:r>
        <w:rPr>
          <w:sz w:val="20"/>
          <w:szCs w:val="20"/>
          <w:color w:val="auto"/>
        </w:rPr>
        <w:tab/>
      </w:r>
      <w:r>
        <w:rPr>
          <w:rFonts w:ascii="Arial" w:cs="Arial" w:eastAsia="Arial" w:hAnsi="Arial"/>
          <w:sz w:val="13"/>
          <w:szCs w:val="13"/>
          <w:color w:val="auto"/>
        </w:rPr>
        <w:t>Munich</w:t>
      </w:r>
    </w:p>
    <w:p>
      <w:pPr>
        <w:spacing w:after="0" w:line="40" w:lineRule="exact"/>
        <w:rPr>
          <w:sz w:val="20"/>
          <w:szCs w:val="20"/>
          <w:color w:val="auto"/>
        </w:rPr>
      </w:pPr>
    </w:p>
    <w:p>
      <w:pPr>
        <w:spacing w:after="0"/>
        <w:tabs>
          <w:tab w:leader="none" w:pos="1280" w:val="left"/>
        </w:tabs>
        <w:rPr>
          <w:sz w:val="20"/>
          <w:szCs w:val="20"/>
          <w:color w:val="auto"/>
        </w:rPr>
      </w:pPr>
      <w:r>
        <w:rPr>
          <w:rFonts w:ascii="Arial" w:cs="Arial" w:eastAsia="Arial" w:hAnsi="Arial"/>
          <w:sz w:val="13"/>
          <w:szCs w:val="13"/>
          <w:color w:val="auto"/>
        </w:rPr>
        <w:t>Brussel</w:t>
      </w:r>
      <w:r>
        <w:rPr>
          <w:sz w:val="20"/>
          <w:szCs w:val="20"/>
          <w:color w:val="auto"/>
        </w:rPr>
        <w:tab/>
      </w:r>
      <w:r>
        <w:rPr>
          <w:rFonts w:ascii="Arial" w:cs="Arial" w:eastAsia="Arial" w:hAnsi="Arial"/>
          <w:sz w:val="13"/>
          <w:szCs w:val="13"/>
          <w:color w:val="auto"/>
        </w:rPr>
        <w:t>New York</w:t>
      </w:r>
    </w:p>
    <w:p>
      <w:pPr>
        <w:spacing w:after="0" w:line="40" w:lineRule="exact"/>
        <w:rPr>
          <w:sz w:val="20"/>
          <w:szCs w:val="20"/>
          <w:color w:val="auto"/>
        </w:rPr>
      </w:pPr>
    </w:p>
    <w:p>
      <w:pPr>
        <w:spacing w:after="0"/>
        <w:tabs>
          <w:tab w:leader="none" w:pos="1280" w:val="left"/>
        </w:tabs>
        <w:rPr>
          <w:sz w:val="20"/>
          <w:szCs w:val="20"/>
          <w:color w:val="auto"/>
        </w:rPr>
      </w:pPr>
      <w:r>
        <w:rPr>
          <w:rFonts w:ascii="Arial" w:cs="Arial" w:eastAsia="Arial" w:hAnsi="Arial"/>
          <w:sz w:val="13"/>
          <w:szCs w:val="13"/>
          <w:color w:val="auto"/>
        </w:rPr>
        <w:t>Century City</w:t>
      </w:r>
      <w:r>
        <w:rPr>
          <w:sz w:val="20"/>
          <w:szCs w:val="20"/>
          <w:color w:val="auto"/>
        </w:rPr>
        <w:tab/>
      </w:r>
      <w:r>
        <w:rPr>
          <w:rFonts w:ascii="Arial" w:cs="Arial" w:eastAsia="Arial" w:hAnsi="Arial"/>
          <w:sz w:val="12"/>
          <w:szCs w:val="12"/>
          <w:color w:val="auto"/>
        </w:rPr>
        <w:t>Orange County</w:t>
      </w:r>
    </w:p>
    <w:p>
      <w:pPr>
        <w:spacing w:after="0" w:line="40" w:lineRule="exact"/>
        <w:rPr>
          <w:sz w:val="20"/>
          <w:szCs w:val="20"/>
          <w:color w:val="auto"/>
        </w:rPr>
      </w:pPr>
    </w:p>
    <w:p>
      <w:pPr>
        <w:spacing w:after="0"/>
        <w:tabs>
          <w:tab w:leader="none" w:pos="1280" w:val="left"/>
        </w:tabs>
        <w:rPr>
          <w:sz w:val="20"/>
          <w:szCs w:val="20"/>
          <w:color w:val="auto"/>
        </w:rPr>
      </w:pPr>
      <w:r>
        <w:rPr>
          <w:rFonts w:ascii="Arial" w:cs="Arial" w:eastAsia="Arial" w:hAnsi="Arial"/>
          <w:sz w:val="13"/>
          <w:szCs w:val="13"/>
          <w:color w:val="auto"/>
        </w:rPr>
        <w:t>Chicago</w:t>
      </w:r>
      <w:r>
        <w:rPr>
          <w:sz w:val="20"/>
          <w:szCs w:val="20"/>
          <w:color w:val="auto"/>
        </w:rPr>
        <w:tab/>
      </w:r>
      <w:r>
        <w:rPr>
          <w:rFonts w:ascii="Arial" w:cs="Arial" w:eastAsia="Arial" w:hAnsi="Arial"/>
          <w:sz w:val="13"/>
          <w:szCs w:val="13"/>
          <w:color w:val="auto"/>
        </w:rPr>
        <w:t>Paris</w:t>
      </w:r>
    </w:p>
    <w:p>
      <w:pPr>
        <w:spacing w:after="0" w:line="40" w:lineRule="exact"/>
        <w:rPr>
          <w:sz w:val="20"/>
          <w:szCs w:val="20"/>
          <w:color w:val="auto"/>
        </w:rPr>
      </w:pPr>
    </w:p>
    <w:p>
      <w:pPr>
        <w:spacing w:after="0"/>
        <w:tabs>
          <w:tab w:leader="none" w:pos="1280" w:val="left"/>
        </w:tabs>
        <w:rPr>
          <w:sz w:val="20"/>
          <w:szCs w:val="20"/>
          <w:color w:val="auto"/>
        </w:rPr>
      </w:pPr>
      <w:r>
        <w:rPr>
          <w:rFonts w:ascii="Arial" w:cs="Arial" w:eastAsia="Arial" w:hAnsi="Arial"/>
          <w:sz w:val="13"/>
          <w:szCs w:val="13"/>
          <w:color w:val="auto"/>
        </w:rPr>
        <w:t>Dubai</w:t>
      </w:r>
      <w:r>
        <w:rPr>
          <w:sz w:val="20"/>
          <w:szCs w:val="20"/>
          <w:color w:val="auto"/>
        </w:rPr>
        <w:tab/>
      </w:r>
      <w:r>
        <w:rPr>
          <w:rFonts w:ascii="Arial" w:cs="Arial" w:eastAsia="Arial" w:hAnsi="Arial"/>
          <w:sz w:val="13"/>
          <w:szCs w:val="13"/>
          <w:color w:val="auto"/>
        </w:rPr>
        <w:t>Riyadh</w:t>
      </w:r>
    </w:p>
    <w:p>
      <w:pPr>
        <w:spacing w:after="0" w:line="40" w:lineRule="exact"/>
        <w:rPr>
          <w:sz w:val="20"/>
          <w:szCs w:val="20"/>
          <w:color w:val="auto"/>
        </w:rPr>
      </w:pPr>
    </w:p>
    <w:p>
      <w:pPr>
        <w:spacing w:after="0"/>
        <w:tabs>
          <w:tab w:leader="none" w:pos="1280" w:val="left"/>
        </w:tabs>
        <w:rPr>
          <w:sz w:val="20"/>
          <w:szCs w:val="20"/>
          <w:color w:val="auto"/>
        </w:rPr>
      </w:pPr>
      <w:r>
        <w:rPr>
          <w:rFonts w:ascii="Arial" w:cs="Arial" w:eastAsia="Arial" w:hAnsi="Arial"/>
          <w:sz w:val="13"/>
          <w:szCs w:val="13"/>
          <w:color w:val="auto"/>
        </w:rPr>
        <w:t>Düsseldorf</w:t>
      </w:r>
      <w:r>
        <w:rPr>
          <w:sz w:val="20"/>
          <w:szCs w:val="20"/>
          <w:color w:val="auto"/>
        </w:rPr>
        <w:tab/>
      </w:r>
      <w:r>
        <w:rPr>
          <w:rFonts w:ascii="Arial" w:cs="Arial" w:eastAsia="Arial" w:hAnsi="Arial"/>
          <w:sz w:val="13"/>
          <w:szCs w:val="13"/>
          <w:color w:val="auto"/>
        </w:rPr>
        <w:t>Rome</w:t>
      </w:r>
    </w:p>
    <w:p>
      <w:pPr>
        <w:spacing w:after="0" w:line="40" w:lineRule="exact"/>
        <w:rPr>
          <w:sz w:val="20"/>
          <w:szCs w:val="20"/>
          <w:color w:val="auto"/>
        </w:rPr>
      </w:pPr>
    </w:p>
    <w:p>
      <w:pPr>
        <w:spacing w:after="0"/>
        <w:tabs>
          <w:tab w:leader="none" w:pos="1280" w:val="left"/>
        </w:tabs>
        <w:rPr>
          <w:sz w:val="20"/>
          <w:szCs w:val="20"/>
          <w:color w:val="auto"/>
        </w:rPr>
      </w:pPr>
      <w:r>
        <w:rPr>
          <w:rFonts w:ascii="Arial" w:cs="Arial" w:eastAsia="Arial" w:hAnsi="Arial"/>
          <w:sz w:val="13"/>
          <w:szCs w:val="13"/>
          <w:color w:val="auto"/>
        </w:rPr>
        <w:t>Frankfurt</w:t>
      </w:r>
      <w:r>
        <w:rPr>
          <w:sz w:val="20"/>
          <w:szCs w:val="20"/>
          <w:color w:val="auto"/>
        </w:rPr>
        <w:tab/>
      </w:r>
      <w:r>
        <w:rPr>
          <w:rFonts w:ascii="Arial" w:cs="Arial" w:eastAsia="Arial" w:hAnsi="Arial"/>
          <w:sz w:val="13"/>
          <w:szCs w:val="13"/>
          <w:color w:val="auto"/>
        </w:rPr>
        <w:t>San Diego</w:t>
      </w:r>
    </w:p>
    <w:p>
      <w:pPr>
        <w:spacing w:after="0" w:line="40" w:lineRule="exact"/>
        <w:rPr>
          <w:sz w:val="20"/>
          <w:szCs w:val="20"/>
          <w:color w:val="auto"/>
        </w:rPr>
      </w:pPr>
    </w:p>
    <w:p>
      <w:pPr>
        <w:spacing w:after="0"/>
        <w:tabs>
          <w:tab w:leader="none" w:pos="1280" w:val="left"/>
        </w:tabs>
        <w:rPr>
          <w:sz w:val="20"/>
          <w:szCs w:val="20"/>
          <w:color w:val="auto"/>
        </w:rPr>
      </w:pPr>
      <w:r>
        <w:rPr>
          <w:rFonts w:ascii="Arial" w:cs="Arial" w:eastAsia="Arial" w:hAnsi="Arial"/>
          <w:sz w:val="13"/>
          <w:szCs w:val="13"/>
          <w:color w:val="auto"/>
        </w:rPr>
        <w:t>Hamburg</w:t>
      </w:r>
      <w:r>
        <w:rPr>
          <w:sz w:val="20"/>
          <w:szCs w:val="20"/>
          <w:color w:val="auto"/>
        </w:rPr>
        <w:tab/>
      </w:r>
      <w:r>
        <w:rPr>
          <w:rFonts w:ascii="Arial" w:cs="Arial" w:eastAsia="Arial" w:hAnsi="Arial"/>
          <w:sz w:val="13"/>
          <w:szCs w:val="13"/>
          <w:color w:val="auto"/>
        </w:rPr>
        <w:t>San Francisco</w:t>
      </w:r>
    </w:p>
    <w:p>
      <w:pPr>
        <w:spacing w:after="0" w:line="40" w:lineRule="exact"/>
        <w:rPr>
          <w:sz w:val="20"/>
          <w:szCs w:val="20"/>
          <w:color w:val="auto"/>
        </w:rPr>
      </w:pPr>
    </w:p>
    <w:p>
      <w:pPr>
        <w:spacing w:after="0"/>
        <w:tabs>
          <w:tab w:leader="none" w:pos="1280" w:val="left"/>
        </w:tabs>
        <w:rPr>
          <w:sz w:val="20"/>
          <w:szCs w:val="20"/>
          <w:color w:val="auto"/>
        </w:rPr>
      </w:pPr>
      <w:r>
        <w:rPr>
          <w:rFonts w:ascii="Arial" w:cs="Arial" w:eastAsia="Arial" w:hAnsi="Arial"/>
          <w:sz w:val="13"/>
          <w:szCs w:val="13"/>
          <w:color w:val="auto"/>
        </w:rPr>
        <w:t>Hong Kong</w:t>
      </w:r>
      <w:r>
        <w:rPr>
          <w:sz w:val="20"/>
          <w:szCs w:val="20"/>
          <w:color w:val="auto"/>
        </w:rPr>
        <w:tab/>
      </w:r>
      <w:r>
        <w:rPr>
          <w:rFonts w:ascii="Arial" w:cs="Arial" w:eastAsia="Arial" w:hAnsi="Arial"/>
          <w:sz w:val="12"/>
          <w:szCs w:val="12"/>
          <w:color w:val="auto"/>
        </w:rPr>
        <w:t>Seoul</w:t>
      </w:r>
    </w:p>
    <w:p>
      <w:pPr>
        <w:spacing w:after="0" w:line="40" w:lineRule="exact"/>
        <w:rPr>
          <w:sz w:val="20"/>
          <w:szCs w:val="20"/>
          <w:color w:val="auto"/>
        </w:rPr>
      </w:pPr>
    </w:p>
    <w:p>
      <w:pPr>
        <w:spacing w:after="0"/>
        <w:tabs>
          <w:tab w:leader="none" w:pos="1280" w:val="left"/>
        </w:tabs>
        <w:rPr>
          <w:sz w:val="20"/>
          <w:szCs w:val="20"/>
          <w:color w:val="auto"/>
        </w:rPr>
      </w:pPr>
      <w:r>
        <w:rPr>
          <w:rFonts w:ascii="Arial" w:cs="Arial" w:eastAsia="Arial" w:hAnsi="Arial"/>
          <w:sz w:val="13"/>
          <w:szCs w:val="13"/>
          <w:color w:val="auto"/>
        </w:rPr>
        <w:t>Houston</w:t>
      </w:r>
      <w:r>
        <w:rPr>
          <w:sz w:val="20"/>
          <w:szCs w:val="20"/>
          <w:color w:val="auto"/>
        </w:rPr>
        <w:tab/>
      </w:r>
      <w:r>
        <w:rPr>
          <w:rFonts w:ascii="Arial" w:cs="Arial" w:eastAsia="Arial" w:hAnsi="Arial"/>
          <w:sz w:val="13"/>
          <w:szCs w:val="13"/>
          <w:color w:val="auto"/>
        </w:rPr>
        <w:t>Shanghai</w:t>
      </w:r>
    </w:p>
    <w:p>
      <w:pPr>
        <w:spacing w:after="0" w:line="40" w:lineRule="exact"/>
        <w:rPr>
          <w:sz w:val="20"/>
          <w:szCs w:val="20"/>
          <w:color w:val="auto"/>
        </w:rPr>
      </w:pPr>
    </w:p>
    <w:p>
      <w:pPr>
        <w:spacing w:after="0"/>
        <w:tabs>
          <w:tab w:leader="none" w:pos="1280" w:val="left"/>
        </w:tabs>
        <w:rPr>
          <w:sz w:val="20"/>
          <w:szCs w:val="20"/>
          <w:color w:val="auto"/>
        </w:rPr>
      </w:pPr>
      <w:r>
        <w:rPr>
          <w:rFonts w:ascii="Arial" w:cs="Arial" w:eastAsia="Arial" w:hAnsi="Arial"/>
          <w:sz w:val="13"/>
          <w:szCs w:val="13"/>
          <w:color w:val="auto"/>
        </w:rPr>
        <w:t>London</w:t>
      </w:r>
      <w:r>
        <w:rPr>
          <w:sz w:val="20"/>
          <w:szCs w:val="20"/>
          <w:color w:val="auto"/>
        </w:rPr>
        <w:tab/>
      </w:r>
      <w:r>
        <w:rPr>
          <w:rFonts w:ascii="Arial" w:cs="Arial" w:eastAsia="Arial" w:hAnsi="Arial"/>
          <w:sz w:val="13"/>
          <w:szCs w:val="13"/>
          <w:color w:val="auto"/>
        </w:rPr>
        <w:t>Silicon Valley</w:t>
      </w:r>
    </w:p>
    <w:p>
      <w:pPr>
        <w:spacing w:after="0" w:line="40" w:lineRule="exact"/>
        <w:rPr>
          <w:sz w:val="20"/>
          <w:szCs w:val="20"/>
          <w:color w:val="auto"/>
        </w:rPr>
      </w:pPr>
    </w:p>
    <w:p>
      <w:pPr>
        <w:spacing w:after="0"/>
        <w:tabs>
          <w:tab w:leader="none" w:pos="1280" w:val="left"/>
        </w:tabs>
        <w:rPr>
          <w:sz w:val="20"/>
          <w:szCs w:val="20"/>
          <w:color w:val="auto"/>
        </w:rPr>
      </w:pPr>
      <w:r>
        <w:rPr>
          <w:rFonts w:ascii="Arial" w:cs="Arial" w:eastAsia="Arial" w:hAnsi="Arial"/>
          <w:sz w:val="13"/>
          <w:szCs w:val="13"/>
          <w:color w:val="auto"/>
        </w:rPr>
        <w:t>Los Angeles</w:t>
      </w:r>
      <w:r>
        <w:rPr>
          <w:sz w:val="20"/>
          <w:szCs w:val="20"/>
          <w:color w:val="auto"/>
        </w:rPr>
        <w:tab/>
      </w:r>
      <w:r>
        <w:rPr>
          <w:rFonts w:ascii="Arial" w:cs="Arial" w:eastAsia="Arial" w:hAnsi="Arial"/>
          <w:sz w:val="12"/>
          <w:szCs w:val="12"/>
          <w:color w:val="auto"/>
        </w:rPr>
        <w:t>Singapore</w:t>
      </w:r>
    </w:p>
    <w:p>
      <w:pPr>
        <w:spacing w:after="0" w:line="40" w:lineRule="exact"/>
        <w:rPr>
          <w:sz w:val="20"/>
          <w:szCs w:val="20"/>
          <w:color w:val="auto"/>
        </w:rPr>
      </w:pPr>
    </w:p>
    <w:p>
      <w:pPr>
        <w:spacing w:after="0"/>
        <w:tabs>
          <w:tab w:leader="none" w:pos="1280" w:val="left"/>
        </w:tabs>
        <w:rPr>
          <w:sz w:val="20"/>
          <w:szCs w:val="20"/>
          <w:color w:val="auto"/>
        </w:rPr>
      </w:pPr>
      <w:r>
        <w:rPr>
          <w:rFonts w:ascii="Arial" w:cs="Arial" w:eastAsia="Arial" w:hAnsi="Arial"/>
          <w:sz w:val="13"/>
          <w:szCs w:val="13"/>
          <w:color w:val="auto"/>
        </w:rPr>
        <w:t>Madrid</w:t>
      </w:r>
      <w:r>
        <w:rPr>
          <w:sz w:val="20"/>
          <w:szCs w:val="20"/>
          <w:color w:val="auto"/>
        </w:rPr>
        <w:tab/>
      </w:r>
      <w:r>
        <w:rPr>
          <w:rFonts w:ascii="Arial" w:cs="Arial" w:eastAsia="Arial" w:hAnsi="Arial"/>
          <w:sz w:val="13"/>
          <w:szCs w:val="13"/>
          <w:color w:val="auto"/>
        </w:rPr>
        <w:t>Tokyo</w:t>
      </w:r>
    </w:p>
    <w:p>
      <w:pPr>
        <w:spacing w:after="0" w:line="40" w:lineRule="exact"/>
        <w:rPr>
          <w:sz w:val="20"/>
          <w:szCs w:val="20"/>
          <w:color w:val="auto"/>
        </w:rPr>
      </w:pPr>
    </w:p>
    <w:p>
      <w:pPr>
        <w:spacing w:after="0"/>
        <w:tabs>
          <w:tab w:leader="none" w:pos="1280" w:val="left"/>
        </w:tabs>
        <w:rPr>
          <w:sz w:val="20"/>
          <w:szCs w:val="20"/>
          <w:color w:val="auto"/>
        </w:rPr>
      </w:pPr>
      <w:r>
        <w:rPr>
          <w:rFonts w:ascii="Arial" w:cs="Arial" w:eastAsia="Arial" w:hAnsi="Arial"/>
          <w:sz w:val="13"/>
          <w:szCs w:val="13"/>
          <w:color w:val="auto"/>
        </w:rPr>
        <w:t>Milan</w:t>
      </w:r>
      <w:r>
        <w:rPr>
          <w:sz w:val="20"/>
          <w:szCs w:val="20"/>
          <w:color w:val="auto"/>
        </w:rPr>
        <w:tab/>
      </w:r>
      <w:r>
        <w:rPr>
          <w:rFonts w:ascii="Arial" w:cs="Arial" w:eastAsia="Arial" w:hAnsi="Arial"/>
          <w:sz w:val="13"/>
          <w:szCs w:val="13"/>
          <w:color w:val="auto"/>
        </w:rPr>
        <w:t>Washington, D.C.</w:t>
      </w:r>
    </w:p>
    <w:p>
      <w:pPr>
        <w:spacing w:after="0" w:line="140" w:lineRule="exact"/>
        <w:rPr>
          <w:sz w:val="20"/>
          <w:szCs w:val="20"/>
          <w:color w:val="auto"/>
        </w:rPr>
      </w:pPr>
    </w:p>
    <w:p>
      <w:pPr>
        <w:sectPr>
          <w:pgSz w:w="11900" w:h="16838" w:orient="portrait"/>
          <w:cols w:equalWidth="0" w:num="2">
            <w:col w:w="5560" w:space="720"/>
            <w:col w:w="2739"/>
          </w:cols>
          <w:pgMar w:left="1440" w:top="431" w:right="1440" w:bottom="1440" w:gutter="0" w:footer="0" w:header="0"/>
        </w:sectPr>
      </w:pPr>
    </w:p>
    <w:p>
      <w:pPr>
        <w:ind w:left="160"/>
        <w:spacing w:after="0"/>
        <w:rPr>
          <w:sz w:val="20"/>
          <w:szCs w:val="20"/>
          <w:color w:val="auto"/>
        </w:rPr>
      </w:pPr>
      <w:r>
        <w:rPr>
          <w:rFonts w:ascii="Arial" w:cs="Arial" w:eastAsia="Arial" w:hAnsi="Arial"/>
          <w:sz w:val="22"/>
          <w:szCs w:val="22"/>
          <w:color w:val="auto"/>
        </w:rPr>
        <w:t>Ardelyx, Inc.</w:t>
      </w:r>
    </w:p>
    <w:p>
      <w:pPr>
        <w:ind w:left="160"/>
        <w:spacing w:after="0" w:line="205" w:lineRule="auto"/>
        <w:rPr>
          <w:sz w:val="20"/>
          <w:szCs w:val="20"/>
          <w:color w:val="auto"/>
        </w:rPr>
      </w:pPr>
      <w:r>
        <w:rPr>
          <w:rFonts w:ascii="Arial" w:cs="Arial" w:eastAsia="Arial" w:hAnsi="Arial"/>
          <w:sz w:val="22"/>
          <w:szCs w:val="22"/>
          <w:color w:val="auto"/>
        </w:rPr>
        <w:t>34175 Ardenwood Blvd., Suite 200</w:t>
      </w:r>
    </w:p>
    <w:p>
      <w:pPr>
        <w:ind w:left="160"/>
        <w:spacing w:after="0"/>
        <w:rPr>
          <w:sz w:val="20"/>
          <w:szCs w:val="20"/>
          <w:color w:val="auto"/>
        </w:rPr>
      </w:pPr>
      <w:r>
        <w:rPr>
          <w:rFonts w:ascii="Arial" w:cs="Arial" w:eastAsia="Arial" w:hAnsi="Arial"/>
          <w:sz w:val="22"/>
          <w:szCs w:val="22"/>
          <w:color w:val="auto"/>
        </w:rPr>
        <w:t>Fremont, CA 94555</w:t>
      </w:r>
    </w:p>
    <w:p>
      <w:pPr>
        <w:spacing w:after="0" w:line="121" w:lineRule="exact"/>
        <w:rPr>
          <w:sz w:val="20"/>
          <w:szCs w:val="20"/>
          <w:color w:val="auto"/>
        </w:rPr>
      </w:pPr>
    </w:p>
    <w:p>
      <w:pPr>
        <w:ind w:left="1280" w:right="159" w:hanging="485"/>
        <w:spacing w:after="0" w:line="232" w:lineRule="auto"/>
        <w:tabs>
          <w:tab w:leader="none" w:pos="1260" w:val="left"/>
        </w:tabs>
        <w:rPr>
          <w:sz w:val="20"/>
          <w:szCs w:val="20"/>
          <w:color w:val="auto"/>
        </w:rPr>
      </w:pPr>
      <w:r>
        <w:rPr>
          <w:rFonts w:ascii="Arial" w:cs="Arial" w:eastAsia="Arial" w:hAnsi="Arial"/>
          <w:sz w:val="22"/>
          <w:szCs w:val="22"/>
          <w:color w:val="auto"/>
        </w:rPr>
        <w:t>Re:</w:t>
        <w:tab/>
        <w:t>Registration Statement No. 333-217441; Up to $50,000,000 of Shares of Common Stock, par value $0.0001 per share</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22"/>
          <w:szCs w:val="22"/>
          <w:color w:val="auto"/>
        </w:rPr>
        <w:t>Ladies and Gentlemen:</w:t>
      </w:r>
    </w:p>
    <w:p>
      <w:pPr>
        <w:spacing w:after="0" w:line="152" w:lineRule="exact"/>
        <w:rPr>
          <w:sz w:val="20"/>
          <w:szCs w:val="20"/>
          <w:color w:val="auto"/>
        </w:rPr>
      </w:pPr>
    </w:p>
    <w:p>
      <w:pPr>
        <w:jc w:val="both"/>
        <w:ind w:left="160" w:right="139" w:firstLine="648"/>
        <w:spacing w:after="0" w:line="242" w:lineRule="auto"/>
        <w:rPr>
          <w:sz w:val="20"/>
          <w:szCs w:val="20"/>
          <w:color w:val="auto"/>
        </w:rPr>
      </w:pPr>
      <w:r>
        <w:rPr>
          <w:rFonts w:ascii="Arial" w:cs="Arial" w:eastAsia="Arial" w:hAnsi="Arial"/>
          <w:sz w:val="19"/>
          <w:szCs w:val="19"/>
          <w:color w:val="auto"/>
        </w:rPr>
        <w:t>We have acted as special counsel to Ardelyx,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in connection with the proposed issuance from time to time of shares of common stock of the Company, par value $0.0001 per share, having an aggregate offering price of up to $50,000,000 (the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by the Company pursuant to the Sales Agreement dated August 9, 2018 (the “</w:t>
      </w:r>
      <w:r>
        <w:rPr>
          <w:rFonts w:ascii="Arial" w:cs="Arial" w:eastAsia="Arial" w:hAnsi="Arial"/>
          <w:sz w:val="19"/>
          <w:szCs w:val="19"/>
          <w:b w:val="1"/>
          <w:bCs w:val="1"/>
          <w:i w:val="1"/>
          <w:iCs w:val="1"/>
          <w:color w:val="auto"/>
        </w:rPr>
        <w:t>Sales</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between the Company and Leerink Partners LLC. The Shares are included in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registration statement on Form S-3 under the Securities Act of 1933, as amended (the “</w:t>
      </w:r>
      <w:r>
        <w:rPr>
          <w:rFonts w:ascii="Arial" w:cs="Arial" w:eastAsia="Arial" w:hAnsi="Arial"/>
          <w:sz w:val="19"/>
          <w:szCs w:val="19"/>
          <w:b w:val="1"/>
          <w:bCs w:val="1"/>
          <w:i w:val="1"/>
          <w:iCs w:val="1"/>
          <w:color w:val="auto"/>
        </w:rPr>
        <w:t>Act</w:t>
      </w:r>
      <w:r>
        <w:rPr>
          <w:rFonts w:ascii="Arial" w:cs="Arial" w:eastAsia="Arial" w:hAnsi="Arial"/>
          <w:sz w:val="19"/>
          <w:szCs w:val="19"/>
          <w:color w:val="auto"/>
        </w:rPr>
        <w:t>”), filed with the Securities and Exchange Commission (the “</w:t>
      </w:r>
      <w:r>
        <w:rPr>
          <w:rFonts w:ascii="Arial" w:cs="Arial" w:eastAsia="Arial" w:hAnsi="Arial"/>
          <w:sz w:val="19"/>
          <w:szCs w:val="19"/>
          <w:b w:val="1"/>
          <w:bCs w:val="1"/>
          <w:i w:val="1"/>
          <w:iCs w:val="1"/>
          <w:color w:val="auto"/>
        </w:rPr>
        <w:t>Commission</w:t>
      </w:r>
      <w:r>
        <w:rPr>
          <w:rFonts w:ascii="Arial" w:cs="Arial" w:eastAsia="Arial" w:hAnsi="Arial"/>
          <w:sz w:val="19"/>
          <w:szCs w:val="19"/>
          <w:color w:val="auto"/>
        </w:rPr>
        <w:t>”) on April 24, 2017 (Registration No. 333–217441) (as amended, the “</w:t>
      </w:r>
      <w:r>
        <w:rPr>
          <w:rFonts w:ascii="Arial" w:cs="Arial" w:eastAsia="Arial" w:hAnsi="Arial"/>
          <w:sz w:val="19"/>
          <w:szCs w:val="19"/>
          <w:b w:val="1"/>
          <w:bCs w:val="1"/>
          <w:i w:val="1"/>
          <w:iCs w:val="1"/>
          <w:color w:val="auto"/>
        </w:rPr>
        <w:t>Registration Statement</w:t>
      </w:r>
      <w:r>
        <w:rPr>
          <w:rFonts w:ascii="Arial" w:cs="Arial" w:eastAsia="Arial" w:hAnsi="Arial"/>
          <w:sz w:val="19"/>
          <w:szCs w:val="19"/>
          <w:color w:val="auto"/>
        </w:rPr>
        <w:t>”), a related base prospectus dated May 4, 2017 (the “</w:t>
      </w:r>
      <w:r>
        <w:rPr>
          <w:rFonts w:ascii="Arial" w:cs="Arial" w:eastAsia="Arial" w:hAnsi="Arial"/>
          <w:sz w:val="19"/>
          <w:szCs w:val="19"/>
          <w:b w:val="1"/>
          <w:bCs w:val="1"/>
          <w:i w:val="1"/>
          <w:iCs w:val="1"/>
          <w:color w:val="auto"/>
        </w:rPr>
        <w:t>Base Prospectus</w:t>
      </w:r>
      <w:r>
        <w:rPr>
          <w:rFonts w:ascii="Arial" w:cs="Arial" w:eastAsia="Arial" w:hAnsi="Arial"/>
          <w:sz w:val="19"/>
          <w:szCs w:val="19"/>
          <w:color w:val="auto"/>
        </w:rPr>
        <w:t>”) and a prospectus supplement dated August 9, 2018 filed with the Commission pursuant to Rule 424(b) under the Act (the “</w:t>
      </w:r>
      <w:r>
        <w:rPr>
          <w:rFonts w:ascii="Arial" w:cs="Arial" w:eastAsia="Arial" w:hAnsi="Arial"/>
          <w:sz w:val="19"/>
          <w:szCs w:val="19"/>
          <w:b w:val="1"/>
          <w:bCs w:val="1"/>
          <w:i w:val="1"/>
          <w:iCs w:val="1"/>
          <w:color w:val="auto"/>
        </w:rPr>
        <w:t>Sales Agreement Prospectus</w:t>
      </w:r>
      <w:r>
        <w:rPr>
          <w:rFonts w:ascii="Arial" w:cs="Arial" w:eastAsia="Arial" w:hAnsi="Arial"/>
          <w:sz w:val="19"/>
          <w:szCs w:val="19"/>
          <w:color w:val="auto"/>
        </w:rPr>
        <w:t>” and, together with the Base Prospectus, the “</w:t>
      </w:r>
      <w:r>
        <w:rPr>
          <w:rFonts w:ascii="Arial" w:cs="Arial" w:eastAsia="Arial" w:hAnsi="Arial"/>
          <w:sz w:val="19"/>
          <w:szCs w:val="19"/>
          <w:b w:val="1"/>
          <w:bCs w:val="1"/>
          <w:i w:val="1"/>
          <w:iCs w:val="1"/>
          <w:color w:val="auto"/>
        </w:rPr>
        <w:t>Prospectus</w:t>
      </w:r>
      <w:r>
        <w:rPr>
          <w:rFonts w:ascii="Arial" w:cs="Arial" w:eastAsia="Arial" w:hAnsi="Arial"/>
          <w:sz w:val="19"/>
          <w:szCs w:val="19"/>
          <w:color w:val="auto"/>
        </w:rPr>
        <w:t>”). This opinion is being furnished in connection with the requirements of Item 601(b)(5) of Regulation S-K under the Act. No opinion is expressed herein as to any matter pertaining to the contents of the Registration Statement or the Prospectus, other than as expressly stated herein with respect to the issue of the Shares.</w:t>
      </w:r>
    </w:p>
    <w:p>
      <w:pPr>
        <w:spacing w:after="0" w:line="116" w:lineRule="exact"/>
        <w:rPr>
          <w:sz w:val="20"/>
          <w:szCs w:val="20"/>
          <w:color w:val="auto"/>
        </w:rPr>
      </w:pPr>
    </w:p>
    <w:p>
      <w:pPr>
        <w:jc w:val="both"/>
        <w:ind w:left="160" w:right="139" w:firstLine="648"/>
        <w:spacing w:after="0" w:line="214" w:lineRule="auto"/>
        <w:rPr>
          <w:sz w:val="20"/>
          <w:szCs w:val="20"/>
          <w:color w:val="auto"/>
        </w:rPr>
      </w:pPr>
      <w:r>
        <w:rPr>
          <w:rFonts w:ascii="Arial" w:cs="Arial" w:eastAsia="Arial" w:hAnsi="Arial"/>
          <w:sz w:val="22"/>
          <w:szCs w:val="22"/>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and we express no opinion with respect to any other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328930</wp:posOffset>
            </wp:positionV>
            <wp:extent cx="554863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ectPr>
          <w:pgSz w:w="11900" w:h="16838" w:orient="portrait"/>
          <w:cols w:equalWidth="0" w:num="1">
            <w:col w:w="9019"/>
          </w:cols>
          <w:pgMar w:left="1440" w:top="431" w:right="1440" w:bottom="1440" w:gutter="0" w:footer="0" w:header="0"/>
          <w:type w:val="continuous"/>
        </w:sectPr>
      </w:pPr>
    </w:p>
    <w:bookmarkStart w:id="48" w:name="page49"/>
    <w:bookmarkEnd w:id="48"/>
    <w:p>
      <w:pPr>
        <w:ind w:left="160"/>
        <w:spacing w:after="0"/>
        <w:rPr>
          <w:sz w:val="20"/>
          <w:szCs w:val="20"/>
          <w:color w:val="auto"/>
        </w:rPr>
      </w:pPr>
      <w:r>
        <w:rPr>
          <w:rFonts w:ascii="Arial" w:cs="Arial" w:eastAsia="Arial" w:hAnsi="Arial"/>
          <w:sz w:val="13"/>
          <w:szCs w:val="13"/>
          <w:b w:val="1"/>
          <w:bCs w:val="1"/>
          <w:color w:val="auto"/>
        </w:rPr>
        <w:t>August 9, 2018</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132080</wp:posOffset>
            </wp:positionV>
            <wp:extent cx="1389380" cy="946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8938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160" w:right="139" w:firstLine="648"/>
        <w:spacing w:after="0" w:line="244" w:lineRule="auto"/>
        <w:rPr>
          <w:sz w:val="20"/>
          <w:szCs w:val="20"/>
          <w:color w:val="auto"/>
        </w:rPr>
      </w:pPr>
      <w:r>
        <w:rPr>
          <w:rFonts w:ascii="Arial" w:cs="Arial" w:eastAsia="Arial" w:hAnsi="Arial"/>
          <w:sz w:val="19"/>
          <w:szCs w:val="19"/>
          <w:color w:val="auto"/>
        </w:rPr>
        <w:t>Subject to the foregoing and the other matters set forth herein, it is our opinion that, as of the date hereof, when (i) the Shares shall have been duly registered on the books of the transfer agent and registrar therefor in the name or on behalf of the purchasers, and (ii) have been issued by the Company against payment therefor in total numbers that do not exceed the total number of shares available under the Company’s certificate of incorporation and in the circumstances contemplated by the Sales Agreement, (a) the issue and sale of the Shares will have been duly authorized by all necessary corporate action of the Company, (b) the Shares will be validly issued, and (c) the Shares will be fully paid and nonassessable. In rendering the foregoing opinion, we have assumed that the Company will comply with all applicable notice requirements regarding uncertificated shares provided in the General Corporation Law of the State of Delaware.</w:t>
      </w:r>
    </w:p>
    <w:p>
      <w:pPr>
        <w:spacing w:after="0" w:line="156" w:lineRule="exact"/>
        <w:rPr>
          <w:sz w:val="20"/>
          <w:szCs w:val="20"/>
          <w:color w:val="auto"/>
        </w:rPr>
      </w:pPr>
    </w:p>
    <w:p>
      <w:pPr>
        <w:jc w:val="both"/>
        <w:ind w:left="160" w:right="139" w:firstLine="648"/>
        <w:spacing w:after="0" w:line="212" w:lineRule="auto"/>
        <w:rPr>
          <w:sz w:val="20"/>
          <w:szCs w:val="20"/>
          <w:color w:val="auto"/>
        </w:rPr>
      </w:pPr>
      <w:r>
        <w:rPr>
          <w:rFonts w:ascii="Arial" w:cs="Arial" w:eastAsia="Arial" w:hAnsi="Arial"/>
          <w:sz w:val="22"/>
          <w:szCs w:val="22"/>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Company’s Form 8-K dated August 9, 2018 and to the reference to our firm in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200" w:lineRule="exact"/>
        <w:rPr>
          <w:sz w:val="20"/>
          <w:szCs w:val="20"/>
          <w:color w:val="auto"/>
        </w:rPr>
      </w:pPr>
    </w:p>
    <w:p>
      <w:pPr>
        <w:spacing w:after="0" w:line="397"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Very truly yours,</w:t>
      </w:r>
    </w:p>
    <w:p>
      <w:pPr>
        <w:spacing w:after="0" w:line="179"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/s/ 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710565</wp:posOffset>
            </wp:positionV>
            <wp:extent cx="554863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sectPr>
      <w:pgSz w:w="11900" w:h="16838" w:orient="portrait"/>
      <w:cols w:equalWidth="0" w:num="1">
        <w:col w:w="9019"/>
      </w:cols>
      <w:pgMar w:left="14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1"/>
      <w:numFmt w:val="lowerLetter"/>
      <w:start w:val="1"/>
    </w:lvl>
    <w:lvl w:ilvl="1">
      <w:lvlJc w:val="left"/>
      <w:lvlText w:val="%2."/>
      <w:numFmt w:val="decimal"/>
      <w:start w:val="1"/>
    </w:lvl>
  </w:abstractNum>
  <w:abstractNum w:abstractNumId="2">
    <w:nsid w:val="1E7FF521"/>
    <w:multiLevelType w:val="hybridMultilevel"/>
    <w:lvl w:ilvl="0">
      <w:lvlJc w:val="left"/>
      <w:lvlText w:val="(%1)"/>
      <w:numFmt w:val="lowerLetter"/>
      <w:start w:val="4"/>
    </w:lvl>
    <w:lvl w:ilvl="1">
      <w:lvlJc w:val="left"/>
      <w:lvlText w:val="%2"/>
      <w:numFmt w:val="decimal"/>
      <w:start w:val="1"/>
    </w:lvl>
  </w:abstractNum>
  <w:abstractNum w:abstractNumId="3">
    <w:nsid w:val="7C3DBD3D"/>
    <w:multiLevelType w:val="hybridMultilevel"/>
    <w:lvl w:ilvl="0">
      <w:lvlJc w:val="left"/>
      <w:lvlText w:val="%1."/>
      <w:numFmt w:val="decimal"/>
      <w:start w:val="2"/>
    </w:lvl>
  </w:abstractNum>
  <w:abstractNum w:abstractNumId="4">
    <w:nsid w:val="737B8DDC"/>
    <w:multiLevelType w:val="hybridMultilevel"/>
    <w:lvl w:ilvl="0">
      <w:lvlJc w:val="left"/>
      <w:lvlText w:val="%1."/>
      <w:numFmt w:val="decimal"/>
      <w:start w:val="3"/>
    </w:lvl>
    <w:lvl w:ilvl="1">
      <w:lvlJc w:val="left"/>
      <w:lvlText w:val="(%2)"/>
      <w:numFmt w:val="lowerLetter"/>
      <w:start w:val="1"/>
    </w:lvl>
  </w:abstractNum>
  <w:abstractNum w:abstractNumId="5">
    <w:nsid w:val="6CEAF087"/>
    <w:multiLevelType w:val="hybridMultilevel"/>
    <w:lvl w:ilvl="0">
      <w:lvlJc w:val="left"/>
      <w:lvlText w:val="%1"/>
      <w:numFmt w:val="decimal"/>
      <w:start w:val="1"/>
    </w:lvl>
    <w:lvl w:ilvl="1">
      <w:lvlJc w:val="left"/>
      <w:lvlText w:val="(%2)"/>
      <w:numFmt w:val="lowerLetter"/>
      <w:start w:val="2"/>
    </w:lvl>
  </w:abstractNum>
  <w:abstractNum w:abstractNumId="6">
    <w:nsid w:val="22221A70"/>
    <w:multiLevelType w:val="hybridMultilevel"/>
    <w:lvl w:ilvl="0">
      <w:lvlJc w:val="left"/>
      <w:lvlText w:val="%1."/>
      <w:numFmt w:val="decimal"/>
      <w:start w:val="5"/>
    </w:lvl>
    <w:lvl w:ilvl="1">
      <w:lvlJc w:val="left"/>
      <w:lvlText w:val="(%2)"/>
      <w:numFmt w:val="lowerLetter"/>
      <w:start w:val="1"/>
    </w:lvl>
  </w:abstractNum>
  <w:abstractNum w:abstractNumId="7">
    <w:nsid w:val="4516DDE9"/>
    <w:multiLevelType w:val="hybridMultilevel"/>
    <w:lvl w:ilvl="0">
      <w:lvlJc w:val="left"/>
      <w:lvlText w:val="%1"/>
      <w:numFmt w:val="decimal"/>
      <w:start w:val="1"/>
    </w:lvl>
    <w:lvl w:ilvl="1">
      <w:lvlJc w:val="left"/>
      <w:lvlText w:val="(%2)"/>
      <w:numFmt w:val="lowerLetter"/>
      <w:start w:val="4"/>
    </w:lvl>
  </w:abstractNum>
  <w:abstractNum w:abstractNumId="8">
    <w:nsid w:val="3006C83E"/>
    <w:multiLevelType w:val="hybridMultilevel"/>
    <w:lvl w:ilvl="0">
      <w:lvlJc w:val="left"/>
      <w:lvlText w:val="%1."/>
      <w:numFmt w:val="decimal"/>
      <w:start w:val="6"/>
    </w:lvl>
    <w:lvl w:ilvl="1">
      <w:lvlJc w:val="left"/>
      <w:lvlText w:val="(%2)"/>
      <w:numFmt w:val="lowerLetter"/>
      <w:start w:val="1"/>
    </w:lvl>
  </w:abstractNum>
  <w:abstractNum w:abstractNumId="9">
    <w:nsid w:val="614FD4A1"/>
    <w:multiLevelType w:val="hybridMultilevel"/>
    <w:lvl w:ilvl="0">
      <w:lvlJc w:val="left"/>
      <w:lvlText w:val="(%1)"/>
      <w:numFmt w:val="lowerLetter"/>
      <w:start w:val="2"/>
    </w:lvl>
  </w:abstractNum>
  <w:abstractNum w:abstractNumId="10">
    <w:nsid w:val="419AC241"/>
    <w:multiLevelType w:val="hybridMultilevel"/>
    <w:lvl w:ilvl="0">
      <w:lvlJc w:val="left"/>
      <w:lvlText w:val="(%1)"/>
      <w:numFmt w:val="lowerLetter"/>
      <w:start w:val="4"/>
    </w:lvl>
  </w:abstractNum>
  <w:abstractNum w:abstractNumId="11">
    <w:nsid w:val="5577F8E1"/>
    <w:multiLevelType w:val="hybridMultilevel"/>
    <w:lvl w:ilvl="0">
      <w:lvlJc w:val="left"/>
      <w:lvlText w:val="(%1)"/>
      <w:numFmt w:val="lowerLetter"/>
      <w:start w:val="7"/>
    </w:lvl>
  </w:abstractNum>
  <w:abstractNum w:abstractNumId="12">
    <w:nsid w:val="440BADFC"/>
    <w:multiLevelType w:val="hybridMultilevel"/>
    <w:lvl w:ilvl="0">
      <w:lvlJc w:val="left"/>
      <w:lvlText w:val="%1"/>
      <w:numFmt w:val="lowerLetter"/>
      <w:start w:val="1"/>
    </w:lvl>
    <w:lvl w:ilvl="1">
      <w:lvlJc w:val="left"/>
      <w:lvlText w:val="(%2)"/>
      <w:numFmt w:val="lowerLetter"/>
      <w:start w:val="8"/>
    </w:lvl>
  </w:abstractNum>
  <w:abstractNum w:abstractNumId="13">
    <w:nsid w:val="5072367"/>
    <w:multiLevelType w:val="hybridMultilevel"/>
    <w:lvl w:ilvl="0">
      <w:lvlJc w:val="left"/>
      <w:lvlText w:val="(%1)"/>
      <w:numFmt w:val="lowerLetter"/>
      <w:start w:val="2"/>
    </w:lvl>
    <w:lvl w:ilvl="1">
      <w:lvlJc w:val="left"/>
      <w:lvlText w:val="(%2)"/>
      <w:numFmt w:val="lowerLetter"/>
      <w:start w:val="10"/>
    </w:lvl>
  </w:abstractNum>
  <w:abstractNum w:abstractNumId="14">
    <w:nsid w:val="3804823E"/>
    <w:multiLevelType w:val="hybridMultilevel"/>
    <w:lvl w:ilvl="0">
      <w:lvlJc w:val="left"/>
      <w:lvlText w:val="%1"/>
      <w:numFmt w:val="lowerLetter"/>
      <w:start w:val="1"/>
    </w:lvl>
    <w:lvl w:ilvl="1">
      <w:lvlJc w:val="left"/>
      <w:lvlText w:val="(%2)"/>
      <w:numFmt w:val="lowerLetter"/>
      <w:start w:val="11"/>
    </w:lvl>
  </w:abstractNum>
  <w:abstractNum w:abstractNumId="15">
    <w:nsid w:val="77465F01"/>
    <w:multiLevelType w:val="hybridMultilevel"/>
    <w:lvl w:ilvl="0">
      <w:lvlJc w:val="left"/>
      <w:lvlText w:val="(%1)"/>
      <w:numFmt w:val="lowerLetter"/>
      <w:start w:val="9"/>
    </w:lvl>
    <w:lvl w:ilvl="1">
      <w:lvlJc w:val="left"/>
      <w:lvlText w:val="%2"/>
      <w:numFmt w:val="lowerLetter"/>
      <w:start w:val="1"/>
    </w:lvl>
  </w:abstractNum>
  <w:abstractNum w:abstractNumId="16">
    <w:nsid w:val="7724C67E"/>
    <w:multiLevelType w:val="hybridMultilevel"/>
    <w:lvl w:ilvl="0">
      <w:lvlJc w:val="left"/>
      <w:lvlText w:val="(%1)"/>
      <w:numFmt w:val="lowerLetter"/>
      <w:start w:val="15"/>
    </w:lvl>
  </w:abstractNum>
  <w:abstractNum w:abstractNumId="17">
    <w:nsid w:val="5C482A97"/>
    <w:multiLevelType w:val="hybridMultilevel"/>
    <w:lvl w:ilvl="0">
      <w:lvlJc w:val="left"/>
      <w:lvlText w:val="%1"/>
      <w:numFmt w:val="lowerRoman"/>
      <w:start w:val="1"/>
    </w:lvl>
    <w:lvl w:ilvl="1">
      <w:lvlJc w:val="left"/>
      <w:lvlText w:val="(%2)"/>
      <w:numFmt w:val="lowerLetter"/>
      <w:start w:val="19"/>
    </w:lvl>
  </w:abstractNum>
  <w:abstractNum w:abstractNumId="18">
    <w:nsid w:val="2463B9EA"/>
    <w:multiLevelType w:val="hybridMultilevel"/>
    <w:lvl w:ilvl="0">
      <w:lvlJc w:val="left"/>
      <w:lvlText w:val="(%1)"/>
      <w:numFmt w:val="lowerRoman"/>
      <w:start w:val="2"/>
    </w:lvl>
    <w:lvl w:ilvl="1">
      <w:lvlJc w:val="left"/>
      <w:lvlText w:val="%2"/>
      <w:numFmt w:val="lowerLetter"/>
      <w:start w:val="1"/>
    </w:lvl>
  </w:abstractNum>
  <w:abstractNum w:abstractNumId="19">
    <w:nsid w:val="5E884ADC"/>
    <w:multiLevelType w:val="hybridMultilevel"/>
    <w:lvl w:ilvl="0">
      <w:lvlJc w:val="left"/>
      <w:lvlText w:val="(%1)"/>
      <w:numFmt w:val="lowerRoman"/>
      <w:start w:val="7"/>
    </w:lvl>
    <w:lvl w:ilvl="1">
      <w:lvlJc w:val="left"/>
      <w:lvlText w:val="(%2)"/>
      <w:numFmt w:val="lowerLetter"/>
      <w:start w:val="20"/>
    </w:lvl>
  </w:abstractNum>
  <w:abstractNum w:abstractNumId="20">
    <w:nsid w:val="51EAD36B"/>
    <w:multiLevelType w:val="hybridMultilevel"/>
    <w:lvl w:ilvl="0">
      <w:lvlJc w:val="left"/>
      <w:lvlText w:val="(%1)"/>
      <w:numFmt w:val="lowerLetter"/>
      <w:start w:val="23"/>
    </w:lvl>
  </w:abstractNum>
  <w:abstractNum w:abstractNumId="21">
    <w:nsid w:val="2D517796"/>
    <w:multiLevelType w:val="hybridMultilevel"/>
    <w:lvl w:ilvl="0">
      <w:lvlJc w:val="left"/>
      <w:lvlText w:val="(%1)"/>
      <w:numFmt w:val="lowerLetter"/>
      <w:start w:val="27"/>
    </w:lvl>
  </w:abstractNum>
  <w:abstractNum w:abstractNumId="22">
    <w:nsid w:val="580BD78F"/>
    <w:multiLevelType w:val="hybridMultilevel"/>
    <w:lvl w:ilvl="0">
      <w:lvlJc w:val="left"/>
      <w:lvlText w:val="(%1)"/>
      <w:numFmt w:val="lowerLetter"/>
      <w:start w:val="29"/>
    </w:lvl>
  </w:abstractNum>
  <w:abstractNum w:abstractNumId="23">
    <w:nsid w:val="153EA438"/>
    <w:multiLevelType w:val="hybridMultilevel"/>
    <w:lvl w:ilvl="0">
      <w:lvlJc w:val="left"/>
      <w:lvlText w:val="(%1)"/>
      <w:numFmt w:val="lowerLetter"/>
      <w:start w:val="31"/>
    </w:lvl>
  </w:abstractNum>
  <w:abstractNum w:abstractNumId="24">
    <w:nsid w:val="3855585C"/>
    <w:multiLevelType w:val="hybridMultilevel"/>
    <w:lvl w:ilvl="0">
      <w:lvlJc w:val="left"/>
      <w:lvlText w:val="%1"/>
      <w:numFmt w:val="lowerLetter"/>
      <w:start w:val="1"/>
    </w:lvl>
    <w:lvl w:ilvl="1">
      <w:lvlJc w:val="left"/>
      <w:lvlText w:val="(%2)"/>
      <w:numFmt w:val="lowerLetter"/>
      <w:start w:val="37"/>
    </w:lvl>
  </w:abstractNum>
  <w:abstractNum w:abstractNumId="25">
    <w:nsid w:val="70A64E2A"/>
    <w:multiLevelType w:val="hybridMultilevel"/>
    <w:lvl w:ilvl="0">
      <w:lvlJc w:val="left"/>
      <w:lvlText w:val="(%1)"/>
      <w:numFmt w:val="lowerLetter"/>
      <w:start w:val="9"/>
    </w:lvl>
    <w:lvl w:ilvl="1">
      <w:lvlJc w:val="left"/>
      <w:lvlText w:val="(%2)"/>
      <w:numFmt w:val="lowerLetter"/>
      <w:start w:val="40"/>
    </w:lvl>
  </w:abstractNum>
  <w:abstractNum w:abstractNumId="26">
    <w:nsid w:val="6A2342EC"/>
    <w:multiLevelType w:val="hybridMultilevel"/>
    <w:lvl w:ilvl="0">
      <w:lvlJc w:val="left"/>
      <w:lvlText w:val="(%1)"/>
      <w:numFmt w:val="lowerLetter"/>
      <w:start w:val="35"/>
    </w:lvl>
    <w:lvl w:ilvl="1">
      <w:lvlJc w:val="left"/>
      <w:lvlText w:val="%2"/>
      <w:numFmt w:val="lowerLetter"/>
      <w:start w:val="1"/>
    </w:lvl>
  </w:abstractNum>
  <w:abstractNum w:abstractNumId="27">
    <w:nsid w:val="2A487CB0"/>
    <w:multiLevelType w:val="hybridMultilevel"/>
    <w:lvl w:ilvl="0">
      <w:lvlJc w:val="left"/>
      <w:lvlText w:val="(%1)"/>
      <w:numFmt w:val="lowerLetter"/>
      <w:start w:val="43"/>
    </w:lvl>
  </w:abstractNum>
  <w:abstractNum w:abstractNumId="28">
    <w:nsid w:val="1D4ED43B"/>
    <w:multiLevelType w:val="hybridMultilevel"/>
    <w:lvl w:ilvl="0">
      <w:lvlJc w:val="left"/>
      <w:lvlText w:val="(%1)"/>
      <w:numFmt w:val="lowerLetter"/>
      <w:start w:val="46"/>
    </w:lvl>
    <w:lvl w:ilvl="1">
      <w:lvlJc w:val="left"/>
      <w:lvlText w:val="(%2)"/>
      <w:numFmt w:val="upperLetter"/>
      <w:start w:val="1"/>
    </w:lvl>
  </w:abstractNum>
  <w:abstractNum w:abstractNumId="29">
    <w:nsid w:val="725A06FB"/>
    <w:multiLevelType w:val="hybridMultilevel"/>
    <w:lvl w:ilvl="0">
      <w:lvlJc w:val="left"/>
      <w:lvlText w:val="(%1)"/>
      <w:numFmt w:val="lowerRoman"/>
      <w:start w:val="2"/>
    </w:lvl>
    <w:lvl w:ilvl="1">
      <w:lvlJc w:val="left"/>
      <w:lvlText w:val="(%2)"/>
      <w:numFmt w:val="upperLetter"/>
      <w:start w:val="1"/>
    </w:lvl>
  </w:abstractNum>
  <w:abstractNum w:abstractNumId="30">
    <w:nsid w:val="2CD89A32"/>
    <w:multiLevelType w:val="hybridMultilevel"/>
    <w:lvl w:ilvl="0">
      <w:lvlJc w:val="left"/>
      <w:lvlText w:val="(%1)"/>
      <w:numFmt w:val="lowerLetter"/>
      <w:start w:val="47"/>
    </w:lvl>
  </w:abstractNum>
  <w:abstractNum w:abstractNumId="31">
    <w:nsid w:val="57E4CCAF"/>
    <w:multiLevelType w:val="hybridMultilevel"/>
    <w:lvl w:ilvl="0">
      <w:lvlJc w:val="left"/>
      <w:lvlText w:val="%1."/>
      <w:numFmt w:val="decimal"/>
      <w:start w:val="7"/>
    </w:lvl>
    <w:lvl w:ilvl="1">
      <w:lvlJc w:val="left"/>
      <w:lvlText w:val="(%2)"/>
      <w:numFmt w:val="lowerLetter"/>
      <w:start w:val="1"/>
    </w:lvl>
  </w:abstractNum>
  <w:abstractNum w:abstractNumId="32">
    <w:nsid w:val="7A6D8D3C"/>
    <w:multiLevelType w:val="hybridMultilevel"/>
    <w:lvl w:ilvl="0">
      <w:lvlJc w:val="left"/>
      <w:lvlText w:val="(%1)"/>
      <w:numFmt w:val="lowerLetter"/>
      <w:start w:val="2"/>
    </w:lvl>
  </w:abstractNum>
  <w:abstractNum w:abstractNumId="33">
    <w:nsid w:val="4B588F54"/>
    <w:multiLevelType w:val="hybridMultilevel"/>
    <w:lvl w:ilvl="0">
      <w:lvlJc w:val="left"/>
      <w:lvlText w:val="(%1)"/>
      <w:numFmt w:val="lowerLetter"/>
      <w:start w:val="3"/>
    </w:lvl>
  </w:abstractNum>
  <w:abstractNum w:abstractNumId="34">
    <w:nsid w:val="542289EC"/>
    <w:multiLevelType w:val="hybridMultilevel"/>
    <w:lvl w:ilvl="0">
      <w:lvlJc w:val="left"/>
      <w:lvlText w:val="%1"/>
      <w:numFmt w:val="lowerLetter"/>
      <w:start w:val="1"/>
    </w:lvl>
    <w:lvl w:ilvl="1">
      <w:lvlJc w:val="left"/>
      <w:lvlText w:val="(%2)"/>
      <w:numFmt w:val="lowerLetter"/>
      <w:start w:val="6"/>
    </w:lvl>
  </w:abstractNum>
  <w:abstractNum w:abstractNumId="35">
    <w:nsid w:val="6DE91B18"/>
    <w:multiLevelType w:val="hybridMultilevel"/>
    <w:lvl w:ilvl="0">
      <w:lvlJc w:val="left"/>
      <w:lvlText w:val="(%1)"/>
      <w:numFmt w:val="lowerLetter"/>
      <w:start w:val="61"/>
    </w:lvl>
    <w:lvl w:ilvl="1">
      <w:lvlJc w:val="left"/>
      <w:lvlText w:val="(%2)"/>
      <w:numFmt w:val="lowerLetter"/>
      <w:start w:val="9"/>
    </w:lvl>
  </w:abstractNum>
  <w:abstractNum w:abstractNumId="36">
    <w:nsid w:val="38437FDB"/>
    <w:multiLevelType w:val="hybridMultilevel"/>
    <w:lvl w:ilvl="0">
      <w:lvlJc w:val="left"/>
      <w:lvlText w:val="(%1)"/>
      <w:numFmt w:val="lowerLetter"/>
      <w:start w:val="10"/>
    </w:lvl>
    <w:lvl w:ilvl="1">
      <w:lvlJc w:val="left"/>
      <w:lvlText w:val="(%2)"/>
      <w:numFmt w:val="lowerRoman"/>
      <w:start w:val="1"/>
    </w:lvl>
  </w:abstractNum>
  <w:abstractNum w:abstractNumId="37">
    <w:nsid w:val="7644A45C"/>
    <w:multiLevelType w:val="hybridMultilevel"/>
    <w:lvl w:ilvl="0">
      <w:lvlJc w:val="left"/>
      <w:lvlText w:val="(%1)"/>
      <w:numFmt w:val="lowerLetter"/>
      <w:start w:val="13"/>
    </w:lvl>
  </w:abstractNum>
  <w:abstractNum w:abstractNumId="38">
    <w:nsid w:val="32FFF902"/>
    <w:multiLevelType w:val="hybridMultilevel"/>
    <w:lvl w:ilvl="0">
      <w:lvlJc w:val="left"/>
      <w:lvlText w:val="(%1)"/>
      <w:numFmt w:val="lowerLetter"/>
      <w:start w:val="16"/>
    </w:lvl>
  </w:abstractNum>
  <w:abstractNum w:abstractNumId="39">
    <w:nsid w:val="684A481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0"/>
    </w:lvl>
  </w:abstractNum>
  <w:abstractNum w:abstractNumId="40">
    <w:nsid w:val="579478FE"/>
    <w:multiLevelType w:val="hybridMultilevel"/>
    <w:lvl w:ilvl="0">
      <w:lvlJc w:val="left"/>
      <w:lvlText w:val="(%1)"/>
      <w:numFmt w:val="lowerLetter"/>
      <w:start w:val="35"/>
    </w:lvl>
    <w:lvl w:ilvl="1">
      <w:lvlJc w:val="left"/>
      <w:lvlText w:val="%2."/>
      <w:numFmt w:val="decimal"/>
      <w:start w:val="7"/>
    </w:lvl>
    <w:lvl w:ilvl="2">
      <w:lvlJc w:val="left"/>
      <w:lvlText w:val="(%3)"/>
      <w:numFmt w:val="lowerLetter"/>
      <w:start w:val="21"/>
    </w:lvl>
  </w:abstractNum>
  <w:abstractNum w:abstractNumId="41">
    <w:nsid w:val="749ABB43"/>
    <w:multiLevelType w:val="hybridMultilevel"/>
    <w:lvl w:ilvl="0">
      <w:lvlJc w:val="left"/>
      <w:lvlText w:val="(%1)"/>
      <w:numFmt w:val="lowerRoman"/>
      <w:start w:val="6"/>
    </w:lvl>
    <w:lvl w:ilvl="1">
      <w:lvlJc w:val="left"/>
      <w:lvlText w:val="%2."/>
      <w:numFmt w:val="decimal"/>
      <w:start w:val="9"/>
    </w:lvl>
    <w:lvl w:ilvl="2">
      <w:lvlJc w:val="left"/>
      <w:lvlText w:val="(%3)"/>
      <w:numFmt w:val="lowerLetter"/>
      <w:start w:val="1"/>
    </w:lvl>
  </w:abstractNum>
  <w:abstractNum w:abstractNumId="42">
    <w:nsid w:val="3DC240FB"/>
    <w:multiLevelType w:val="hybridMultilevel"/>
    <w:lvl w:ilvl="0">
      <w:lvlJc w:val="left"/>
      <w:lvlText w:val="%1"/>
      <w:numFmt w:val="lowerLetter"/>
      <w:start w:val="1"/>
    </w:lvl>
    <w:lvl w:ilvl="1">
      <w:lvlJc w:val="left"/>
      <w:lvlText w:val="(%2)"/>
      <w:numFmt w:val="lowerLetter"/>
      <w:start w:val="2"/>
    </w:lvl>
  </w:abstractNum>
  <w:abstractNum w:abstractNumId="43">
    <w:nsid w:val="1BA026FA"/>
    <w:multiLevelType w:val="hybridMultilevel"/>
    <w:lvl w:ilvl="0">
      <w:lvlJc w:val="left"/>
      <w:lvlText w:val="(%1)"/>
      <w:numFmt w:val="lowerLetter"/>
      <w:start w:val="9"/>
    </w:lvl>
    <w:lvl w:ilvl="1">
      <w:lvlJc w:val="left"/>
      <w:lvlText w:val="(%2)"/>
      <w:numFmt w:val="lowerLetter"/>
      <w:start w:val="3"/>
    </w:lvl>
  </w:abstractNum>
  <w:abstractNum w:abstractNumId="44">
    <w:nsid w:val="79A1DEAA"/>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45">
    <w:nsid w:val="75C6C33A"/>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9"/>
    </w:lvl>
  </w:abstractNum>
  <w:abstractNum w:abstractNumId="46">
    <w:nsid w:val="12E685FB"/>
    <w:multiLevelType w:val="hybridMultilevel"/>
    <w:lvl w:ilvl="0">
      <w:lvlJc w:val="left"/>
      <w:lvlText w:val="(%1)"/>
      <w:numFmt w:val="lowerRoman"/>
      <w:start w:val="2"/>
    </w:lvl>
  </w:abstractNum>
  <w:abstractNum w:abstractNumId="47">
    <w:nsid w:val="70C6A529"/>
    <w:multiLevelType w:val="hybridMultilevel"/>
    <w:lvl w:ilvl="0">
      <w:lvlJc w:val="left"/>
      <w:lvlText w:val="(%1)"/>
      <w:numFmt w:val="lowerLetter"/>
      <w:start w:val="2"/>
    </w:lvl>
  </w:abstractNum>
  <w:abstractNum w:abstractNumId="48">
    <w:nsid w:val="520EEDD1"/>
    <w:multiLevelType w:val="hybridMultilevel"/>
    <w:lvl w:ilvl="0">
      <w:lvlJc w:val="left"/>
      <w:lvlText w:val="(%1)"/>
      <w:numFmt w:val="decimal"/>
      <w:start w:val="3"/>
    </w:lvl>
    <w:lvl w:ilvl="1">
      <w:lvlJc w:val="left"/>
      <w:lvlText w:val="%2"/>
      <w:numFmt w:val="lowerLetter"/>
      <w:start w:val="1"/>
    </w:lvl>
  </w:abstractNum>
  <w:abstractNum w:abstractNumId="49">
    <w:nsid w:val="374A3FE6"/>
    <w:multiLevelType w:val="hybridMultilevel"/>
    <w:lvl w:ilvl="0">
      <w:lvlJc w:val="left"/>
      <w:lvlText w:val="(%1)"/>
      <w:numFmt w:val="decimal"/>
      <w:start w:val="1"/>
    </w:lvl>
    <w:lvl w:ilvl="1">
      <w:lvlJc w:val="left"/>
      <w:lvlText w:val="(%2)"/>
      <w:numFmt w:val="lowerLetter"/>
      <w:start w:val="4"/>
    </w:lvl>
  </w:abstractNum>
  <w:abstractNum w:abstractNumId="50">
    <w:nsid w:val="4F4EF005"/>
    <w:multiLevelType w:val="hybridMultilevel"/>
    <w:lvl w:ilvl="0">
      <w:lvlJc w:val="left"/>
      <w:lvlText w:val="(%1)"/>
      <w:numFmt w:val="lowerLetter"/>
      <w:start w:val="5"/>
    </w:lvl>
  </w:abstractNum>
  <w:abstractNum w:abstractNumId="51">
    <w:nsid w:val="23F9C13C"/>
    <w:multiLevelType w:val="hybridMultilevel"/>
    <w:lvl w:ilvl="0">
      <w:lvlJc w:val="left"/>
      <w:lvlText w:val="%1."/>
      <w:numFmt w:val="decimal"/>
      <w:start w:val="12"/>
    </w:lvl>
    <w:lvl w:ilvl="1">
      <w:lvlJc w:val="left"/>
      <w:lvlText w:val="(%2)"/>
      <w:numFmt w:val="lowerLetter"/>
      <w:start w:val="1"/>
    </w:lvl>
  </w:abstractNum>
  <w:abstractNum w:abstractNumId="52">
    <w:nsid w:val="649BB77C"/>
    <w:multiLevelType w:val="hybridMultilevel"/>
    <w:lvl w:ilvl="0">
      <w:lvlJc w:val="left"/>
      <w:lvlText w:val="(%1)"/>
      <w:numFmt w:val="lowerLetter"/>
      <w:start w:val="2"/>
    </w:lvl>
  </w:abstractNum>
  <w:abstractNum w:abstractNumId="53">
    <w:nsid w:val="275AC794"/>
    <w:multiLevelType w:val="hybridMultilevel"/>
    <w:lvl w:ilvl="0">
      <w:lvlJc w:val="left"/>
      <w:lvlText w:val="%1."/>
      <w:numFmt w:val="decimal"/>
      <w:start w:val="14"/>
    </w:lvl>
  </w:abstractNum>
  <w:abstractNum w:abstractNumId="54">
    <w:nsid w:val="39386575"/>
    <w:multiLevelType w:val="hybridMultilevel"/>
    <w:lvl w:ilvl="0">
      <w:lvlJc w:val="left"/>
      <w:lvlText w:val="%1."/>
      <w:numFmt w:val="decimal"/>
      <w:start w:val="15"/>
    </w:lvl>
  </w:abstractNum>
  <w:abstractNum w:abstractNumId="55">
    <w:nsid w:val="1CF10FD8"/>
    <w:multiLevelType w:val="hybridMultilevel"/>
    <w:lvl w:ilvl="0">
      <w:lvlJc w:val="left"/>
      <w:lvlText w:val="%1."/>
      <w:numFmt w:val="decimal"/>
      <w:start w:val="19"/>
    </w:lvl>
  </w:abstractNum>
  <w:abstractNum w:abstractNumId="56">
    <w:nsid w:val="180115BE"/>
    <w:multiLevelType w:val="hybridMultilevel"/>
    <w:lvl w:ilvl="0">
      <w:lvlJc w:val="left"/>
      <w:lvlText w:val="%1."/>
      <w:numFmt w:val="decimal"/>
      <w:start w:val="23"/>
    </w:lvl>
    <w:lvl w:ilvl="1">
      <w:lvlJc w:val="left"/>
      <w:lvlText w:val="(%2)"/>
      <w:numFmt w:val="lowerLetter"/>
      <w:start w:val="1"/>
    </w:lvl>
  </w:abstractNum>
  <w:abstractNum w:abstractNumId="57">
    <w:nsid w:val="235BA861"/>
    <w:multiLevelType w:val="hybridMultilevel"/>
    <w:lvl w:ilvl="0">
      <w:lvlJc w:val="left"/>
      <w:lvlText w:val="%1."/>
      <w:numFmt w:val="decimal"/>
      <w:start w:val="2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2019-12-28T19:47:59Z</dcterms:created>
  <dcterms:modified xsi:type="dcterms:W3CDTF">2019-12-28T19:47:59Z</dcterms:modified>
</cp:coreProperties>
</file>