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039697107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Rule 13d-1(b)</w:t>
      </w:r>
    </w:p>
    <w:p>
      <w:pPr>
        <w:spacing w:after="0" w:line="38" w:lineRule="exact"/>
        <w:rPr>
          <w:sz w:val="24"/>
          <w:szCs w:val="24"/>
          <w:color w:val="auto"/>
        </w:rPr>
      </w:pPr>
    </w:p>
    <w:p>
      <w:pPr>
        <w:jc w:val="both"/>
        <w:ind w:left="660" w:right="9520" w:hanging="4"/>
        <w:spacing w:after="0" w:line="305"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Arial" w:cs="Arial" w:eastAsia="Arial" w:hAnsi="Arial"/>
          <w:sz w:val="19"/>
          <w:szCs w:val="19"/>
          <w:color w:val="auto"/>
        </w:rPr>
        <w:t xml:space="preserve">o </w:t>
      </w:r>
      <w:r>
        <w:rPr>
          <w:rFonts w:ascii="Arial" w:cs="Arial" w:eastAsia="Arial" w:hAnsi="Arial"/>
          <w:sz w:val="16"/>
          <w:szCs w:val="16"/>
          <w:color w:val="auto"/>
        </w:rPr>
        <w:t>Rule 13d-1(d)</w:t>
      </w:r>
    </w:p>
    <w:p>
      <w:pPr>
        <w:spacing w:after="0" w:line="37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039697107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2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4"/>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Rock Springs Capital Management LP</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4,990,187</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800" w:type="dxa"/>
            <w:vAlign w:val="bottom"/>
            <w:tcBorders>
              <w:bottom w:val="single" w:sz="8" w:color="auto"/>
            </w:tcBorders>
            <w:gridSpan w:val="2"/>
            <w:vMerge w:val="continue"/>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4,990,187</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4,990,187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6.01%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00" w:type="dxa"/>
            <w:vAlign w:val="bottom"/>
            <w:tcBorders>
              <w:right w:val="single" w:sz="8" w:color="808080"/>
            </w:tcBorders>
            <w:shd w:val="clear" w:color="auto" w:fill="808080"/>
          </w:tcPr>
          <w:p>
            <w:pPr>
              <w:spacing w:after="0"/>
              <w:rPr>
                <w:sz w:val="6"/>
                <w:szCs w:val="6"/>
                <w:color w:val="auto"/>
              </w:rPr>
            </w:pPr>
          </w:p>
        </w:tc>
        <w:tc>
          <w:tcPr>
            <w:tcW w:w="142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80" w:type="dxa"/>
            <w:vAlign w:val="bottom"/>
            <w:tcBorders>
              <w:right w:val="single" w:sz="8" w:color="808080"/>
            </w:tcBorders>
            <w:shd w:val="clear" w:color="auto" w:fill="808080"/>
          </w:tcPr>
          <w:p>
            <w:pPr>
              <w:spacing w:after="0"/>
              <w:rPr>
                <w:sz w:val="6"/>
                <w:szCs w:val="6"/>
                <w:color w:val="auto"/>
              </w:rPr>
            </w:pPr>
          </w:p>
        </w:tc>
        <w:tc>
          <w:tcPr>
            <w:tcW w:w="342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039697107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2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4"/>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Rock Springs Capital LLC</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4,990,187</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800" w:type="dxa"/>
            <w:vAlign w:val="bottom"/>
            <w:tcBorders>
              <w:bottom w:val="single" w:sz="8" w:color="auto"/>
            </w:tcBorders>
            <w:gridSpan w:val="2"/>
            <w:vMerge w:val="continue"/>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4,990,187</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4,990,187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6.01%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OO;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00" w:type="dxa"/>
            <w:vAlign w:val="bottom"/>
            <w:tcBorders>
              <w:right w:val="single" w:sz="8" w:color="808080"/>
            </w:tcBorders>
            <w:shd w:val="clear" w:color="auto" w:fill="808080"/>
          </w:tcPr>
          <w:p>
            <w:pPr>
              <w:spacing w:after="0"/>
              <w:rPr>
                <w:sz w:val="6"/>
                <w:szCs w:val="6"/>
                <w:color w:val="auto"/>
              </w:rPr>
            </w:pPr>
          </w:p>
        </w:tc>
        <w:tc>
          <w:tcPr>
            <w:tcW w:w="142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80" w:type="dxa"/>
            <w:vAlign w:val="bottom"/>
            <w:tcBorders>
              <w:right w:val="single" w:sz="8" w:color="808080"/>
            </w:tcBorders>
            <w:shd w:val="clear" w:color="auto" w:fill="808080"/>
          </w:tcPr>
          <w:p>
            <w:pPr>
              <w:spacing w:after="0"/>
              <w:rPr>
                <w:sz w:val="6"/>
                <w:szCs w:val="6"/>
                <w:color w:val="auto"/>
              </w:rPr>
            </w:pPr>
          </w:p>
        </w:tc>
        <w:tc>
          <w:tcPr>
            <w:tcW w:w="342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039697107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2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4"/>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Rock Springs Capital Master Fund LP</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4,990,187</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800" w:type="dxa"/>
            <w:vAlign w:val="bottom"/>
            <w:tcBorders>
              <w:bottom w:val="single" w:sz="8" w:color="auto"/>
            </w:tcBorders>
            <w:gridSpan w:val="2"/>
            <w:vMerge w:val="continue"/>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4,990,187</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4,990,187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6.01%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PN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4" w:name="page5"/>
    <w:bookmarkEnd w:id="4"/>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5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Ardelyx, Inc. (the “Issuer”)</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34175 Ardenwood Blvd., Suite 200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Fremont, CA 94555</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 Rock Springs Capital Management LP (“RSCM”);</w:t>
      </w:r>
    </w:p>
    <w:p>
      <w:pPr>
        <w:spacing w:after="0" w:line="23" w:lineRule="exact"/>
        <w:rPr>
          <w:sz w:val="20"/>
          <w:szCs w:val="20"/>
          <w:color w:val="auto"/>
        </w:rPr>
      </w:pPr>
    </w:p>
    <w:p>
      <w:pPr>
        <w:ind w:left="1000" w:hanging="20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Rock Springs Capital LLC (“RSC”); and</w:t>
      </w:r>
    </w:p>
    <w:p>
      <w:pPr>
        <w:spacing w:after="0" w:line="9" w:lineRule="exact"/>
        <w:rPr>
          <w:rFonts w:ascii="Arial" w:cs="Arial" w:eastAsia="Arial" w:hAnsi="Arial"/>
          <w:sz w:val="18"/>
          <w:szCs w:val="18"/>
          <w:color w:val="auto"/>
        </w:rPr>
      </w:pPr>
    </w:p>
    <w:p>
      <w:pPr>
        <w:ind w:left="1040" w:hanging="240"/>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Rock Springs Capital Master Fund LP (“Master Fund”).</w:t>
      </w:r>
    </w:p>
    <w:p>
      <w:pPr>
        <w:spacing w:after="0" w:line="103" w:lineRule="exact"/>
        <w:rPr>
          <w:sz w:val="20"/>
          <w:szCs w:val="20"/>
          <w:color w:val="auto"/>
        </w:rPr>
      </w:pPr>
    </w:p>
    <w:p>
      <w:pPr>
        <w:jc w:val="both"/>
        <w:ind w:left="400" w:firstLine="396"/>
        <w:spacing w:after="0" w:line="264" w:lineRule="auto"/>
        <w:rPr>
          <w:sz w:val="20"/>
          <w:szCs w:val="20"/>
          <w:color w:val="auto"/>
        </w:rPr>
      </w:pPr>
      <w:r>
        <w:rPr>
          <w:rFonts w:ascii="Arial" w:cs="Arial" w:eastAsia="Arial" w:hAnsi="Arial"/>
          <w:sz w:val="18"/>
          <w:szCs w:val="18"/>
          <w:color w:val="auto"/>
        </w:rPr>
        <w:t>This Statement relates to Shares (as defined herein) held directly by the Master Fund, which is a Cayman Islands exempted limited partnership, and indirectly held by RSCM, a Delaware limited partnership, and RSC, a Delaware limited liability company. RSCM serves as the investment manager to the Master Fund. RSC is the general partner of RSCM.</w:t>
      </w:r>
    </w:p>
    <w:p>
      <w:pPr>
        <w:spacing w:after="0" w:line="6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Rock Springs Capital Management LP and Rock Springs Capital LLC</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650 South Exeter, Suite 1070</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Baltimore, MD 21202</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Rock Springs Capital Master Fund LP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 Walkers Corporate Limited</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Cayman Corporate Centre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27 Hospital Road</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George Town, Grand Cayman, KY1-9008, Cayman Islands</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Management LP - Delaware</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LLC - Delaware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Master Fund LP - Cayman Islands</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par value, $0.0001 per share (the “Shares”)</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039697107</w:t>
      </w:r>
    </w:p>
    <w:p>
      <w:pPr>
        <w:sectPr>
          <w:pgSz w:w="11900" w:h="16838" w:orient="portrait"/>
          <w:cols w:equalWidth="0" w:num="1">
            <w:col w:w="11420"/>
          </w:cols>
          <w:pgMar w:left="240" w:top="690" w:right="2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6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5" w:lineRule="exact"/>
        <w:rPr>
          <w:sz w:val="20"/>
          <w:szCs w:val="20"/>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An investment adviser in accordance with §240.13d-1(b)(1)(ii)(E);</w:t>
      </w:r>
    </w:p>
    <w:p>
      <w:pPr>
        <w:spacing w:after="0" w:line="104"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1"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-24765</wp:posOffset>
            </wp:positionV>
            <wp:extent cx="800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7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jc w:val="both"/>
        <w:ind w:firstLine="792"/>
        <w:spacing w:after="0" w:line="279" w:lineRule="auto"/>
        <w:rPr>
          <w:sz w:val="20"/>
          <w:szCs w:val="20"/>
          <w:color w:val="auto"/>
        </w:rPr>
      </w:pPr>
      <w:r>
        <w:rPr>
          <w:rFonts w:ascii="Arial" w:cs="Arial" w:eastAsia="Arial" w:hAnsi="Arial"/>
          <w:sz w:val="17"/>
          <w:szCs w:val="17"/>
          <w:color w:val="auto"/>
        </w:rPr>
        <w:t>As of the date of this filing, the Reporting Persons may be deemed beneficial owners of 4,990,187 shares of Common Stock. The Reporting Persons hold 4,850,000 shares of Common Stock and 140,187 warrants to purchase Common Stock. The percent of class is based on a total of 83,023,267 shares of Common Stock outstanding, which is the sum of: (i) 82,883,080 shares outstanding as reported in the Issuer’s offering prospectus dated December 5, 2019; and (ii) 140,187 shares of Common Stock that the Reporting Persons have the right to acquire upon exercise of the warrants.</w:t>
      </w:r>
    </w:p>
    <w:p>
      <w:pPr>
        <w:spacing w:after="0" w:line="5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 Amount beneficially owned:</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Management LP: 4,990,187</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LLC: 4,990,187</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Master Fund LP: 4,990,187</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 Percent of class:</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Management LP: 6.01%</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LLC: 6.01%</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Master Fund LP: 6.01%</w:t>
      </w:r>
    </w:p>
    <w:p>
      <w:pPr>
        <w:spacing w:after="0" w:line="207" w:lineRule="exact"/>
        <w:rPr>
          <w:sz w:val="20"/>
          <w:szCs w:val="20"/>
          <w:color w:val="auto"/>
        </w:rPr>
      </w:pPr>
    </w:p>
    <w:p>
      <w:pPr>
        <w:ind w:left="1040" w:hanging="240"/>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225" w:lineRule="exact"/>
        <w:rPr>
          <w:rFonts w:ascii="Arial" w:cs="Arial" w:eastAsia="Arial" w:hAnsi="Arial"/>
          <w:sz w:val="18"/>
          <w:szCs w:val="18"/>
          <w:b w:val="1"/>
          <w:bCs w:val="1"/>
          <w:color w:val="auto"/>
        </w:rPr>
      </w:pPr>
    </w:p>
    <w:p>
      <w:pPr>
        <w:ind w:left="1800" w:right="6600" w:hanging="207"/>
        <w:spacing w:after="0" w:line="289" w:lineRule="auto"/>
        <w:tabs>
          <w:tab w:leader="none" w:pos="181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vote or to direct the vote: </w:t>
      </w:r>
      <w:r>
        <w:rPr>
          <w:rFonts w:ascii="Arial" w:cs="Arial" w:eastAsia="Arial" w:hAnsi="Arial"/>
          <w:sz w:val="16"/>
          <w:szCs w:val="16"/>
          <w:color w:val="auto"/>
        </w:rPr>
        <w:t>Rock Springs Capital Management LP: 0 Rock Springs Capital LLC: 0</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0</w:t>
      </w:r>
    </w:p>
    <w:p>
      <w:pPr>
        <w:spacing w:after="0" w:line="206" w:lineRule="exact"/>
        <w:rPr>
          <w:rFonts w:ascii="Arial" w:cs="Arial" w:eastAsia="Arial" w:hAnsi="Arial"/>
          <w:sz w:val="16"/>
          <w:szCs w:val="16"/>
          <w:b w:val="1"/>
          <w:bCs w:val="1"/>
          <w:color w:val="auto"/>
        </w:rPr>
      </w:pPr>
    </w:p>
    <w:p>
      <w:pPr>
        <w:ind w:left="1800" w:right="6040" w:hanging="207"/>
        <w:spacing w:after="0" w:line="289" w:lineRule="auto"/>
        <w:tabs>
          <w:tab w:leader="none" w:pos="186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vote or to direct the vote: </w:t>
      </w:r>
      <w:r>
        <w:rPr>
          <w:rFonts w:ascii="Arial" w:cs="Arial" w:eastAsia="Arial" w:hAnsi="Arial"/>
          <w:sz w:val="16"/>
          <w:szCs w:val="16"/>
          <w:color w:val="auto"/>
        </w:rPr>
        <w:t>Rock Springs Capital Management LP: 4,990,187 Rock Springs Capital LLC: 4,990,187</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4,990,187</w:t>
      </w:r>
    </w:p>
    <w:p>
      <w:pPr>
        <w:spacing w:after="0" w:line="206" w:lineRule="exact"/>
        <w:rPr>
          <w:rFonts w:ascii="Arial" w:cs="Arial" w:eastAsia="Arial" w:hAnsi="Arial"/>
          <w:sz w:val="16"/>
          <w:szCs w:val="16"/>
          <w:b w:val="1"/>
          <w:bCs w:val="1"/>
          <w:color w:val="auto"/>
        </w:rPr>
      </w:pPr>
    </w:p>
    <w:p>
      <w:pPr>
        <w:ind w:left="1800" w:right="5560" w:hanging="207"/>
        <w:spacing w:after="0" w:line="293" w:lineRule="auto"/>
        <w:tabs>
          <w:tab w:leader="none" w:pos="191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dispose or to direct the disposition of: </w:t>
      </w:r>
      <w:r>
        <w:rPr>
          <w:rFonts w:ascii="Arial" w:cs="Arial" w:eastAsia="Arial" w:hAnsi="Arial"/>
          <w:sz w:val="16"/>
          <w:szCs w:val="16"/>
          <w:color w:val="auto"/>
        </w:rPr>
        <w:t>Rock Springs Capital Management LP: 0</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LLC: 0</w:t>
      </w:r>
    </w:p>
    <w:p>
      <w:pPr>
        <w:spacing w:after="0" w:line="9"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0</w:t>
      </w:r>
    </w:p>
    <w:p>
      <w:pPr>
        <w:spacing w:after="0" w:line="206" w:lineRule="exact"/>
        <w:rPr>
          <w:rFonts w:ascii="Arial" w:cs="Arial" w:eastAsia="Arial" w:hAnsi="Arial"/>
          <w:sz w:val="16"/>
          <w:szCs w:val="16"/>
          <w:b w:val="1"/>
          <w:bCs w:val="1"/>
          <w:color w:val="auto"/>
        </w:rPr>
      </w:pPr>
    </w:p>
    <w:p>
      <w:pPr>
        <w:ind w:left="1800" w:right="5340" w:hanging="207"/>
        <w:spacing w:after="0" w:line="293" w:lineRule="auto"/>
        <w:tabs>
          <w:tab w:leader="none" w:pos="190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dispose or to direct the disposition of: </w:t>
      </w:r>
      <w:r>
        <w:rPr>
          <w:rFonts w:ascii="Arial" w:cs="Arial" w:eastAsia="Arial" w:hAnsi="Arial"/>
          <w:sz w:val="16"/>
          <w:szCs w:val="16"/>
          <w:color w:val="auto"/>
        </w:rPr>
        <w:t>Rock Springs Capital Management LP: 4,990,187</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LLC: 4,990,187</w:t>
      </w:r>
    </w:p>
    <w:p>
      <w:pPr>
        <w:spacing w:after="0" w:line="9"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4,990,187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300" w:hanging="1296"/>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see response to Item 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255"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906" w:right="239" w:bottom="699"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58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8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2020</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Rock Springs Capital Management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Member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Rock Springs Capital LLC</w:t>
      </w:r>
    </w:p>
    <w:p>
      <w:pPr>
        <w:spacing w:after="0" w:line="225"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Member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Rock Springs Capital Master Fund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Rock Springs Capital Management LP, Investment Manager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Member</w:t>
      </w:r>
    </w:p>
    <w:p>
      <w:pPr>
        <w:sectPr>
          <w:pgSz w:w="11900" w:h="16838" w:orient="portrait"/>
          <w:cols w:equalWidth="0" w:num="1">
            <w:col w:w="11420"/>
          </w:cols>
          <w:pgMar w:left="240" w:top="474" w:right="23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58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9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2020</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Rock Springs Capital Management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Rock Springs Capital LLC</w:t>
      </w:r>
    </w:p>
    <w:p>
      <w:pPr>
        <w:spacing w:after="0" w:line="225"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Rock Springs Capital Master Fund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Rock Springs Capital Management LP, Investment Manager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sectPr>
      <w:pgSz w:w="11900" w:h="16838" w:orient="portrait"/>
      <w:cols w:equalWidth="0" w:num="1">
        <w:col w:w="11420"/>
      </w:cols>
      <w:pgMar w:left="240" w:top="4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2020-02-14T12:54:03Z</dcterms:created>
  <dcterms:modified xsi:type="dcterms:W3CDTF">2020-02-14T12:54:03Z</dcterms:modified>
</cp:coreProperties>
</file>