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Washington, D.C. 20549</w:t>
      </w:r>
    </w:p>
    <w:p>
      <w:pPr>
        <w:spacing w:after="0" w:line="22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SCHEDULE 13G/A</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(Amendment No. 2)*</w:t>
      </w:r>
    </w:p>
    <w:p>
      <w:pPr>
        <w:spacing w:after="0" w:line="22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78"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640" w:right="9120" w:hanging="6"/>
        <w:spacing w:after="0" w:line="265" w:lineRule="exact"/>
        <w:tabs>
          <w:tab w:leader="none" w:pos="1036"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 xml:space="preserve">Rule 13d-1(b) </w:t>
      </w:r>
      <w:r>
        <w:rPr>
          <w:rFonts w:ascii="MS PGothic" w:cs="MS PGothic" w:eastAsia="MS PGothic" w:hAnsi="MS PGothic"/>
          <w:sz w:val="19"/>
          <w:szCs w:val="19"/>
          <w:color w:val="auto"/>
        </w:rPr>
        <w:t>☒</w:t>
      </w:r>
      <w:r>
        <w:rPr>
          <w:rFonts w:ascii="Arial" w:cs="Arial" w:eastAsia="Arial" w:hAnsi="Arial"/>
          <w:sz w:val="18"/>
          <w:szCs w:val="18"/>
          <w:color w:val="auto"/>
        </w:rPr>
        <w:t xml:space="preserve"> Rule 13d-1(c)</w:t>
      </w:r>
    </w:p>
    <w:p>
      <w:pPr>
        <w:ind w:left="1020" w:hanging="386"/>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Rule 13d-1(d)</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(Page 1 of 11 Pages)</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60"/>
          </w:cols>
          <w:pgMar w:left="240" w:top="231"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CUSIP No. 039697107</w:t>
            </w:r>
          </w:p>
        </w:tc>
        <w:tc>
          <w:tcPr>
            <w:tcW w:w="1480" w:type="dxa"/>
            <w:vAlign w:val="bottom"/>
          </w:tcPr>
          <w:p>
            <w:pPr>
              <w:spacing w:after="0"/>
              <w:rPr>
                <w:sz w:val="20"/>
                <w:szCs w:val="20"/>
                <w:color w:val="auto"/>
              </w:rPr>
            </w:pPr>
          </w:p>
        </w:tc>
        <w:tc>
          <w:tcPr>
            <w:tcW w:w="6420" w:type="dxa"/>
            <w:vAlign w:val="bottom"/>
          </w:tcPr>
          <w:p>
            <w:pPr>
              <w:ind w:left="1920"/>
              <w:spacing w:after="0"/>
              <w:rPr>
                <w:sz w:val="20"/>
                <w:szCs w:val="20"/>
                <w:color w:val="auto"/>
              </w:rPr>
            </w:pPr>
            <w:r>
              <w:rPr>
                <w:rFonts w:ascii="Arial" w:cs="Arial" w:eastAsia="Arial" w:hAnsi="Arial"/>
                <w:sz w:val="18"/>
                <w:szCs w:val="18"/>
                <w:b w:val="1"/>
                <w:bCs w:val="1"/>
                <w:color w:val="auto"/>
              </w:rPr>
              <w:t>13G/A</w:t>
            </w:r>
          </w:p>
        </w:tc>
        <w:tc>
          <w:tcPr>
            <w:tcW w:w="1440" w:type="dxa"/>
            <w:vAlign w:val="bottom"/>
          </w:tcPr>
          <w:p>
            <w:pPr>
              <w:ind w:left="40"/>
              <w:spacing w:after="0"/>
              <w:rPr>
                <w:sz w:val="20"/>
                <w:szCs w:val="20"/>
                <w:color w:val="auto"/>
              </w:rPr>
            </w:pPr>
            <w:r>
              <w:rPr>
                <w:rFonts w:ascii="Arial" w:cs="Arial" w:eastAsia="Arial" w:hAnsi="Arial"/>
                <w:sz w:val="18"/>
                <w:szCs w:val="18"/>
                <w:b w:val="1"/>
                <w:bCs w:val="1"/>
                <w:color w:val="auto"/>
                <w:w w:val="83"/>
              </w:rPr>
              <w:t>Page 2 of 11 Pages</w:t>
            </w:r>
          </w:p>
        </w:tc>
        <w:tc>
          <w:tcPr>
            <w:tcW w:w="0" w:type="dxa"/>
            <w:vAlign w:val="bottom"/>
          </w:tcPr>
          <w:p>
            <w:pPr>
              <w:spacing w:after="0"/>
              <w:rPr>
                <w:sz w:val="1"/>
                <w:szCs w:val="1"/>
                <w:color w:val="auto"/>
              </w:rPr>
            </w:pPr>
          </w:p>
        </w:tc>
      </w:tr>
      <w:tr>
        <w:trPr>
          <w:trHeight w:val="351"/>
        </w:trPr>
        <w:tc>
          <w:tcPr>
            <w:tcW w:w="208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7900" w:type="dxa"/>
            <w:vAlign w:val="bottom"/>
            <w:gridSpan w:val="2"/>
          </w:tcPr>
          <w:p>
            <w:pPr>
              <w:ind w:left="420"/>
              <w:spacing w:after="0"/>
              <w:rPr>
                <w:sz w:val="20"/>
                <w:szCs w:val="20"/>
                <w:color w:val="auto"/>
              </w:rPr>
            </w:pPr>
            <w:r>
              <w:rPr>
                <w:rFonts w:ascii="Arial" w:cs="Arial" w:eastAsia="Arial" w:hAnsi="Arial"/>
                <w:sz w:val="20"/>
                <w:szCs w:val="20"/>
                <w:color w:val="auto"/>
              </w:rPr>
              <w:t>Adage Capital Partners, L.P.</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40" w:type="dxa"/>
            <w:vAlign w:val="bottom"/>
            <w:tcBorders>
              <w:right w:val="single" w:sz="8" w:color="auto"/>
            </w:tcBorders>
          </w:tcPr>
          <w:p>
            <w:pPr>
              <w:jc w:val="center"/>
              <w:ind w:right="212"/>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ind w:right="192"/>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1480" w:type="dxa"/>
            <w:vAlign w:val="bottom"/>
          </w:tcPr>
          <w:p>
            <w:pPr>
              <w:ind w:left="100"/>
              <w:spacing w:after="0"/>
              <w:rPr>
                <w:sz w:val="20"/>
                <w:szCs w:val="20"/>
                <w:color w:val="auto"/>
              </w:rPr>
            </w:pPr>
            <w:r>
              <w:rPr>
                <w:rFonts w:ascii="Arial" w:cs="Arial" w:eastAsia="Arial" w:hAnsi="Arial"/>
                <w:sz w:val="20"/>
                <w:szCs w:val="20"/>
                <w:color w:val="auto"/>
                <w:w w:val="90"/>
              </w:rPr>
              <w:t>SEC USE ONLY</w:t>
            </w:r>
          </w:p>
        </w:tc>
        <w:tc>
          <w:tcPr>
            <w:tcW w:w="642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790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Delaware</w:t>
            </w:r>
          </w:p>
        </w:tc>
        <w:tc>
          <w:tcPr>
            <w:tcW w:w="64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5</w:t>
            </w:r>
          </w:p>
        </w:tc>
        <w:tc>
          <w:tcPr>
            <w:tcW w:w="642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480" w:type="dxa"/>
            <w:vAlign w:val="bottom"/>
            <w:tcBorders>
              <w:right w:val="single" w:sz="8" w:color="auto"/>
            </w:tcBorders>
          </w:tcPr>
          <w:p>
            <w:pPr>
              <w:spacing w:after="0"/>
              <w:rPr>
                <w:sz w:val="21"/>
                <w:szCs w:val="21"/>
                <w:color w:val="auto"/>
              </w:rPr>
            </w:pPr>
          </w:p>
        </w:tc>
        <w:tc>
          <w:tcPr>
            <w:tcW w:w="6420" w:type="dxa"/>
            <w:vAlign w:val="bottom"/>
          </w:tcPr>
          <w:p>
            <w:pPr>
              <w:ind w:left="44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6</w:t>
            </w:r>
          </w:p>
        </w:tc>
        <w:tc>
          <w:tcPr>
            <w:tcW w:w="642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480" w:type="dxa"/>
            <w:vAlign w:val="bottom"/>
            <w:tcBorders>
              <w:right w:val="single" w:sz="8" w:color="auto"/>
            </w:tcBorders>
            <w:vMerge w:val="continue"/>
          </w:tcPr>
          <w:p>
            <w:pPr>
              <w:spacing w:after="0"/>
              <w:rPr>
                <w:sz w:val="17"/>
                <w:szCs w:val="17"/>
                <w:color w:val="auto"/>
              </w:rPr>
            </w:pPr>
          </w:p>
        </w:tc>
        <w:tc>
          <w:tcPr>
            <w:tcW w:w="6420" w:type="dxa"/>
            <w:vAlign w:val="bottom"/>
            <w:vMerge w:val="continue"/>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480" w:type="dxa"/>
            <w:vAlign w:val="bottom"/>
            <w:tcBorders>
              <w:right w:val="single" w:sz="8" w:color="auto"/>
            </w:tcBorders>
          </w:tcPr>
          <w:p>
            <w:pPr>
              <w:spacing w:after="0"/>
              <w:rPr>
                <w:sz w:val="22"/>
                <w:szCs w:val="22"/>
                <w:color w:val="auto"/>
              </w:rPr>
            </w:pPr>
          </w:p>
        </w:tc>
        <w:tc>
          <w:tcPr>
            <w:tcW w:w="6420" w:type="dxa"/>
            <w:vAlign w:val="bottom"/>
          </w:tcPr>
          <w:p>
            <w:pPr>
              <w:ind w:left="440"/>
              <w:spacing w:after="0"/>
              <w:rPr>
                <w:sz w:val="20"/>
                <w:szCs w:val="20"/>
                <w:color w:val="auto"/>
              </w:rPr>
            </w:pPr>
            <w:r>
              <w:rPr>
                <w:rFonts w:ascii="Arial" w:cs="Arial" w:eastAsia="Arial" w:hAnsi="Arial"/>
                <w:sz w:val="20"/>
                <w:szCs w:val="20"/>
                <w:color w:val="auto"/>
              </w:rPr>
              <w:t>5,698,342</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7</w:t>
            </w:r>
          </w:p>
        </w:tc>
        <w:tc>
          <w:tcPr>
            <w:tcW w:w="642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480" w:type="dxa"/>
            <w:vAlign w:val="bottom"/>
            <w:tcBorders>
              <w:right w:val="single" w:sz="8" w:color="auto"/>
            </w:tcBorders>
            <w:vMerge w:val="continue"/>
          </w:tcPr>
          <w:p>
            <w:pPr>
              <w:spacing w:after="0"/>
              <w:rPr>
                <w:sz w:val="12"/>
                <w:szCs w:val="12"/>
                <w:color w:val="auto"/>
              </w:rPr>
            </w:pPr>
          </w:p>
        </w:tc>
        <w:tc>
          <w:tcPr>
            <w:tcW w:w="6420" w:type="dxa"/>
            <w:vAlign w:val="bottom"/>
            <w:vMerge w:val="continue"/>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642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480" w:type="dxa"/>
            <w:vAlign w:val="bottom"/>
            <w:tcBorders>
              <w:right w:val="single" w:sz="8" w:color="auto"/>
            </w:tcBorders>
          </w:tcPr>
          <w:p>
            <w:pPr>
              <w:spacing w:after="0"/>
              <w:rPr>
                <w:sz w:val="14"/>
                <w:szCs w:val="14"/>
                <w:color w:val="auto"/>
              </w:rPr>
            </w:pPr>
          </w:p>
        </w:tc>
        <w:tc>
          <w:tcPr>
            <w:tcW w:w="6420" w:type="dxa"/>
            <w:vAlign w:val="bottom"/>
            <w:vMerge w:val="continue"/>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480" w:type="dxa"/>
            <w:vAlign w:val="bottom"/>
            <w:tcBorders>
              <w:bottom w:val="single" w:sz="8" w:color="auto"/>
              <w:right w:val="single" w:sz="8" w:color="auto"/>
            </w:tcBorders>
          </w:tcPr>
          <w:p>
            <w:pPr>
              <w:spacing w:after="0"/>
              <w:rPr>
                <w:sz w:val="3"/>
                <w:szCs w:val="3"/>
                <w:color w:val="auto"/>
              </w:rPr>
            </w:pPr>
          </w:p>
        </w:tc>
        <w:tc>
          <w:tcPr>
            <w:tcW w:w="642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8</w:t>
            </w:r>
          </w:p>
        </w:tc>
        <w:tc>
          <w:tcPr>
            <w:tcW w:w="642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6420" w:type="dxa"/>
            <w:vAlign w:val="bottom"/>
            <w:vMerge w:val="continue"/>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6420" w:type="dxa"/>
            <w:vAlign w:val="bottom"/>
          </w:tcPr>
          <w:p>
            <w:pPr>
              <w:ind w:left="440"/>
              <w:spacing w:after="0"/>
              <w:rPr>
                <w:sz w:val="20"/>
                <w:szCs w:val="20"/>
                <w:color w:val="auto"/>
              </w:rPr>
            </w:pPr>
            <w:r>
              <w:rPr>
                <w:rFonts w:ascii="Arial" w:cs="Arial" w:eastAsia="Arial" w:hAnsi="Arial"/>
                <w:sz w:val="20"/>
                <w:szCs w:val="20"/>
                <w:color w:val="auto"/>
              </w:rPr>
              <w:t>5,698,342</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5,698,342</w:t>
            </w:r>
          </w:p>
        </w:tc>
        <w:tc>
          <w:tcPr>
            <w:tcW w:w="64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790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w w:val="95"/>
              </w:rPr>
              <w:t>CHECK BOX IF THE AGGREGATE AMOUNT IN ROW (9) EXCLUDES CERTAIN SHARES</w:t>
            </w:r>
          </w:p>
        </w:tc>
        <w:tc>
          <w:tcPr>
            <w:tcW w:w="1440" w:type="dxa"/>
            <w:vAlign w:val="bottom"/>
            <w:tcBorders>
              <w:bottom w:val="single" w:sz="8" w:color="auto"/>
              <w:right w:val="single" w:sz="8" w:color="auto"/>
            </w:tcBorders>
          </w:tcPr>
          <w:p>
            <w:pPr>
              <w:jc w:val="center"/>
              <w:ind w:right="272"/>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jc w:val="right"/>
              <w:ind w:right="441"/>
              <w:spacing w:after="0"/>
              <w:rPr>
                <w:sz w:val="20"/>
                <w:szCs w:val="20"/>
                <w:color w:val="auto"/>
              </w:rPr>
            </w:pPr>
            <w:r>
              <w:rPr>
                <w:rFonts w:ascii="Arial" w:cs="Arial" w:eastAsia="Arial" w:hAnsi="Arial"/>
                <w:sz w:val="20"/>
                <w:szCs w:val="20"/>
                <w:color w:val="auto"/>
              </w:rPr>
              <w:t>6.88%</w:t>
            </w:r>
          </w:p>
        </w:tc>
        <w:tc>
          <w:tcPr>
            <w:tcW w:w="64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79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PN</w:t>
            </w:r>
          </w:p>
        </w:tc>
        <w:tc>
          <w:tcPr>
            <w:tcW w:w="6420" w:type="dxa"/>
            <w:vAlign w:val="bottom"/>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4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 w:name="page3"/>
    <w:bookmarkEnd w:id="2"/>
    <w:p>
      <w:pPr>
        <w:ind w:left="60"/>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040" w:type="dxa"/>
            <w:vAlign w:val="bottom"/>
            <w:tcBorders>
              <w:top w:val="single" w:sz="8" w:color="auto"/>
            </w:tcBorders>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8040" w:type="dxa"/>
            <w:vAlign w:val="bottom"/>
            <w:gridSpan w:val="2"/>
          </w:tcPr>
          <w:p>
            <w:pPr>
              <w:ind w:left="420"/>
              <w:spacing w:after="0"/>
              <w:rPr>
                <w:sz w:val="20"/>
                <w:szCs w:val="20"/>
                <w:color w:val="auto"/>
              </w:rPr>
            </w:pPr>
            <w:r>
              <w:rPr>
                <w:rFonts w:ascii="Arial" w:cs="Arial" w:eastAsia="Arial" w:hAnsi="Arial"/>
                <w:sz w:val="20"/>
                <w:szCs w:val="20"/>
                <w:color w:val="auto"/>
              </w:rPr>
              <w:t>Adage Capital Partners GP, L.L.C.</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00" w:type="dxa"/>
            <w:vAlign w:val="bottom"/>
            <w:tcBorders>
              <w:right w:val="single" w:sz="8" w:color="auto"/>
            </w:tcBorders>
          </w:tcPr>
          <w:p>
            <w:pPr>
              <w:jc w:val="center"/>
              <w:ind w:right="34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jc w:val="center"/>
              <w:ind w:right="3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1480" w:type="dxa"/>
            <w:vAlign w:val="bottom"/>
          </w:tcPr>
          <w:p>
            <w:pPr>
              <w:ind w:left="100"/>
              <w:spacing w:after="0"/>
              <w:rPr>
                <w:sz w:val="20"/>
                <w:szCs w:val="20"/>
                <w:color w:val="auto"/>
              </w:rPr>
            </w:pPr>
            <w:r>
              <w:rPr>
                <w:rFonts w:ascii="Arial" w:cs="Arial" w:eastAsia="Arial" w:hAnsi="Arial"/>
                <w:sz w:val="20"/>
                <w:szCs w:val="20"/>
                <w:color w:val="auto"/>
                <w:w w:val="90"/>
              </w:rPr>
              <w:t>SEC USE ONLY</w:t>
            </w:r>
          </w:p>
        </w:tc>
        <w:tc>
          <w:tcPr>
            <w:tcW w:w="6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Delaware</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5</w:t>
            </w:r>
          </w:p>
        </w:tc>
        <w:tc>
          <w:tcPr>
            <w:tcW w:w="656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480" w:type="dxa"/>
            <w:vAlign w:val="bottom"/>
            <w:tcBorders>
              <w:right w:val="single" w:sz="8" w:color="auto"/>
            </w:tcBorders>
          </w:tcPr>
          <w:p>
            <w:pPr>
              <w:spacing w:after="0"/>
              <w:rPr>
                <w:sz w:val="21"/>
                <w:szCs w:val="21"/>
                <w:color w:val="auto"/>
              </w:rPr>
            </w:pPr>
          </w:p>
        </w:tc>
        <w:tc>
          <w:tcPr>
            <w:tcW w:w="6560" w:type="dxa"/>
            <w:vAlign w:val="bottom"/>
          </w:tcPr>
          <w:p>
            <w:pPr>
              <w:ind w:left="440"/>
              <w:spacing w:after="0"/>
              <w:rPr>
                <w:sz w:val="20"/>
                <w:szCs w:val="20"/>
                <w:color w:val="auto"/>
              </w:rPr>
            </w:pPr>
            <w:r>
              <w:rPr>
                <w:rFonts w:ascii="Arial" w:cs="Arial" w:eastAsia="Arial" w:hAnsi="Arial"/>
                <w:sz w:val="20"/>
                <w:szCs w:val="20"/>
                <w:color w:val="auto"/>
              </w:rPr>
              <w:t>0</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6</w:t>
            </w:r>
          </w:p>
        </w:tc>
        <w:tc>
          <w:tcPr>
            <w:tcW w:w="656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480" w:type="dxa"/>
            <w:vAlign w:val="bottom"/>
            <w:tcBorders>
              <w:right w:val="single" w:sz="8" w:color="auto"/>
            </w:tcBorders>
            <w:vMerge w:val="continue"/>
          </w:tcPr>
          <w:p>
            <w:pPr>
              <w:spacing w:after="0"/>
              <w:rPr>
                <w:sz w:val="17"/>
                <w:szCs w:val="17"/>
                <w:color w:val="auto"/>
              </w:rPr>
            </w:pPr>
          </w:p>
        </w:tc>
        <w:tc>
          <w:tcPr>
            <w:tcW w:w="6560" w:type="dxa"/>
            <w:vAlign w:val="bottom"/>
            <w:vMerge w:val="continue"/>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480" w:type="dxa"/>
            <w:vAlign w:val="bottom"/>
            <w:tcBorders>
              <w:right w:val="single" w:sz="8" w:color="auto"/>
            </w:tcBorders>
          </w:tcPr>
          <w:p>
            <w:pPr>
              <w:spacing w:after="0"/>
              <w:rPr>
                <w:sz w:val="22"/>
                <w:szCs w:val="22"/>
                <w:color w:val="auto"/>
              </w:rPr>
            </w:pPr>
          </w:p>
        </w:tc>
        <w:tc>
          <w:tcPr>
            <w:tcW w:w="6560" w:type="dxa"/>
            <w:vAlign w:val="bottom"/>
          </w:tcPr>
          <w:p>
            <w:pPr>
              <w:ind w:left="440"/>
              <w:spacing w:after="0"/>
              <w:rPr>
                <w:sz w:val="20"/>
                <w:szCs w:val="20"/>
                <w:color w:val="auto"/>
              </w:rPr>
            </w:pPr>
            <w:r>
              <w:rPr>
                <w:rFonts w:ascii="Arial" w:cs="Arial" w:eastAsia="Arial" w:hAnsi="Arial"/>
                <w:sz w:val="20"/>
                <w:szCs w:val="20"/>
                <w:color w:val="auto"/>
              </w:rPr>
              <w:t>5,698,342</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7</w:t>
            </w:r>
          </w:p>
        </w:tc>
        <w:tc>
          <w:tcPr>
            <w:tcW w:w="656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480" w:type="dxa"/>
            <w:vAlign w:val="bottom"/>
            <w:tcBorders>
              <w:right w:val="single" w:sz="8" w:color="auto"/>
            </w:tcBorders>
            <w:vMerge w:val="continue"/>
          </w:tcPr>
          <w:p>
            <w:pPr>
              <w:spacing w:after="0"/>
              <w:rPr>
                <w:sz w:val="12"/>
                <w:szCs w:val="12"/>
                <w:color w:val="auto"/>
              </w:rPr>
            </w:pPr>
          </w:p>
        </w:tc>
        <w:tc>
          <w:tcPr>
            <w:tcW w:w="656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65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480" w:type="dxa"/>
            <w:vAlign w:val="bottom"/>
            <w:tcBorders>
              <w:right w:val="single" w:sz="8" w:color="auto"/>
            </w:tcBorders>
          </w:tcPr>
          <w:p>
            <w:pPr>
              <w:spacing w:after="0"/>
              <w:rPr>
                <w:sz w:val="14"/>
                <w:szCs w:val="14"/>
                <w:color w:val="auto"/>
              </w:rPr>
            </w:pPr>
          </w:p>
        </w:tc>
        <w:tc>
          <w:tcPr>
            <w:tcW w:w="656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480" w:type="dxa"/>
            <w:vAlign w:val="bottom"/>
            <w:tcBorders>
              <w:bottom w:val="single" w:sz="8" w:color="auto"/>
              <w:right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8</w:t>
            </w:r>
          </w:p>
        </w:tc>
        <w:tc>
          <w:tcPr>
            <w:tcW w:w="656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6560" w:type="dxa"/>
            <w:vAlign w:val="bottom"/>
            <w:vMerge w:val="continue"/>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6560" w:type="dxa"/>
            <w:vAlign w:val="bottom"/>
          </w:tcPr>
          <w:p>
            <w:pPr>
              <w:ind w:left="440"/>
              <w:spacing w:after="0"/>
              <w:rPr>
                <w:sz w:val="20"/>
                <w:szCs w:val="20"/>
                <w:color w:val="auto"/>
              </w:rPr>
            </w:pPr>
            <w:r>
              <w:rPr>
                <w:rFonts w:ascii="Arial" w:cs="Arial" w:eastAsia="Arial" w:hAnsi="Arial"/>
                <w:sz w:val="20"/>
                <w:szCs w:val="20"/>
                <w:color w:val="auto"/>
              </w:rPr>
              <w:t>5,698,342</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5,698,342</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0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w w:val="97"/>
              </w:rPr>
              <w:t>CHECK BOX IF THE AGGREGATE AMOUNT IN ROW (9) EXCLUDES CERTAIN SHARES</w:t>
            </w:r>
          </w:p>
        </w:tc>
        <w:tc>
          <w:tcPr>
            <w:tcW w:w="1300" w:type="dxa"/>
            <w:vAlign w:val="bottom"/>
            <w:tcBorders>
              <w:bottom w:val="single" w:sz="8" w:color="auto"/>
              <w:right w:val="single" w:sz="8" w:color="auto"/>
            </w:tcBorders>
          </w:tcPr>
          <w:p>
            <w:pPr>
              <w:jc w:val="center"/>
              <w:ind w:right="40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jc w:val="right"/>
              <w:ind w:right="441"/>
              <w:spacing w:after="0"/>
              <w:rPr>
                <w:sz w:val="20"/>
                <w:szCs w:val="20"/>
                <w:color w:val="auto"/>
              </w:rPr>
            </w:pPr>
            <w:r>
              <w:rPr>
                <w:rFonts w:ascii="Arial" w:cs="Arial" w:eastAsia="Arial" w:hAnsi="Arial"/>
                <w:sz w:val="20"/>
                <w:szCs w:val="20"/>
                <w:color w:val="auto"/>
              </w:rPr>
              <w:t>6.88%</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OO</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 w:name="page4"/>
    <w:bookmarkEnd w:id="3"/>
    <w:p>
      <w:pPr>
        <w:ind w:left="60"/>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040" w:type="dxa"/>
            <w:vAlign w:val="bottom"/>
            <w:tcBorders>
              <w:top w:val="single" w:sz="8" w:color="auto"/>
            </w:tcBorders>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8040" w:type="dxa"/>
            <w:vAlign w:val="bottom"/>
            <w:gridSpan w:val="2"/>
          </w:tcPr>
          <w:p>
            <w:pPr>
              <w:ind w:left="420"/>
              <w:spacing w:after="0"/>
              <w:rPr>
                <w:sz w:val="20"/>
                <w:szCs w:val="20"/>
                <w:color w:val="auto"/>
              </w:rPr>
            </w:pPr>
            <w:r>
              <w:rPr>
                <w:rFonts w:ascii="Arial" w:cs="Arial" w:eastAsia="Arial" w:hAnsi="Arial"/>
                <w:sz w:val="20"/>
                <w:szCs w:val="20"/>
                <w:color w:val="auto"/>
              </w:rPr>
              <w:t>Adage Capital Advisors, L.L.C.</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00" w:type="dxa"/>
            <w:vAlign w:val="bottom"/>
            <w:tcBorders>
              <w:right w:val="single" w:sz="8" w:color="auto"/>
            </w:tcBorders>
          </w:tcPr>
          <w:p>
            <w:pPr>
              <w:jc w:val="center"/>
              <w:ind w:right="34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jc w:val="center"/>
              <w:ind w:right="3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1480" w:type="dxa"/>
            <w:vAlign w:val="bottom"/>
          </w:tcPr>
          <w:p>
            <w:pPr>
              <w:ind w:left="100"/>
              <w:spacing w:after="0"/>
              <w:rPr>
                <w:sz w:val="20"/>
                <w:szCs w:val="20"/>
                <w:color w:val="auto"/>
              </w:rPr>
            </w:pPr>
            <w:r>
              <w:rPr>
                <w:rFonts w:ascii="Arial" w:cs="Arial" w:eastAsia="Arial" w:hAnsi="Arial"/>
                <w:sz w:val="20"/>
                <w:szCs w:val="20"/>
                <w:color w:val="auto"/>
                <w:w w:val="90"/>
              </w:rPr>
              <w:t>SEC USE ONLY</w:t>
            </w:r>
          </w:p>
        </w:tc>
        <w:tc>
          <w:tcPr>
            <w:tcW w:w="656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Delaware</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5</w:t>
            </w:r>
          </w:p>
        </w:tc>
        <w:tc>
          <w:tcPr>
            <w:tcW w:w="656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480" w:type="dxa"/>
            <w:vAlign w:val="bottom"/>
            <w:tcBorders>
              <w:right w:val="single" w:sz="8" w:color="auto"/>
            </w:tcBorders>
          </w:tcPr>
          <w:p>
            <w:pPr>
              <w:spacing w:after="0"/>
              <w:rPr>
                <w:sz w:val="21"/>
                <w:szCs w:val="21"/>
                <w:color w:val="auto"/>
              </w:rPr>
            </w:pPr>
          </w:p>
        </w:tc>
        <w:tc>
          <w:tcPr>
            <w:tcW w:w="6560" w:type="dxa"/>
            <w:vAlign w:val="bottom"/>
          </w:tcPr>
          <w:p>
            <w:pPr>
              <w:ind w:left="440"/>
              <w:spacing w:after="0"/>
              <w:rPr>
                <w:sz w:val="20"/>
                <w:szCs w:val="20"/>
                <w:color w:val="auto"/>
              </w:rPr>
            </w:pPr>
            <w:r>
              <w:rPr>
                <w:rFonts w:ascii="Arial" w:cs="Arial" w:eastAsia="Arial" w:hAnsi="Arial"/>
                <w:sz w:val="20"/>
                <w:szCs w:val="20"/>
                <w:color w:val="auto"/>
              </w:rPr>
              <w:t>0</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6</w:t>
            </w:r>
          </w:p>
        </w:tc>
        <w:tc>
          <w:tcPr>
            <w:tcW w:w="656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480" w:type="dxa"/>
            <w:vAlign w:val="bottom"/>
            <w:tcBorders>
              <w:right w:val="single" w:sz="8" w:color="auto"/>
            </w:tcBorders>
            <w:vMerge w:val="continue"/>
          </w:tcPr>
          <w:p>
            <w:pPr>
              <w:spacing w:after="0"/>
              <w:rPr>
                <w:sz w:val="17"/>
                <w:szCs w:val="17"/>
                <w:color w:val="auto"/>
              </w:rPr>
            </w:pPr>
          </w:p>
        </w:tc>
        <w:tc>
          <w:tcPr>
            <w:tcW w:w="6560" w:type="dxa"/>
            <w:vAlign w:val="bottom"/>
            <w:vMerge w:val="continue"/>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480" w:type="dxa"/>
            <w:vAlign w:val="bottom"/>
            <w:tcBorders>
              <w:right w:val="single" w:sz="8" w:color="auto"/>
            </w:tcBorders>
          </w:tcPr>
          <w:p>
            <w:pPr>
              <w:spacing w:after="0"/>
              <w:rPr>
                <w:sz w:val="22"/>
                <w:szCs w:val="22"/>
                <w:color w:val="auto"/>
              </w:rPr>
            </w:pPr>
          </w:p>
        </w:tc>
        <w:tc>
          <w:tcPr>
            <w:tcW w:w="6560" w:type="dxa"/>
            <w:vAlign w:val="bottom"/>
          </w:tcPr>
          <w:p>
            <w:pPr>
              <w:ind w:left="440"/>
              <w:spacing w:after="0"/>
              <w:rPr>
                <w:sz w:val="20"/>
                <w:szCs w:val="20"/>
                <w:color w:val="auto"/>
              </w:rPr>
            </w:pPr>
            <w:r>
              <w:rPr>
                <w:rFonts w:ascii="Arial" w:cs="Arial" w:eastAsia="Arial" w:hAnsi="Arial"/>
                <w:sz w:val="20"/>
                <w:szCs w:val="20"/>
                <w:color w:val="auto"/>
              </w:rPr>
              <w:t>5,698,342</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7</w:t>
            </w:r>
          </w:p>
        </w:tc>
        <w:tc>
          <w:tcPr>
            <w:tcW w:w="656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480" w:type="dxa"/>
            <w:vAlign w:val="bottom"/>
            <w:tcBorders>
              <w:right w:val="single" w:sz="8" w:color="auto"/>
            </w:tcBorders>
            <w:vMerge w:val="continue"/>
          </w:tcPr>
          <w:p>
            <w:pPr>
              <w:spacing w:after="0"/>
              <w:rPr>
                <w:sz w:val="12"/>
                <w:szCs w:val="12"/>
                <w:color w:val="auto"/>
              </w:rPr>
            </w:pPr>
          </w:p>
        </w:tc>
        <w:tc>
          <w:tcPr>
            <w:tcW w:w="656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65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480" w:type="dxa"/>
            <w:vAlign w:val="bottom"/>
            <w:tcBorders>
              <w:right w:val="single" w:sz="8" w:color="auto"/>
            </w:tcBorders>
          </w:tcPr>
          <w:p>
            <w:pPr>
              <w:spacing w:after="0"/>
              <w:rPr>
                <w:sz w:val="14"/>
                <w:szCs w:val="14"/>
                <w:color w:val="auto"/>
              </w:rPr>
            </w:pPr>
          </w:p>
        </w:tc>
        <w:tc>
          <w:tcPr>
            <w:tcW w:w="656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656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480" w:type="dxa"/>
            <w:vAlign w:val="bottom"/>
            <w:tcBorders>
              <w:bottom w:val="single" w:sz="8" w:color="auto"/>
              <w:right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8</w:t>
            </w:r>
          </w:p>
        </w:tc>
        <w:tc>
          <w:tcPr>
            <w:tcW w:w="656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6560" w:type="dxa"/>
            <w:vAlign w:val="bottom"/>
            <w:vMerge w:val="continue"/>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6560" w:type="dxa"/>
            <w:vAlign w:val="bottom"/>
          </w:tcPr>
          <w:p>
            <w:pPr>
              <w:ind w:left="440"/>
              <w:spacing w:after="0"/>
              <w:rPr>
                <w:sz w:val="20"/>
                <w:szCs w:val="20"/>
                <w:color w:val="auto"/>
              </w:rPr>
            </w:pPr>
            <w:r>
              <w:rPr>
                <w:rFonts w:ascii="Arial" w:cs="Arial" w:eastAsia="Arial" w:hAnsi="Arial"/>
                <w:sz w:val="20"/>
                <w:szCs w:val="20"/>
                <w:color w:val="auto"/>
              </w:rPr>
              <w:t>5,698,342</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5,698,342</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0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w w:val="97"/>
              </w:rPr>
              <w:t>CHECK BOX IF THE AGGREGATE AMOUNT IN ROW (9) EXCLUDES CERTAIN SHARES</w:t>
            </w:r>
          </w:p>
        </w:tc>
        <w:tc>
          <w:tcPr>
            <w:tcW w:w="1300" w:type="dxa"/>
            <w:vAlign w:val="bottom"/>
            <w:tcBorders>
              <w:bottom w:val="single" w:sz="8" w:color="auto"/>
              <w:right w:val="single" w:sz="8" w:color="auto"/>
            </w:tcBorders>
          </w:tcPr>
          <w:p>
            <w:pPr>
              <w:jc w:val="center"/>
              <w:ind w:right="40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jc w:val="right"/>
              <w:ind w:right="441"/>
              <w:spacing w:after="0"/>
              <w:rPr>
                <w:sz w:val="20"/>
                <w:szCs w:val="20"/>
                <w:color w:val="auto"/>
              </w:rPr>
            </w:pPr>
            <w:r>
              <w:rPr>
                <w:rFonts w:ascii="Arial" w:cs="Arial" w:eastAsia="Arial" w:hAnsi="Arial"/>
                <w:sz w:val="20"/>
                <w:szCs w:val="20"/>
                <w:color w:val="auto"/>
              </w:rPr>
              <w:t>6.88%</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04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OO</w:t>
            </w:r>
          </w:p>
        </w:tc>
        <w:tc>
          <w:tcPr>
            <w:tcW w:w="656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ind w:left="60"/>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20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040" w:type="dxa"/>
            <w:vAlign w:val="bottom"/>
            <w:tcBorders>
              <w:top w:val="single" w:sz="8" w:color="auto"/>
            </w:tcBorders>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8040" w:type="dxa"/>
            <w:vAlign w:val="bottom"/>
            <w:gridSpan w:val="3"/>
          </w:tcPr>
          <w:p>
            <w:pPr>
              <w:ind w:left="420"/>
              <w:spacing w:after="0"/>
              <w:rPr>
                <w:sz w:val="20"/>
                <w:szCs w:val="20"/>
                <w:color w:val="auto"/>
              </w:rPr>
            </w:pPr>
            <w:r>
              <w:rPr>
                <w:rFonts w:ascii="Arial" w:cs="Arial" w:eastAsia="Arial" w:hAnsi="Arial"/>
                <w:sz w:val="20"/>
                <w:szCs w:val="20"/>
                <w:color w:val="auto"/>
              </w:rPr>
              <w:t>Robert Atchinson</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3"/>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04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00" w:type="dxa"/>
            <w:vAlign w:val="bottom"/>
            <w:tcBorders>
              <w:right w:val="single" w:sz="8" w:color="auto"/>
            </w:tcBorders>
          </w:tcPr>
          <w:p>
            <w:pPr>
              <w:jc w:val="center"/>
              <w:ind w:right="34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208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jc w:val="center"/>
              <w:ind w:right="3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1540" w:type="dxa"/>
            <w:vAlign w:val="bottom"/>
            <w:gridSpan w:val="2"/>
          </w:tcPr>
          <w:p>
            <w:pPr>
              <w:ind w:left="100"/>
              <w:spacing w:after="0"/>
              <w:rPr>
                <w:sz w:val="20"/>
                <w:szCs w:val="20"/>
                <w:color w:val="auto"/>
              </w:rPr>
            </w:pPr>
            <w:r>
              <w:rPr>
                <w:rFonts w:ascii="Arial" w:cs="Arial" w:eastAsia="Arial" w:hAnsi="Arial"/>
                <w:sz w:val="20"/>
                <w:szCs w:val="20"/>
                <w:color w:val="auto"/>
                <w:w w:val="96"/>
              </w:rPr>
              <w:t>SEC USE ONLY</w:t>
            </w:r>
          </w:p>
        </w:tc>
        <w:tc>
          <w:tcPr>
            <w:tcW w:w="6500" w:type="dxa"/>
            <w:vAlign w:val="bottom"/>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8040" w:type="dxa"/>
            <w:vAlign w:val="bottom"/>
            <w:tcBorders>
              <w:bottom w:val="single" w:sz="8" w:color="auto"/>
            </w:tcBorders>
            <w:gridSpan w:val="3"/>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04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540" w:type="dxa"/>
            <w:vAlign w:val="bottom"/>
            <w:gridSpan w:val="2"/>
          </w:tcPr>
          <w:p>
            <w:pPr>
              <w:ind w:left="420"/>
              <w:spacing w:after="0"/>
              <w:rPr>
                <w:sz w:val="20"/>
                <w:szCs w:val="20"/>
                <w:color w:val="auto"/>
              </w:rPr>
            </w:pPr>
            <w:r>
              <w:rPr>
                <w:rFonts w:ascii="Arial" w:cs="Arial" w:eastAsia="Arial" w:hAnsi="Arial"/>
                <w:sz w:val="20"/>
                <w:szCs w:val="20"/>
                <w:color w:val="auto"/>
                <w:w w:val="91"/>
              </w:rPr>
              <w:t>United States</w:t>
            </w:r>
          </w:p>
        </w:tc>
        <w:tc>
          <w:tcPr>
            <w:tcW w:w="65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5</w:t>
            </w:r>
          </w:p>
        </w:tc>
        <w:tc>
          <w:tcPr>
            <w:tcW w:w="60" w:type="dxa"/>
            <w:vAlign w:val="bottom"/>
          </w:tcPr>
          <w:p>
            <w:pPr>
              <w:spacing w:after="0"/>
              <w:rPr>
                <w:sz w:val="22"/>
                <w:szCs w:val="22"/>
                <w:color w:val="auto"/>
              </w:rPr>
            </w:pPr>
          </w:p>
        </w:tc>
        <w:tc>
          <w:tcPr>
            <w:tcW w:w="6500" w:type="dxa"/>
            <w:vAlign w:val="bottom"/>
          </w:tcPr>
          <w:p>
            <w:pPr>
              <w:ind w:left="40"/>
              <w:spacing w:after="0"/>
              <w:rPr>
                <w:sz w:val="20"/>
                <w:szCs w:val="20"/>
                <w:color w:val="auto"/>
              </w:rPr>
            </w:pPr>
            <w:r>
              <w:rPr>
                <w:rFonts w:ascii="Arial" w:cs="Arial" w:eastAsia="Arial" w:hAnsi="Arial"/>
                <w:sz w:val="20"/>
                <w:szCs w:val="20"/>
                <w:color w:val="auto"/>
              </w:rPr>
              <w:t>SOLE VOTING POWER</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NUMBER OF</w:t>
            </w:r>
          </w:p>
        </w:tc>
        <w:tc>
          <w:tcPr>
            <w:tcW w:w="14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500" w:type="dxa"/>
            <w:vAlign w:val="bottom"/>
          </w:tcPr>
          <w:p>
            <w:pPr>
              <w:ind w:left="380"/>
              <w:spacing w:after="0"/>
              <w:rPr>
                <w:sz w:val="20"/>
                <w:szCs w:val="20"/>
                <w:color w:val="auto"/>
              </w:rPr>
            </w:pPr>
            <w:r>
              <w:rPr>
                <w:rFonts w:ascii="Arial" w:cs="Arial" w:eastAsia="Arial" w:hAnsi="Arial"/>
                <w:sz w:val="20"/>
                <w:szCs w:val="20"/>
                <w:color w:val="auto"/>
              </w:rPr>
              <w:t>0</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6</w:t>
            </w:r>
          </w:p>
        </w:tc>
        <w:tc>
          <w:tcPr>
            <w:tcW w:w="60" w:type="dxa"/>
            <w:vAlign w:val="bottom"/>
          </w:tcPr>
          <w:p>
            <w:pPr>
              <w:spacing w:after="0"/>
              <w:rPr>
                <w:sz w:val="5"/>
                <w:szCs w:val="5"/>
                <w:color w:val="auto"/>
              </w:rPr>
            </w:pPr>
          </w:p>
        </w:tc>
        <w:tc>
          <w:tcPr>
            <w:tcW w:w="6500" w:type="dxa"/>
            <w:vAlign w:val="bottom"/>
            <w:vMerge w:val="restart"/>
          </w:tcPr>
          <w:p>
            <w:pPr>
              <w:ind w:left="40"/>
              <w:spacing w:after="0"/>
              <w:rPr>
                <w:sz w:val="20"/>
                <w:szCs w:val="20"/>
                <w:color w:val="auto"/>
              </w:rPr>
            </w:pPr>
            <w:r>
              <w:rPr>
                <w:rFonts w:ascii="Arial" w:cs="Arial" w:eastAsia="Arial" w:hAnsi="Arial"/>
                <w:sz w:val="20"/>
                <w:szCs w:val="20"/>
                <w:color w:val="auto"/>
              </w:rPr>
              <w:t>SHARED VOTING POWER</w:t>
            </w: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4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500" w:type="dxa"/>
            <w:vAlign w:val="bottom"/>
            <w:vMerge w:val="continue"/>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48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500" w:type="dxa"/>
            <w:vAlign w:val="bottom"/>
          </w:tcPr>
          <w:p>
            <w:pPr>
              <w:ind w:left="380"/>
              <w:spacing w:after="0"/>
              <w:rPr>
                <w:sz w:val="20"/>
                <w:szCs w:val="20"/>
                <w:color w:val="auto"/>
              </w:rPr>
            </w:pPr>
            <w:r>
              <w:rPr>
                <w:rFonts w:ascii="Arial" w:cs="Arial" w:eastAsia="Arial" w:hAnsi="Arial"/>
                <w:sz w:val="20"/>
                <w:szCs w:val="20"/>
                <w:color w:val="auto"/>
              </w:rPr>
              <w:t>5,698,342</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7</w:t>
            </w:r>
          </w:p>
        </w:tc>
        <w:tc>
          <w:tcPr>
            <w:tcW w:w="60" w:type="dxa"/>
            <w:vAlign w:val="bottom"/>
          </w:tcPr>
          <w:p>
            <w:pPr>
              <w:spacing w:after="0"/>
              <w:rPr>
                <w:sz w:val="9"/>
                <w:szCs w:val="9"/>
                <w:color w:val="auto"/>
              </w:rPr>
            </w:pPr>
          </w:p>
        </w:tc>
        <w:tc>
          <w:tcPr>
            <w:tcW w:w="6500" w:type="dxa"/>
            <w:vAlign w:val="bottom"/>
            <w:vMerge w:val="restart"/>
          </w:tcPr>
          <w:p>
            <w:pPr>
              <w:ind w:left="40"/>
              <w:spacing w:after="0"/>
              <w:rPr>
                <w:sz w:val="20"/>
                <w:szCs w:val="20"/>
                <w:color w:val="auto"/>
              </w:rPr>
            </w:pPr>
            <w:r>
              <w:rPr>
                <w:rFonts w:ascii="Arial" w:cs="Arial" w:eastAsia="Arial" w:hAnsi="Arial"/>
                <w:sz w:val="20"/>
                <w:szCs w:val="20"/>
                <w:color w:val="auto"/>
              </w:rPr>
              <w:t>SOLE DISPOSITIVE POWER</w:t>
            </w:r>
          </w:p>
        </w:tc>
        <w:tc>
          <w:tcPr>
            <w:tcW w:w="1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4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500" w:type="dxa"/>
            <w:vAlign w:val="bottom"/>
            <w:vMerge w:val="continue"/>
          </w:tcPr>
          <w:p>
            <w:pPr>
              <w:spacing w:after="0"/>
              <w:rPr>
                <w:sz w:val="12"/>
                <w:szCs w:val="12"/>
                <w:color w:val="auto"/>
              </w:rPr>
            </w:pPr>
          </w:p>
        </w:tc>
        <w:tc>
          <w:tcPr>
            <w:tcW w:w="1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5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4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500" w:type="dxa"/>
            <w:vAlign w:val="bottom"/>
            <w:vMerge w:val="continue"/>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500" w:type="dxa"/>
            <w:vAlign w:val="bottom"/>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4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8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Borders>
              <w:right w:val="single" w:sz="8" w:color="auto"/>
            </w:tcBorders>
            <w:vMerge w:val="restart"/>
          </w:tcPr>
          <w:p>
            <w:pPr>
              <w:jc w:val="right"/>
              <w:ind w:right="601"/>
              <w:spacing w:after="0"/>
              <w:rPr>
                <w:sz w:val="20"/>
                <w:szCs w:val="20"/>
                <w:color w:val="auto"/>
              </w:rPr>
            </w:pPr>
            <w:r>
              <w:rPr>
                <w:rFonts w:ascii="Arial" w:cs="Arial" w:eastAsia="Arial" w:hAnsi="Arial"/>
                <w:sz w:val="20"/>
                <w:szCs w:val="20"/>
                <w:b w:val="1"/>
                <w:bCs w:val="1"/>
                <w:color w:val="auto"/>
              </w:rPr>
              <w:t>8</w:t>
            </w:r>
          </w:p>
        </w:tc>
        <w:tc>
          <w:tcPr>
            <w:tcW w:w="60" w:type="dxa"/>
            <w:vAlign w:val="bottom"/>
          </w:tcPr>
          <w:p>
            <w:pPr>
              <w:spacing w:after="0"/>
              <w:rPr>
                <w:sz w:val="16"/>
                <w:szCs w:val="16"/>
                <w:color w:val="auto"/>
              </w:rPr>
            </w:pPr>
          </w:p>
        </w:tc>
        <w:tc>
          <w:tcPr>
            <w:tcW w:w="6500" w:type="dxa"/>
            <w:vAlign w:val="bottom"/>
            <w:vMerge w:val="restart"/>
          </w:tcPr>
          <w:p>
            <w:pPr>
              <w:ind w:left="40"/>
              <w:spacing w:after="0"/>
              <w:rPr>
                <w:sz w:val="20"/>
                <w:szCs w:val="20"/>
                <w:color w:val="auto"/>
              </w:rPr>
            </w:pPr>
            <w:r>
              <w:rPr>
                <w:rFonts w:ascii="Arial" w:cs="Arial" w:eastAsia="Arial" w:hAnsi="Arial"/>
                <w:sz w:val="20"/>
                <w:szCs w:val="20"/>
                <w:color w:val="auto"/>
              </w:rPr>
              <w:t>SHARED DISPOSITIVE POWER</w:t>
            </w:r>
          </w:p>
        </w:tc>
        <w:tc>
          <w:tcPr>
            <w:tcW w:w="13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80" w:type="dxa"/>
            <w:vAlign w:val="bottom"/>
            <w:tcBorders>
              <w:left w:val="single" w:sz="8" w:color="auto"/>
              <w:right w:val="single" w:sz="8" w:color="auto"/>
            </w:tcBorders>
          </w:tcPr>
          <w:p>
            <w:pPr>
              <w:spacing w:after="0"/>
              <w:rPr>
                <w:sz w:val="6"/>
                <w:szCs w:val="6"/>
                <w:color w:val="auto"/>
              </w:rPr>
            </w:pPr>
          </w:p>
        </w:tc>
        <w:tc>
          <w:tcPr>
            <w:tcW w:w="148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6500" w:type="dxa"/>
            <w:vAlign w:val="bottom"/>
            <w:vMerge w:val="continue"/>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500" w:type="dxa"/>
            <w:vAlign w:val="bottom"/>
          </w:tcPr>
          <w:p>
            <w:pPr>
              <w:ind w:left="380"/>
              <w:spacing w:after="0"/>
              <w:rPr>
                <w:sz w:val="20"/>
                <w:szCs w:val="20"/>
                <w:color w:val="auto"/>
              </w:rPr>
            </w:pPr>
            <w:r>
              <w:rPr>
                <w:rFonts w:ascii="Arial" w:cs="Arial" w:eastAsia="Arial" w:hAnsi="Arial"/>
                <w:sz w:val="20"/>
                <w:szCs w:val="20"/>
                <w:color w:val="auto"/>
              </w:rPr>
              <w:t>5,698,342</w:t>
            </w: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656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04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5,698,342</w:t>
            </w:r>
          </w:p>
        </w:tc>
        <w:tc>
          <w:tcPr>
            <w:tcW w:w="6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040" w:type="dxa"/>
            <w:vAlign w:val="bottom"/>
            <w:tcBorders>
              <w:bottom w:val="single" w:sz="8" w:color="auto"/>
            </w:tcBorders>
            <w:gridSpan w:val="3"/>
          </w:tcPr>
          <w:p>
            <w:pPr>
              <w:ind w:left="100"/>
              <w:spacing w:after="0"/>
              <w:rPr>
                <w:sz w:val="20"/>
                <w:szCs w:val="20"/>
                <w:color w:val="auto"/>
              </w:rPr>
            </w:pPr>
            <w:r>
              <w:rPr>
                <w:rFonts w:ascii="Arial" w:cs="Arial" w:eastAsia="Arial" w:hAnsi="Arial"/>
                <w:sz w:val="20"/>
                <w:szCs w:val="20"/>
                <w:color w:val="auto"/>
                <w:w w:val="97"/>
              </w:rPr>
              <w:t>CHECK BOX IF THE AGGREGATE AMOUNT IN ROW (9) EXCLUDES CERTAIN SHARES</w:t>
            </w:r>
          </w:p>
        </w:tc>
        <w:tc>
          <w:tcPr>
            <w:tcW w:w="1300" w:type="dxa"/>
            <w:vAlign w:val="bottom"/>
            <w:tcBorders>
              <w:bottom w:val="single" w:sz="8" w:color="auto"/>
              <w:right w:val="single" w:sz="8" w:color="auto"/>
            </w:tcBorders>
          </w:tcPr>
          <w:p>
            <w:pPr>
              <w:jc w:val="center"/>
              <w:ind w:right="40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11</w:t>
            </w:r>
          </w:p>
        </w:tc>
        <w:tc>
          <w:tcPr>
            <w:tcW w:w="804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480" w:type="dxa"/>
            <w:vAlign w:val="bottom"/>
          </w:tcPr>
          <w:p>
            <w:pPr>
              <w:jc w:val="right"/>
              <w:ind w:right="441"/>
              <w:spacing w:after="0"/>
              <w:rPr>
                <w:sz w:val="20"/>
                <w:szCs w:val="20"/>
                <w:color w:val="auto"/>
              </w:rPr>
            </w:pPr>
            <w:r>
              <w:rPr>
                <w:rFonts w:ascii="Arial" w:cs="Arial" w:eastAsia="Arial" w:hAnsi="Arial"/>
                <w:sz w:val="20"/>
                <w:szCs w:val="20"/>
                <w:color w:val="auto"/>
              </w:rPr>
              <w:t>6.88%</w:t>
            </w:r>
          </w:p>
        </w:tc>
        <w:tc>
          <w:tcPr>
            <w:tcW w:w="6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560" w:type="dxa"/>
            <w:vAlign w:val="bottom"/>
            <w:tcBorders>
              <w:bottom w:val="single" w:sz="8" w:color="auto"/>
            </w:tcBorders>
            <w:gridSpan w:val="2"/>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2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04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right w:val="single" w:sz="8" w:color="auto"/>
            </w:tcBorders>
          </w:tcPr>
          <w:p>
            <w:pPr>
              <w:spacing w:after="0"/>
              <w:rPr>
                <w:sz w:val="21"/>
                <w:szCs w:val="21"/>
                <w:color w:val="auto"/>
              </w:rPr>
            </w:pPr>
          </w:p>
        </w:tc>
        <w:tc>
          <w:tcPr>
            <w:tcW w:w="154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650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ind w:left="60"/>
        <w:spacing w:after="0"/>
        <w:tabs>
          <w:tab w:leader="none" w:pos="5460" w:val="left"/>
          <w:tab w:leader="none" w:pos="1000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11 Pages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300" w:type="dxa"/>
            <w:vAlign w:val="bottom"/>
            <w:tcBorders>
              <w:top w:val="single" w:sz="8" w:color="auto"/>
            </w:tcBorders>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300" w:type="dxa"/>
            <w:vAlign w:val="bottom"/>
            <w:gridSpan w:val="2"/>
          </w:tcPr>
          <w:p>
            <w:pPr>
              <w:ind w:left="420"/>
              <w:spacing w:after="0"/>
              <w:rPr>
                <w:sz w:val="20"/>
                <w:szCs w:val="20"/>
                <w:color w:val="auto"/>
              </w:rPr>
            </w:pPr>
            <w:r>
              <w:rPr>
                <w:rFonts w:ascii="Arial" w:cs="Arial" w:eastAsia="Arial" w:hAnsi="Arial"/>
                <w:sz w:val="20"/>
                <w:szCs w:val="20"/>
                <w:color w:val="auto"/>
              </w:rPr>
              <w:t>Phillip Gross</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30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460" w:type="dxa"/>
            <w:vAlign w:val="bottom"/>
            <w:tcBorders>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30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30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300" w:type="dxa"/>
            <w:vAlign w:val="bottom"/>
            <w:gridSpan w:val="2"/>
          </w:tcPr>
          <w:p>
            <w:pPr>
              <w:ind w:left="420"/>
              <w:spacing w:after="0"/>
              <w:rPr>
                <w:sz w:val="20"/>
                <w:szCs w:val="20"/>
                <w:color w:val="auto"/>
              </w:rPr>
            </w:pPr>
            <w:r>
              <w:rPr>
                <w:rFonts w:ascii="Arial" w:cs="Arial" w:eastAsia="Arial" w:hAnsi="Arial"/>
                <w:sz w:val="20"/>
                <w:szCs w:val="20"/>
                <w:color w:val="auto"/>
              </w:rPr>
              <w:t>United States</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40" w:type="dxa"/>
            <w:vAlign w:val="bottom"/>
            <w:tcBorders>
              <w:right w:val="single" w:sz="8" w:color="auto"/>
            </w:tcBorders>
          </w:tcPr>
          <w:p>
            <w:pPr>
              <w:ind w:left="560"/>
              <w:spacing w:after="0"/>
              <w:rPr>
                <w:sz w:val="20"/>
                <w:szCs w:val="20"/>
                <w:color w:val="auto"/>
              </w:rPr>
            </w:pPr>
            <w:r>
              <w:rPr>
                <w:rFonts w:ascii="Arial" w:cs="Arial" w:eastAsia="Arial" w:hAnsi="Arial"/>
                <w:sz w:val="20"/>
                <w:szCs w:val="20"/>
                <w:b w:val="1"/>
                <w:bCs w:val="1"/>
                <w:color w:val="auto"/>
              </w:rPr>
              <w:t>5</w:t>
            </w:r>
          </w:p>
        </w:tc>
        <w:tc>
          <w:tcPr>
            <w:tcW w:w="706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40" w:type="dxa"/>
            <w:vAlign w:val="bottom"/>
            <w:tcBorders>
              <w:right w:val="single" w:sz="8" w:color="auto"/>
            </w:tcBorders>
          </w:tcPr>
          <w:p>
            <w:pPr>
              <w:spacing w:after="0"/>
              <w:rPr>
                <w:sz w:val="21"/>
                <w:szCs w:val="21"/>
                <w:color w:val="auto"/>
              </w:rPr>
            </w:pPr>
          </w:p>
        </w:tc>
        <w:tc>
          <w:tcPr>
            <w:tcW w:w="7060" w:type="dxa"/>
            <w:vAlign w:val="bottom"/>
          </w:tcPr>
          <w:p>
            <w:pPr>
              <w:ind w:left="440"/>
              <w:spacing w:after="0"/>
              <w:rPr>
                <w:sz w:val="20"/>
                <w:szCs w:val="20"/>
                <w:color w:val="auto"/>
              </w:rPr>
            </w:pPr>
            <w:r>
              <w:rPr>
                <w:rFonts w:ascii="Arial" w:cs="Arial" w:eastAsia="Arial" w:hAnsi="Arial"/>
                <w:sz w:val="20"/>
                <w:szCs w:val="20"/>
                <w:color w:val="auto"/>
              </w:rPr>
              <w:t>0</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6</w:t>
            </w:r>
          </w:p>
        </w:tc>
        <w:tc>
          <w:tcPr>
            <w:tcW w:w="7060" w:type="dxa"/>
            <w:vAlign w:val="bottom"/>
            <w:vMerge w:val="restart"/>
          </w:tcPr>
          <w:p>
            <w:pPr>
              <w:ind w:left="100"/>
              <w:spacing w:after="0"/>
              <w:rPr>
                <w:sz w:val="20"/>
                <w:szCs w:val="20"/>
                <w:color w:val="auto"/>
              </w:rPr>
            </w:pPr>
            <w:r>
              <w:rPr>
                <w:rFonts w:ascii="Arial" w:cs="Arial" w:eastAsia="Arial" w:hAnsi="Arial"/>
                <w:sz w:val="20"/>
                <w:szCs w:val="20"/>
                <w:color w:val="auto"/>
              </w:rPr>
              <w:t>SHARED VOTING POWER</w:t>
            </w: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40" w:type="dxa"/>
            <w:vAlign w:val="bottom"/>
            <w:tcBorders>
              <w:right w:val="single" w:sz="8" w:color="auto"/>
            </w:tcBorders>
            <w:vMerge w:val="continue"/>
          </w:tcPr>
          <w:p>
            <w:pPr>
              <w:spacing w:after="0"/>
              <w:rPr>
                <w:sz w:val="17"/>
                <w:szCs w:val="17"/>
                <w:color w:val="auto"/>
              </w:rPr>
            </w:pPr>
          </w:p>
        </w:tc>
        <w:tc>
          <w:tcPr>
            <w:tcW w:w="7060" w:type="dxa"/>
            <w:vAlign w:val="bottom"/>
            <w:vMerge w:val="continue"/>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40" w:type="dxa"/>
            <w:vAlign w:val="bottom"/>
            <w:tcBorders>
              <w:right w:val="single" w:sz="8" w:color="auto"/>
            </w:tcBorders>
          </w:tcPr>
          <w:p>
            <w:pPr>
              <w:spacing w:after="0"/>
              <w:rPr>
                <w:sz w:val="22"/>
                <w:szCs w:val="22"/>
                <w:color w:val="auto"/>
              </w:rPr>
            </w:pPr>
          </w:p>
        </w:tc>
        <w:tc>
          <w:tcPr>
            <w:tcW w:w="7060" w:type="dxa"/>
            <w:vAlign w:val="bottom"/>
          </w:tcPr>
          <w:p>
            <w:pPr>
              <w:ind w:left="440"/>
              <w:spacing w:after="0"/>
              <w:rPr>
                <w:sz w:val="20"/>
                <w:szCs w:val="20"/>
                <w:color w:val="auto"/>
              </w:rPr>
            </w:pPr>
            <w:r>
              <w:rPr>
                <w:rFonts w:ascii="Arial" w:cs="Arial" w:eastAsia="Arial" w:hAnsi="Arial"/>
                <w:sz w:val="20"/>
                <w:szCs w:val="20"/>
                <w:color w:val="auto"/>
              </w:rPr>
              <w:t>5,698,342</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40" w:type="dxa"/>
            <w:vAlign w:val="bottom"/>
            <w:tcBorders>
              <w:bottom w:val="single" w:sz="8" w:color="auto"/>
              <w:right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7</w:t>
            </w:r>
          </w:p>
        </w:tc>
        <w:tc>
          <w:tcPr>
            <w:tcW w:w="706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40" w:type="dxa"/>
            <w:vAlign w:val="bottom"/>
            <w:tcBorders>
              <w:right w:val="single" w:sz="8" w:color="auto"/>
            </w:tcBorders>
            <w:vMerge w:val="continue"/>
          </w:tcPr>
          <w:p>
            <w:pPr>
              <w:spacing w:after="0"/>
              <w:rPr>
                <w:sz w:val="12"/>
                <w:szCs w:val="12"/>
                <w:color w:val="auto"/>
              </w:rPr>
            </w:pPr>
          </w:p>
        </w:tc>
        <w:tc>
          <w:tcPr>
            <w:tcW w:w="7060" w:type="dxa"/>
            <w:vAlign w:val="bottom"/>
            <w:vMerge w:val="continue"/>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70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1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40" w:type="dxa"/>
            <w:vAlign w:val="bottom"/>
            <w:tcBorders>
              <w:right w:val="single" w:sz="8" w:color="auto"/>
            </w:tcBorders>
          </w:tcPr>
          <w:p>
            <w:pPr>
              <w:spacing w:after="0"/>
              <w:rPr>
                <w:sz w:val="14"/>
                <w:szCs w:val="14"/>
                <w:color w:val="auto"/>
              </w:rPr>
            </w:pPr>
          </w:p>
        </w:tc>
        <w:tc>
          <w:tcPr>
            <w:tcW w:w="7060" w:type="dxa"/>
            <w:vAlign w:val="bottom"/>
            <w:vMerge w:val="continue"/>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7060" w:type="dxa"/>
            <w:vAlign w:val="bottom"/>
          </w:tcPr>
          <w:p>
            <w:pPr>
              <w:spacing w:after="0"/>
              <w:rPr>
                <w:sz w:val="5"/>
                <w:szCs w:val="5"/>
                <w:color w:val="auto"/>
              </w:rPr>
            </w:pPr>
          </w:p>
        </w:tc>
        <w:tc>
          <w:tcPr>
            <w:tcW w:w="1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40" w:type="dxa"/>
            <w:vAlign w:val="bottom"/>
            <w:tcBorders>
              <w:bottom w:val="single" w:sz="8" w:color="auto"/>
              <w:right w:val="single" w:sz="8" w:color="auto"/>
            </w:tcBorders>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40" w:type="dxa"/>
            <w:vAlign w:val="bottom"/>
            <w:tcBorders>
              <w:right w:val="single" w:sz="8" w:color="auto"/>
            </w:tcBorders>
            <w:vMerge w:val="restart"/>
          </w:tcPr>
          <w:p>
            <w:pPr>
              <w:ind w:left="560"/>
              <w:spacing w:after="0"/>
              <w:rPr>
                <w:sz w:val="20"/>
                <w:szCs w:val="20"/>
                <w:color w:val="auto"/>
              </w:rPr>
            </w:pPr>
            <w:r>
              <w:rPr>
                <w:rFonts w:ascii="Arial" w:cs="Arial" w:eastAsia="Arial" w:hAnsi="Arial"/>
                <w:sz w:val="20"/>
                <w:szCs w:val="20"/>
                <w:b w:val="1"/>
                <w:bCs w:val="1"/>
                <w:color w:val="auto"/>
              </w:rPr>
              <w:t>8</w:t>
            </w:r>
          </w:p>
        </w:tc>
        <w:tc>
          <w:tcPr>
            <w:tcW w:w="706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7060" w:type="dxa"/>
            <w:vAlign w:val="bottom"/>
            <w:vMerge w:val="continue"/>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7060" w:type="dxa"/>
            <w:vAlign w:val="bottom"/>
          </w:tcPr>
          <w:p>
            <w:pPr>
              <w:ind w:left="440"/>
              <w:spacing w:after="0"/>
              <w:rPr>
                <w:sz w:val="20"/>
                <w:szCs w:val="20"/>
                <w:color w:val="auto"/>
              </w:rPr>
            </w:pPr>
            <w:r>
              <w:rPr>
                <w:rFonts w:ascii="Arial" w:cs="Arial" w:eastAsia="Arial" w:hAnsi="Arial"/>
                <w:sz w:val="20"/>
                <w:szCs w:val="20"/>
                <w:color w:val="auto"/>
              </w:rPr>
              <w:t>5,698,342</w:t>
            </w: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30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20"/>
              <w:spacing w:after="0"/>
              <w:rPr>
                <w:sz w:val="20"/>
                <w:szCs w:val="20"/>
                <w:color w:val="auto"/>
              </w:rPr>
            </w:pPr>
            <w:r>
              <w:rPr>
                <w:rFonts w:ascii="Arial" w:cs="Arial" w:eastAsia="Arial" w:hAnsi="Arial"/>
                <w:sz w:val="20"/>
                <w:szCs w:val="20"/>
                <w:color w:val="auto"/>
                <w:w w:val="87"/>
              </w:rPr>
              <w:t>5,698,342</w:t>
            </w:r>
          </w:p>
        </w:tc>
        <w:tc>
          <w:tcPr>
            <w:tcW w:w="70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300" w:type="dxa"/>
            <w:vAlign w:val="bottom"/>
            <w:gridSpan w:val="2"/>
          </w:tcPr>
          <w:p>
            <w:pPr>
              <w:ind w:left="100"/>
              <w:spacing w:after="0"/>
              <w:rPr>
                <w:sz w:val="20"/>
                <w:szCs w:val="20"/>
                <w:color w:val="auto"/>
              </w:rPr>
            </w:pPr>
            <w:r>
              <w:rPr>
                <w:rFonts w:ascii="Arial" w:cs="Arial" w:eastAsia="Arial" w:hAnsi="Arial"/>
                <w:sz w:val="20"/>
                <w:szCs w:val="20"/>
                <w:color w:val="auto"/>
              </w:rPr>
              <w:t>CHECK BOX IF THE AGGREGATE AMOUNT IN ROW (9) EXCLUDES CERTAIN SHARES</w:t>
            </w:r>
          </w:p>
        </w:tc>
        <w:tc>
          <w:tcPr>
            <w:tcW w:w="1460" w:type="dxa"/>
            <w:vAlign w:val="bottom"/>
            <w:tcBorders>
              <w:right w:val="single" w:sz="8" w:color="auto"/>
            </w:tcBorders>
            <w:vMerge w:val="restart"/>
          </w:tcPr>
          <w:p>
            <w:pPr>
              <w:jc w:val="center"/>
              <w:ind w:right="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30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20"/>
              <w:spacing w:after="0"/>
              <w:rPr>
                <w:sz w:val="20"/>
                <w:szCs w:val="20"/>
                <w:color w:val="auto"/>
              </w:rPr>
            </w:pPr>
            <w:r>
              <w:rPr>
                <w:rFonts w:ascii="Arial" w:cs="Arial" w:eastAsia="Arial" w:hAnsi="Arial"/>
                <w:sz w:val="20"/>
                <w:szCs w:val="20"/>
                <w:color w:val="auto"/>
              </w:rPr>
              <w:t>6.88%</w:t>
            </w:r>
          </w:p>
        </w:tc>
        <w:tc>
          <w:tcPr>
            <w:tcW w:w="70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30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4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40" w:type="dxa"/>
            <w:vAlign w:val="bottom"/>
          </w:tcPr>
          <w:p>
            <w:pPr>
              <w:ind w:left="420"/>
              <w:spacing w:after="0"/>
              <w:rPr>
                <w:sz w:val="20"/>
                <w:szCs w:val="20"/>
                <w:color w:val="auto"/>
              </w:rPr>
            </w:pPr>
            <w:r>
              <w:rPr>
                <w:rFonts w:ascii="Arial" w:cs="Arial" w:eastAsia="Arial" w:hAnsi="Arial"/>
                <w:sz w:val="20"/>
                <w:szCs w:val="20"/>
                <w:color w:val="auto"/>
              </w:rPr>
              <w:t>IN</w:t>
            </w:r>
          </w:p>
        </w:tc>
        <w:tc>
          <w:tcPr>
            <w:tcW w:w="70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706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tabs>
          <w:tab w:leader="none" w:pos="5400" w:val="left"/>
          <w:tab w:leader="none" w:pos="994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ectPr>
          <w:pgSz w:w="11900" w:h="16838" w:orient="portrait"/>
          <w:cols w:equalWidth="0" w:num="1">
            <w:col w:w="11360"/>
          </w:cols>
          <w:pgMar w:left="30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1280" w:type="dxa"/>
            <w:vAlign w:val="bottom"/>
          </w:tcPr>
          <w:p>
            <w:pPr>
              <w:ind w:left="20"/>
              <w:spacing w:after="0"/>
              <w:rPr>
                <w:sz w:val="20"/>
                <w:szCs w:val="20"/>
                <w:color w:val="auto"/>
              </w:rPr>
            </w:pPr>
            <w:r>
              <w:rPr>
                <w:rFonts w:ascii="Arial" w:cs="Arial" w:eastAsia="Arial" w:hAnsi="Arial"/>
                <w:sz w:val="20"/>
                <w:szCs w:val="20"/>
                <w:b w:val="1"/>
                <w:bCs w:val="1"/>
                <w:color w:val="auto"/>
              </w:rPr>
              <w:t>Item 1(a).</w:t>
            </w:r>
          </w:p>
        </w:tc>
        <w:tc>
          <w:tcPr>
            <w:tcW w:w="994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80" w:type="dxa"/>
            <w:vAlign w:val="bottom"/>
          </w:tcPr>
          <w:p>
            <w:pPr>
              <w:spacing w:after="0"/>
              <w:rPr>
                <w:sz w:val="17"/>
                <w:szCs w:val="17"/>
                <w:color w:val="auto"/>
              </w:rPr>
            </w:pPr>
          </w:p>
        </w:tc>
        <w:tc>
          <w:tcPr>
            <w:tcW w:w="9940" w:type="dxa"/>
            <w:vAlign w:val="bottom"/>
            <w:gridSpan w:val="15"/>
          </w:tcPr>
          <w:p>
            <w:pPr>
              <w:ind w:left="440"/>
              <w:spacing w:after="0" w:line="206" w:lineRule="exact"/>
              <w:rPr>
                <w:sz w:val="20"/>
                <w:szCs w:val="20"/>
                <w:color w:val="auto"/>
              </w:rPr>
            </w:pPr>
            <w:r>
              <w:rPr>
                <w:rFonts w:ascii="Arial" w:cs="Arial" w:eastAsia="Arial" w:hAnsi="Arial"/>
                <w:sz w:val="20"/>
                <w:szCs w:val="20"/>
                <w:color w:val="auto"/>
              </w:rPr>
              <w:t>The name of the issuer is Ardelyx, Inc. (the “Company”).</w:t>
            </w:r>
          </w:p>
        </w:tc>
      </w:tr>
      <w:tr>
        <w:trPr>
          <w:trHeight w:val="20"/>
        </w:trPr>
        <w:tc>
          <w:tcPr>
            <w:tcW w:w="1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733"/>
        </w:trPr>
        <w:tc>
          <w:tcPr>
            <w:tcW w:w="1280" w:type="dxa"/>
            <w:vAlign w:val="bottom"/>
          </w:tcPr>
          <w:p>
            <w:pPr>
              <w:ind w:left="20"/>
              <w:spacing w:after="0"/>
              <w:rPr>
                <w:sz w:val="20"/>
                <w:szCs w:val="20"/>
                <w:color w:val="auto"/>
              </w:rPr>
            </w:pPr>
            <w:r>
              <w:rPr>
                <w:rFonts w:ascii="Arial" w:cs="Arial" w:eastAsia="Arial" w:hAnsi="Arial"/>
                <w:sz w:val="20"/>
                <w:szCs w:val="20"/>
                <w:b w:val="1"/>
                <w:bCs w:val="1"/>
                <w:color w:val="auto"/>
              </w:rPr>
              <w:t>Item 1(b).</w:t>
            </w:r>
          </w:p>
        </w:tc>
        <w:tc>
          <w:tcPr>
            <w:tcW w:w="994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30"/>
        </w:trPr>
        <w:tc>
          <w:tcPr>
            <w:tcW w:w="1280" w:type="dxa"/>
            <w:vAlign w:val="bottom"/>
          </w:tcPr>
          <w:p>
            <w:pPr>
              <w:spacing w:after="0"/>
              <w:rPr>
                <w:sz w:val="19"/>
                <w:szCs w:val="19"/>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w w:val="95"/>
              </w:rPr>
              <w:t>The Company’s principal executive offices are located at 34175 Ardenwood Blvd., Suite 200, Fremont, California</w:t>
            </w:r>
          </w:p>
        </w:tc>
      </w:tr>
      <w:tr>
        <w:trPr>
          <w:trHeight w:val="250"/>
        </w:trPr>
        <w:tc>
          <w:tcPr>
            <w:tcW w:w="1280" w:type="dxa"/>
            <w:vAlign w:val="bottom"/>
          </w:tcPr>
          <w:p>
            <w:pPr>
              <w:spacing w:after="0"/>
              <w:rPr>
                <w:sz w:val="21"/>
                <w:szCs w:val="21"/>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94555.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695"/>
        </w:trPr>
        <w:tc>
          <w:tcPr>
            <w:tcW w:w="1280" w:type="dxa"/>
            <w:vAlign w:val="bottom"/>
          </w:tcPr>
          <w:p>
            <w:pPr>
              <w:ind w:left="20"/>
              <w:spacing w:after="0"/>
              <w:rPr>
                <w:sz w:val="20"/>
                <w:szCs w:val="20"/>
                <w:color w:val="auto"/>
              </w:rPr>
            </w:pPr>
            <w:r>
              <w:rPr>
                <w:rFonts w:ascii="Arial" w:cs="Arial" w:eastAsia="Arial" w:hAnsi="Arial"/>
                <w:sz w:val="20"/>
                <w:szCs w:val="20"/>
                <w:b w:val="1"/>
                <w:bCs w:val="1"/>
                <w:color w:val="auto"/>
              </w:rPr>
              <w:t>Item 2(a).</w:t>
            </w:r>
          </w:p>
        </w:tc>
        <w:tc>
          <w:tcPr>
            <w:tcW w:w="994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80" w:type="dxa"/>
            <w:vAlign w:val="bottom"/>
          </w:tcPr>
          <w:p>
            <w:pPr>
              <w:spacing w:after="0"/>
              <w:rPr>
                <w:sz w:val="21"/>
                <w:szCs w:val="21"/>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42"/>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w:t>
            </w: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w w:val="91"/>
              </w:rPr>
              <w:t>Adage Capital Partners, L.P., a Delaware limited partnership (“ACP”) with respect to the shares of Common</w:t>
            </w:r>
          </w:p>
        </w:tc>
      </w:tr>
      <w:tr>
        <w:trPr>
          <w:trHeight w:val="254"/>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120" w:type="dxa"/>
            <w:vAlign w:val="bottom"/>
            <w:gridSpan w:val="10"/>
          </w:tcPr>
          <w:p>
            <w:pPr>
              <w:ind w:left="120"/>
              <w:spacing w:after="0"/>
              <w:rPr>
                <w:sz w:val="20"/>
                <w:szCs w:val="20"/>
                <w:color w:val="auto"/>
              </w:rPr>
            </w:pPr>
            <w:r>
              <w:rPr>
                <w:rFonts w:ascii="Arial" w:cs="Arial" w:eastAsia="Arial" w:hAnsi="Arial"/>
                <w:sz w:val="20"/>
                <w:szCs w:val="20"/>
                <w:color w:val="auto"/>
              </w:rPr>
              <w:t>Stock directly owned by it;</w:t>
            </w:r>
          </w:p>
        </w:tc>
        <w:tc>
          <w:tcPr>
            <w:tcW w:w="380" w:type="dxa"/>
            <w:vAlign w:val="bottom"/>
            <w:tcBorders>
              <w:top w:val="single" w:sz="8" w:color="auto"/>
            </w:tcBorders>
          </w:tcPr>
          <w:p>
            <w:pPr>
              <w:spacing w:after="0"/>
              <w:rPr>
                <w:sz w:val="22"/>
                <w:szCs w:val="22"/>
                <w:color w:val="auto"/>
              </w:rPr>
            </w:pPr>
          </w:p>
        </w:tc>
        <w:tc>
          <w:tcPr>
            <w:tcW w:w="3320" w:type="dxa"/>
            <w:vAlign w:val="bottom"/>
            <w:gridSpan w:val="3"/>
          </w:tcPr>
          <w:p>
            <w:pPr>
              <w:spacing w:after="0"/>
              <w:rPr>
                <w:sz w:val="22"/>
                <w:szCs w:val="22"/>
                <w:color w:val="auto"/>
              </w:rPr>
            </w:pPr>
          </w:p>
        </w:tc>
      </w:tr>
      <w:tr>
        <w:trPr>
          <w:trHeight w:val="452"/>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(ii)</w:t>
            </w: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w w:val="96"/>
              </w:rPr>
              <w:t>Adage Capital Partners GP, L.L.C., a limited liability company organized under the laws of the State of</w:t>
            </w:r>
          </w:p>
        </w:tc>
      </w:tr>
      <w:tr>
        <w:trPr>
          <w:trHeight w:val="206"/>
        </w:trPr>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20" w:type="dxa"/>
            <w:vAlign w:val="bottom"/>
            <w:gridSpan w:val="14"/>
          </w:tcPr>
          <w:p>
            <w:pPr>
              <w:ind w:left="120"/>
              <w:spacing w:after="0" w:line="206" w:lineRule="exact"/>
              <w:rPr>
                <w:sz w:val="20"/>
                <w:szCs w:val="20"/>
                <w:color w:val="auto"/>
              </w:rPr>
            </w:pPr>
            <w:r>
              <w:rPr>
                <w:rFonts w:ascii="Arial" w:cs="Arial" w:eastAsia="Arial" w:hAnsi="Arial"/>
                <w:sz w:val="20"/>
                <w:szCs w:val="20"/>
                <w:color w:val="auto"/>
                <w:w w:val="90"/>
              </w:rPr>
              <w:t>Delaware (“ACPGP”), as general partner of ACP with respect to the shares of Common Stock directly owned</w:t>
            </w:r>
          </w:p>
        </w:tc>
      </w:tr>
      <w:tr>
        <w:trPr>
          <w:trHeight w:val="254"/>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ind w:left="120"/>
              <w:spacing w:after="0"/>
              <w:rPr>
                <w:sz w:val="20"/>
                <w:szCs w:val="20"/>
                <w:color w:val="auto"/>
              </w:rPr>
            </w:pPr>
            <w:r>
              <w:rPr>
                <w:rFonts w:ascii="Arial" w:cs="Arial" w:eastAsia="Arial" w:hAnsi="Arial"/>
                <w:sz w:val="20"/>
                <w:szCs w:val="20"/>
                <w:color w:val="auto"/>
              </w:rPr>
              <w:t>by ACP;</w:t>
            </w:r>
          </w:p>
        </w:tc>
        <w:tc>
          <w:tcPr>
            <w:tcW w:w="640" w:type="dxa"/>
            <w:vAlign w:val="bottom"/>
            <w:tcBorders>
              <w:top w:val="single" w:sz="8" w:color="auto"/>
            </w:tcBorders>
            <w:gridSpan w:val="4"/>
          </w:tcPr>
          <w:p>
            <w:pPr>
              <w:spacing w:after="0"/>
              <w:rPr>
                <w:sz w:val="22"/>
                <w:szCs w:val="22"/>
                <w:color w:val="auto"/>
              </w:rPr>
            </w:pPr>
          </w:p>
        </w:tc>
        <w:tc>
          <w:tcPr>
            <w:tcW w:w="7100" w:type="dxa"/>
            <w:vAlign w:val="bottom"/>
            <w:gridSpan w:val="9"/>
          </w:tcPr>
          <w:p>
            <w:pPr>
              <w:spacing w:after="0"/>
              <w:rPr>
                <w:sz w:val="22"/>
                <w:szCs w:val="22"/>
                <w:color w:val="auto"/>
              </w:rPr>
            </w:pPr>
          </w:p>
        </w:tc>
      </w:tr>
      <w:tr>
        <w:trPr>
          <w:trHeight w:val="452"/>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(iii)</w:t>
            </w: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w w:val="99"/>
              </w:rPr>
              <w:t>Adage Capital Advisors, L.L.C., a limited liability company organized under the laws of the State of</w:t>
            </w:r>
          </w:p>
        </w:tc>
      </w:tr>
      <w:tr>
        <w:trPr>
          <w:trHeight w:val="206"/>
        </w:trPr>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20" w:type="dxa"/>
            <w:vAlign w:val="bottom"/>
            <w:gridSpan w:val="14"/>
          </w:tcPr>
          <w:p>
            <w:pPr>
              <w:ind w:left="120"/>
              <w:spacing w:after="0" w:line="206" w:lineRule="exact"/>
              <w:rPr>
                <w:sz w:val="20"/>
                <w:szCs w:val="20"/>
                <w:color w:val="auto"/>
              </w:rPr>
            </w:pPr>
            <w:r>
              <w:rPr>
                <w:rFonts w:ascii="Arial" w:cs="Arial" w:eastAsia="Arial" w:hAnsi="Arial"/>
                <w:sz w:val="20"/>
                <w:szCs w:val="20"/>
                <w:color w:val="auto"/>
                <w:w w:val="92"/>
              </w:rPr>
              <w:t>Delaware (“ACA”), as managing member of ACPGP, general partner of ACP, with respect to the shares of</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rPr>
              <w:t>Common Stock directly owned by ACP;</w:t>
            </w:r>
          </w:p>
        </w:tc>
      </w:tr>
      <w:tr>
        <w:trPr>
          <w:trHeight w:val="428"/>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(iv)</w:t>
            </w: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w w:val="92"/>
              </w:rPr>
              <w:t>Robert Atchinson (“Mr. Atchinson”), as managing member of ACA, managing member of ACPGP, general</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rPr>
              <w:t>partner of ACP with respect to the shares of Common Stock directly owned by ACP; and</w:t>
            </w:r>
          </w:p>
        </w:tc>
      </w:tr>
      <w:tr>
        <w:trPr>
          <w:trHeight w:val="428"/>
        </w:trPr>
        <w:tc>
          <w:tcPr>
            <w:tcW w:w="12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(v)</w:t>
            </w: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w w:val="91"/>
              </w:rPr>
              <w:t>Phillip Gross (“Mr. Gross”), as managing member of ACA, managing member of ACPGP, general partner of</w:t>
            </w:r>
          </w:p>
        </w:tc>
      </w:tr>
      <w:tr>
        <w:trPr>
          <w:trHeight w:val="20"/>
        </w:trPr>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20" w:type="dxa"/>
            <w:vAlign w:val="bottom"/>
            <w:gridSpan w:val="14"/>
          </w:tcPr>
          <w:p>
            <w:pPr>
              <w:ind w:left="120"/>
              <w:spacing w:after="0"/>
              <w:rPr>
                <w:sz w:val="20"/>
                <w:szCs w:val="20"/>
                <w:color w:val="auto"/>
              </w:rPr>
            </w:pPr>
            <w:r>
              <w:rPr>
                <w:rFonts w:ascii="Arial" w:cs="Arial" w:eastAsia="Arial" w:hAnsi="Arial"/>
                <w:sz w:val="20"/>
                <w:szCs w:val="20"/>
                <w:color w:val="auto"/>
              </w:rPr>
              <w:t>ACP with respect to the shares of Common Stock directly owned by ACP.</w:t>
            </w:r>
          </w:p>
        </w:tc>
      </w:tr>
      <w:tr>
        <w:trPr>
          <w:trHeight w:val="428"/>
        </w:trPr>
        <w:tc>
          <w:tcPr>
            <w:tcW w:w="1280" w:type="dxa"/>
            <w:vAlign w:val="bottom"/>
          </w:tcPr>
          <w:p>
            <w:pPr>
              <w:spacing w:after="0"/>
              <w:rPr>
                <w:sz w:val="24"/>
                <w:szCs w:val="24"/>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w w:val="91"/>
              </w:rPr>
              <w:t>The foregoing persons are hereinafter sometimes collectively referred to as the “Reporting Persons.” Any disclosures</w:t>
            </w:r>
          </w:p>
        </w:tc>
      </w:tr>
      <w:tr>
        <w:trPr>
          <w:trHeight w:val="20"/>
        </w:trPr>
        <w:tc>
          <w:tcPr>
            <w:tcW w:w="1280" w:type="dxa"/>
            <w:vAlign w:val="bottom"/>
          </w:tcPr>
          <w:p>
            <w:pPr>
              <w:spacing w:after="0" w:line="20" w:lineRule="exact"/>
              <w:rPr>
                <w:sz w:val="1"/>
                <w:szCs w:val="1"/>
                <w:color w:val="auto"/>
              </w:rPr>
            </w:pPr>
          </w:p>
        </w:tc>
        <w:tc>
          <w:tcPr>
            <w:tcW w:w="6820" w:type="dxa"/>
            <w:vAlign w:val="bottom"/>
            <w:gridSpan w:val="1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w w:val="95"/>
              </w:rPr>
              <w:t>herein with respect to persons other than the Reporting Persons are made on information and belief after making</w:t>
            </w:r>
          </w:p>
        </w:tc>
      </w:tr>
      <w:tr>
        <w:trPr>
          <w:trHeight w:val="250"/>
        </w:trPr>
        <w:tc>
          <w:tcPr>
            <w:tcW w:w="1280" w:type="dxa"/>
            <w:vAlign w:val="bottom"/>
          </w:tcPr>
          <w:p>
            <w:pPr>
              <w:spacing w:after="0"/>
              <w:rPr>
                <w:sz w:val="21"/>
                <w:szCs w:val="21"/>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52"/>
        </w:trPr>
        <w:tc>
          <w:tcPr>
            <w:tcW w:w="1280" w:type="dxa"/>
            <w:vAlign w:val="bottom"/>
          </w:tcPr>
          <w:p>
            <w:pPr>
              <w:spacing w:after="0"/>
              <w:rPr>
                <w:sz w:val="24"/>
                <w:szCs w:val="24"/>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w w:val="94"/>
              </w:rPr>
              <w:t>The filing of this statement should not be construed in and of itself as an admission by any Reporting Person as to</w:t>
            </w:r>
          </w:p>
        </w:tc>
      </w:tr>
      <w:tr>
        <w:trPr>
          <w:trHeight w:val="250"/>
        </w:trPr>
        <w:tc>
          <w:tcPr>
            <w:tcW w:w="1280" w:type="dxa"/>
            <w:vAlign w:val="bottom"/>
          </w:tcPr>
          <w:p>
            <w:pPr>
              <w:spacing w:after="0"/>
              <w:rPr>
                <w:sz w:val="21"/>
                <w:szCs w:val="21"/>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5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94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80" w:type="dxa"/>
            <w:vAlign w:val="bottom"/>
          </w:tcPr>
          <w:p>
            <w:pPr>
              <w:spacing w:after="0"/>
              <w:rPr>
                <w:sz w:val="19"/>
                <w:szCs w:val="19"/>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w w:val="95"/>
              </w:rPr>
              <w:t>The address of the business office of each of the Reporting Persons is 200 Clarendon Street, 52nd floor, Boston,</w:t>
            </w:r>
          </w:p>
        </w:tc>
      </w:tr>
      <w:tr>
        <w:trPr>
          <w:trHeight w:val="250"/>
        </w:trPr>
        <w:tc>
          <w:tcPr>
            <w:tcW w:w="1280" w:type="dxa"/>
            <w:vAlign w:val="bottom"/>
          </w:tcPr>
          <w:p>
            <w:pPr>
              <w:spacing w:after="0"/>
              <w:rPr>
                <w:sz w:val="21"/>
                <w:szCs w:val="21"/>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rPr>
              <w:t>Massachusetts 02116.</w:t>
            </w:r>
          </w:p>
        </w:tc>
      </w:tr>
      <w:tr>
        <w:trPr>
          <w:trHeight w:val="452"/>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40" w:type="dxa"/>
            <w:vAlign w:val="bottom"/>
            <w:gridSpan w:val="15"/>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280" w:type="dxa"/>
            <w:vAlign w:val="bottom"/>
          </w:tcPr>
          <w:p>
            <w:pPr>
              <w:spacing w:after="0"/>
              <w:rPr>
                <w:sz w:val="19"/>
                <w:szCs w:val="19"/>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w w:val="92"/>
              </w:rPr>
              <w:t>ACP is a limited partnership organized under the laws of the State of Delaware. ACPGP and ACA are limited liability</w:t>
            </w:r>
          </w:p>
        </w:tc>
      </w:tr>
      <w:tr>
        <w:trPr>
          <w:trHeight w:val="230"/>
        </w:trPr>
        <w:tc>
          <w:tcPr>
            <w:tcW w:w="1280" w:type="dxa"/>
            <w:vAlign w:val="bottom"/>
          </w:tcPr>
          <w:p>
            <w:pPr>
              <w:spacing w:after="0"/>
              <w:rPr>
                <w:sz w:val="19"/>
                <w:szCs w:val="19"/>
                <w:color w:val="auto"/>
              </w:rPr>
            </w:pPr>
          </w:p>
        </w:tc>
        <w:tc>
          <w:tcPr>
            <w:tcW w:w="9940" w:type="dxa"/>
            <w:vAlign w:val="bottom"/>
            <w:gridSpan w:val="15"/>
          </w:tcPr>
          <w:p>
            <w:pPr>
              <w:ind w:left="440"/>
              <w:spacing w:after="0"/>
              <w:rPr>
                <w:sz w:val="20"/>
                <w:szCs w:val="20"/>
                <w:color w:val="auto"/>
              </w:rPr>
            </w:pPr>
            <w:r>
              <w:rPr>
                <w:rFonts w:ascii="Arial" w:cs="Arial" w:eastAsia="Arial" w:hAnsi="Arial"/>
                <w:sz w:val="20"/>
                <w:szCs w:val="20"/>
                <w:color w:val="auto"/>
                <w:w w:val="90"/>
              </w:rPr>
              <w:t>companies organized under the laws of the State of Delaware. Messrs. Gross and Atchinson are citizens of the United</w:t>
            </w:r>
          </w:p>
        </w:tc>
      </w:tr>
      <w:tr>
        <w:trPr>
          <w:trHeight w:val="250"/>
        </w:trPr>
        <w:tc>
          <w:tcPr>
            <w:tcW w:w="1280" w:type="dxa"/>
            <w:vAlign w:val="bottom"/>
          </w:tcPr>
          <w:p>
            <w:pPr>
              <w:spacing w:after="0"/>
              <w:rPr>
                <w:sz w:val="21"/>
                <w:szCs w:val="21"/>
                <w:color w:val="auto"/>
              </w:rPr>
            </w:pPr>
          </w:p>
        </w:tc>
        <w:tc>
          <w:tcPr>
            <w:tcW w:w="1120" w:type="dxa"/>
            <w:vAlign w:val="bottom"/>
          </w:tcPr>
          <w:p>
            <w:pPr>
              <w:ind w:left="440"/>
              <w:spacing w:after="0"/>
              <w:rPr>
                <w:sz w:val="20"/>
                <w:szCs w:val="20"/>
                <w:color w:val="auto"/>
              </w:rPr>
            </w:pPr>
            <w:r>
              <w:rPr>
                <w:rFonts w:ascii="Arial" w:cs="Arial" w:eastAsia="Arial" w:hAnsi="Arial"/>
                <w:sz w:val="20"/>
                <w:szCs w:val="20"/>
                <w:color w:val="auto"/>
              </w:rPr>
              <w:t>States.</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60" w:type="dxa"/>
            <w:vAlign w:val="bottom"/>
          </w:tcPr>
          <w:p>
            <w:pPr>
              <w:spacing w:after="0"/>
              <w:rPr>
                <w:sz w:val="21"/>
                <w:szCs w:val="21"/>
                <w:color w:val="auto"/>
              </w:rPr>
            </w:pPr>
          </w:p>
        </w:tc>
      </w:tr>
    </w:tbl>
    <w:p>
      <w:pPr>
        <w:sectPr>
          <w:pgSz w:w="11900" w:h="16838" w:orient="portrait"/>
          <w:cols w:equalWidth="0" w:num="1">
            <w:col w:w="11360"/>
          </w:cols>
          <w:pgMar w:left="300" w:top="229" w:right="239" w:bottom="1440" w:gutter="0" w:footer="0" w:header="0"/>
          <w:type w:val="continuous"/>
        </w:sectPr>
      </w:pPr>
    </w:p>
    <w:bookmarkStart w:id="7" w:name="page8"/>
    <w:bookmarkEnd w:id="7"/>
    <w:p>
      <w:pPr>
        <w:spacing w:after="0"/>
        <w:tabs>
          <w:tab w:leader="none" w:pos="5400" w:val="left"/>
          <w:tab w:leader="none" w:pos="994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360"/>
          </w:cols>
          <w:pgMar w:left="300" w:top="229"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2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92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Common Stock, par value $0.0001 (the “Common Stock”).</w:t>
            </w:r>
          </w:p>
        </w:tc>
      </w:tr>
      <w:tr>
        <w:trPr>
          <w:trHeight w:val="73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370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240" w:type="dxa"/>
            <w:vAlign w:val="bottom"/>
            <w:tcBorders>
              <w:top w:val="single" w:sz="8" w:color="auto"/>
            </w:tcBorders>
          </w:tcPr>
          <w:p>
            <w:pPr>
              <w:spacing w:after="0"/>
              <w:rPr>
                <w:sz w:val="24"/>
                <w:szCs w:val="24"/>
                <w:color w:val="auto"/>
              </w:rPr>
            </w:pPr>
          </w:p>
        </w:tc>
        <w:tc>
          <w:tcPr>
            <w:tcW w:w="498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1640" w:type="dxa"/>
            <w:vAlign w:val="bottom"/>
            <w:gridSpan w:val="2"/>
          </w:tcPr>
          <w:p>
            <w:pPr>
              <w:ind w:left="440"/>
              <w:spacing w:after="0"/>
              <w:rPr>
                <w:sz w:val="20"/>
                <w:szCs w:val="20"/>
                <w:color w:val="auto"/>
              </w:rPr>
            </w:pPr>
            <w:r>
              <w:rPr>
                <w:rFonts w:ascii="Arial" w:cs="Arial" w:eastAsia="Arial" w:hAnsi="Arial"/>
                <w:sz w:val="20"/>
                <w:szCs w:val="20"/>
                <w:color w:val="auto"/>
              </w:rPr>
              <w:t>039697107</w:t>
            </w:r>
          </w:p>
        </w:tc>
        <w:tc>
          <w:tcPr>
            <w:tcW w:w="20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980" w:type="dxa"/>
            <w:vAlign w:val="bottom"/>
          </w:tcPr>
          <w:p>
            <w:pPr>
              <w:spacing w:after="0"/>
              <w:rPr>
                <w:sz w:val="21"/>
                <w:szCs w:val="21"/>
                <w:color w:val="auto"/>
              </w:rPr>
            </w:pPr>
          </w:p>
        </w:tc>
      </w:tr>
      <w:tr>
        <w:trPr>
          <w:trHeight w:val="70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20" w:type="dxa"/>
            <w:vAlign w:val="bottom"/>
            <w:gridSpan w:val="5"/>
          </w:tcPr>
          <w:p>
            <w:pPr>
              <w:ind w:left="44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04"/>
        </w:trPr>
        <w:tc>
          <w:tcPr>
            <w:tcW w:w="1260" w:type="dxa"/>
            <w:vAlign w:val="bottom"/>
          </w:tcPr>
          <w:p>
            <w:pPr>
              <w:spacing w:after="0"/>
              <w:rPr>
                <w:sz w:val="17"/>
                <w:szCs w:val="17"/>
                <w:color w:val="auto"/>
              </w:rPr>
            </w:pPr>
          </w:p>
        </w:tc>
        <w:tc>
          <w:tcPr>
            <w:tcW w:w="9920" w:type="dxa"/>
            <w:vAlign w:val="bottom"/>
            <w:gridSpan w:val="5"/>
          </w:tcPr>
          <w:p>
            <w:pPr>
              <w:ind w:left="440"/>
              <w:spacing w:after="0" w:line="205" w:lineRule="exact"/>
              <w:rPr>
                <w:sz w:val="20"/>
                <w:szCs w:val="20"/>
                <w:color w:val="auto"/>
              </w:rPr>
            </w:pPr>
            <w:r>
              <w:rPr>
                <w:rFonts w:ascii="Arial" w:cs="Arial" w:eastAsia="Arial" w:hAnsi="Arial"/>
                <w:sz w:val="20"/>
                <w:szCs w:val="20"/>
                <w:b w:val="1"/>
                <w:bCs w:val="1"/>
                <w:color w:val="auto"/>
              </w:rPr>
              <w:t>THE PERSON FILING IS A:</w:t>
            </w:r>
          </w:p>
        </w:tc>
      </w:tr>
      <w:tr>
        <w:trPr>
          <w:trHeight w:val="339"/>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(a)</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(b)</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Bank as defined in Section 3(a)(6) of the Act;</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(c)</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(d)</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(e)</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(f)</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22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(g)</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2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(h)</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395"/>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(i)</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w w:val="92"/>
              </w:rPr>
              <w:t>A church plan that is excluded from the definition of an investment company under Section 3(c)(14)</w:t>
            </w:r>
          </w:p>
        </w:tc>
      </w:tr>
      <w:tr>
        <w:trPr>
          <w:trHeight w:val="250"/>
        </w:trPr>
        <w:tc>
          <w:tcPr>
            <w:tcW w:w="1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of the Investment Company Act;</w:t>
            </w:r>
          </w:p>
        </w:tc>
      </w:tr>
      <w:tr>
        <w:trPr>
          <w:trHeight w:val="530"/>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(j)</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73"/>
        </w:trPr>
        <w:tc>
          <w:tcPr>
            <w:tcW w:w="1260" w:type="dxa"/>
            <w:vAlign w:val="bottom"/>
          </w:tcPr>
          <w:p>
            <w:pPr>
              <w:spacing w:after="0"/>
              <w:rPr>
                <w:sz w:val="24"/>
                <w:szCs w:val="24"/>
                <w:color w:val="auto"/>
              </w:rPr>
            </w:pPr>
          </w:p>
        </w:tc>
        <w:tc>
          <w:tcPr>
            <w:tcW w:w="980" w:type="dxa"/>
            <w:vAlign w:val="bottom"/>
          </w:tcPr>
          <w:p>
            <w:pPr>
              <w:ind w:left="440"/>
              <w:spacing w:after="0"/>
              <w:rPr>
                <w:sz w:val="20"/>
                <w:szCs w:val="20"/>
                <w:color w:val="auto"/>
              </w:rPr>
            </w:pPr>
            <w:r>
              <w:rPr>
                <w:rFonts w:ascii="Arial" w:cs="Arial" w:eastAsia="Arial" w:hAnsi="Arial"/>
                <w:sz w:val="20"/>
                <w:szCs w:val="20"/>
                <w:color w:val="auto"/>
              </w:rPr>
              <w:t>(k)</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280" w:type="dxa"/>
            <w:vAlign w:val="bottom"/>
            <w:gridSpan w:val="3"/>
          </w:tcPr>
          <w:p>
            <w:pPr>
              <w:ind w:left="180"/>
              <w:spacing w:after="0"/>
              <w:rPr>
                <w:sz w:val="20"/>
                <w:szCs w:val="20"/>
                <w:color w:val="auto"/>
              </w:rPr>
            </w:pPr>
            <w:r>
              <w:rPr>
                <w:rFonts w:ascii="Arial" w:cs="Arial" w:eastAsia="Arial" w:hAnsi="Arial"/>
                <w:sz w:val="20"/>
                <w:szCs w:val="20"/>
                <w:color w:val="auto"/>
              </w:rPr>
              <w:t>Group, in accordance with Rule 13d-1(b)(1)(ii)(K).</w:t>
            </w:r>
          </w:p>
        </w:tc>
      </w:tr>
    </w:tbl>
    <w:p>
      <w:pPr>
        <w:spacing w:after="0" w:line="192" w:lineRule="exact"/>
        <w:rPr>
          <w:sz w:val="20"/>
          <w:szCs w:val="20"/>
          <w:color w:val="auto"/>
        </w:rPr>
      </w:pPr>
    </w:p>
    <w:p>
      <w:pPr>
        <w:ind w:left="1760" w:right="3040"/>
        <w:spacing w:after="0" w:line="275"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ectPr>
          <w:pgSz w:w="11900" w:h="16838" w:orient="portrait"/>
          <w:cols w:equalWidth="0" w:num="1">
            <w:col w:w="11360"/>
          </w:cols>
          <w:pgMar w:left="300" w:top="229" w:right="23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t>CUSIP No. 039697107</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9 of 11 Pages</w:t>
      </w:r>
    </w:p>
    <w:p>
      <w:pPr>
        <w:spacing w:after="0" w:line="222" w:lineRule="exact"/>
        <w:rPr>
          <w:sz w:val="20"/>
          <w:szCs w:val="20"/>
          <w:color w:val="auto"/>
        </w:rPr>
      </w:pPr>
    </w:p>
    <w:p>
      <w:pPr>
        <w:sectPr>
          <w:pgSz w:w="11900" w:h="16838" w:orient="portrait"/>
          <w:cols w:equalWidth="0" w:num="3">
            <w:col w:w="4740" w:space="720"/>
            <w:col w:w="3820" w:space="720"/>
            <w:col w:w="1400"/>
          </w:cols>
          <w:pgMar w:left="260" w:top="229" w:right="239" w:bottom="1440" w:gutter="0" w:footer="0" w:header="0"/>
        </w:sectPr>
      </w:pP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OWNERSHIP</w:t>
      </w:r>
    </w:p>
    <w:p>
      <w:pPr>
        <w:spacing w:after="0" w:line="26" w:lineRule="exact"/>
        <w:rPr>
          <w:sz w:val="20"/>
          <w:szCs w:val="20"/>
          <w:color w:val="auto"/>
        </w:rPr>
      </w:pPr>
    </w:p>
    <w:p>
      <w:pPr>
        <w:sectPr>
          <w:pgSz w:w="11900" w:h="16838" w:orient="portrait"/>
          <w:cols w:equalWidth="0" w:num="2">
            <w:col w:w="980" w:space="720"/>
            <w:col w:w="9700"/>
          </w:cols>
          <w:pgMar w:left="260" w:top="229" w:right="239" w:bottom="1440" w:gutter="0" w:footer="0" w:header="0"/>
          <w:type w:val="continuous"/>
        </w:sectPr>
      </w:pPr>
    </w:p>
    <w:p>
      <w:pPr>
        <w:ind w:left="1720" w:hanging="818"/>
        <w:spacing w:after="0"/>
        <w:tabs>
          <w:tab w:leader="none" w:pos="1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380" w:hanging="668"/>
        <w:spacing w:after="0"/>
        <w:tabs>
          <w:tab w:leader="none" w:pos="2380" w:val="left"/>
        </w:tabs>
        <w:numPr>
          <w:ilvl w:val="1"/>
          <w:numId w:val="2"/>
        </w:numPr>
        <w:rPr>
          <w:rFonts w:ascii="Arial" w:cs="Arial" w:eastAsia="Arial" w:hAnsi="Arial"/>
          <w:sz w:val="20"/>
          <w:szCs w:val="20"/>
          <w:color w:val="auto"/>
        </w:rPr>
      </w:pPr>
      <w:r>
        <w:rPr>
          <w:rFonts w:ascii="Arial" w:cs="Arial" w:eastAsia="Arial" w:hAnsi="Arial"/>
          <w:sz w:val="20"/>
          <w:szCs w:val="20"/>
          <w:color w:val="auto"/>
        </w:rPr>
        <w:t>Amount beneficially owned: 5,698,342</w:t>
      </w:r>
    </w:p>
    <w:p>
      <w:pPr>
        <w:spacing w:after="0" w:line="13" w:lineRule="exact"/>
        <w:rPr>
          <w:rFonts w:ascii="Arial" w:cs="Arial" w:eastAsia="Arial" w:hAnsi="Arial"/>
          <w:sz w:val="20"/>
          <w:szCs w:val="20"/>
          <w:color w:val="auto"/>
        </w:rPr>
      </w:pPr>
    </w:p>
    <w:p>
      <w:pPr>
        <w:ind w:left="2380" w:right="300" w:hanging="668"/>
        <w:spacing w:after="0" w:line="254" w:lineRule="auto"/>
        <w:tabs>
          <w:tab w:leader="none" w:pos="2380" w:val="left"/>
        </w:tabs>
        <w:numPr>
          <w:ilvl w:val="1"/>
          <w:numId w:val="2"/>
        </w:numPr>
        <w:rPr>
          <w:rFonts w:ascii="Arial" w:cs="Arial" w:eastAsia="Arial" w:hAnsi="Arial"/>
          <w:sz w:val="19"/>
          <w:szCs w:val="19"/>
          <w:color w:val="auto"/>
        </w:rPr>
      </w:pPr>
      <w:r>
        <w:rPr>
          <w:rFonts w:ascii="Arial" w:cs="Arial" w:eastAsia="Arial" w:hAnsi="Arial"/>
          <w:sz w:val="19"/>
          <w:szCs w:val="19"/>
          <w:color w:val="auto"/>
        </w:rPr>
        <w:t>Percent of class: 6.88%. The percentages set forth in this Schedule 13G/A are calculated based upon the 82,883,080 shares of Common Stock reported to be issued and outstanding in the Company’s Prospectus filed pursuant to Rule 424(b)(5) with the Securities and Exchange Commission on December 5, 2019, after giving effect to the completion of the offering, as described therein.</w:t>
      </w:r>
    </w:p>
    <w:p>
      <w:pPr>
        <w:spacing w:after="0" w:line="2" w:lineRule="exact"/>
        <w:rPr>
          <w:rFonts w:ascii="Arial" w:cs="Arial" w:eastAsia="Arial" w:hAnsi="Arial"/>
          <w:sz w:val="19"/>
          <w:szCs w:val="19"/>
          <w:color w:val="auto"/>
        </w:rPr>
      </w:pPr>
    </w:p>
    <w:p>
      <w:pPr>
        <w:ind w:left="2380" w:hanging="668"/>
        <w:spacing w:after="0"/>
        <w:tabs>
          <w:tab w:leader="none" w:pos="2380" w:val="left"/>
        </w:tabs>
        <w:numPr>
          <w:ilvl w:val="1"/>
          <w:numId w:val="2"/>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spacing w:after="0" w:line="4" w:lineRule="exact"/>
        <w:rPr>
          <w:rFonts w:ascii="Arial" w:cs="Arial" w:eastAsia="Arial" w:hAnsi="Arial"/>
          <w:sz w:val="20"/>
          <w:szCs w:val="20"/>
          <w:color w:val="auto"/>
        </w:rPr>
      </w:pPr>
    </w:p>
    <w:p>
      <w:pPr>
        <w:ind w:left="3060" w:hanging="673"/>
        <w:spacing w:after="0"/>
        <w:tabs>
          <w:tab w:leader="none" w:pos="306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vote or direct the vote: 5,698,342</w:t>
      </w:r>
    </w:p>
    <w:p>
      <w:pPr>
        <w:spacing w:after="0" w:line="13" w:lineRule="exact"/>
        <w:rPr>
          <w:rFonts w:ascii="Arial" w:cs="Arial" w:eastAsia="Arial" w:hAnsi="Arial"/>
          <w:sz w:val="20"/>
          <w:szCs w:val="20"/>
          <w:color w:val="auto"/>
        </w:rPr>
      </w:pPr>
    </w:p>
    <w:p>
      <w:pPr>
        <w:ind w:left="3060" w:hanging="673"/>
        <w:spacing w:after="0"/>
        <w:tabs>
          <w:tab w:leader="none" w:pos="3060" w:val="left"/>
        </w:tabs>
        <w:numPr>
          <w:ilvl w:val="2"/>
          <w:numId w:val="2"/>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spacing w:after="0" w:line="13" w:lineRule="exact"/>
        <w:rPr>
          <w:rFonts w:ascii="Arial" w:cs="Arial" w:eastAsia="Arial" w:hAnsi="Arial"/>
          <w:sz w:val="20"/>
          <w:szCs w:val="20"/>
          <w:color w:val="auto"/>
        </w:rPr>
      </w:pPr>
    </w:p>
    <w:p>
      <w:pPr>
        <w:ind w:left="3060" w:hanging="673"/>
        <w:spacing w:after="0"/>
        <w:tabs>
          <w:tab w:leader="none" w:pos="306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5,698,342</w:t>
      </w:r>
    </w:p>
    <w:p>
      <w:pPr>
        <w:spacing w:after="0" w:line="249"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19" w:lineRule="exact"/>
        <w:rPr>
          <w:sz w:val="20"/>
          <w:szCs w:val="20"/>
          <w:color w:val="auto"/>
        </w:rPr>
      </w:pPr>
    </w:p>
    <w:p>
      <w:pPr>
        <w:ind w:left="1720" w:hanging="818"/>
        <w:spacing w:after="0"/>
        <w:tabs>
          <w:tab w:leader="none" w:pos="1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20" w:lineRule="exact"/>
        <w:rPr>
          <w:rFonts w:ascii="Arial" w:cs="Arial" w:eastAsia="Arial" w:hAnsi="Arial"/>
          <w:sz w:val="20"/>
          <w:szCs w:val="20"/>
          <w:color w:val="auto"/>
        </w:rPr>
      </w:pPr>
    </w:p>
    <w:p>
      <w:pPr>
        <w:ind w:left="2380" w:hanging="668"/>
        <w:spacing w:after="0"/>
        <w:tabs>
          <w:tab w:leader="none" w:pos="238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Amount beneficially owned: 5,698,342</w:t>
      </w:r>
    </w:p>
    <w:p>
      <w:pPr>
        <w:spacing w:after="0" w:line="13" w:lineRule="exact"/>
        <w:rPr>
          <w:rFonts w:ascii="Arial" w:cs="Arial" w:eastAsia="Arial" w:hAnsi="Arial"/>
          <w:sz w:val="20"/>
          <w:szCs w:val="20"/>
          <w:color w:val="auto"/>
        </w:rPr>
      </w:pPr>
    </w:p>
    <w:p>
      <w:pPr>
        <w:ind w:left="2380" w:hanging="668"/>
        <w:spacing w:after="0"/>
        <w:tabs>
          <w:tab w:leader="none" w:pos="2380" w:val="left"/>
        </w:tabs>
        <w:numPr>
          <w:ilvl w:val="1"/>
          <w:numId w:val="3"/>
        </w:numPr>
        <w:rPr>
          <w:rFonts w:ascii="Arial" w:cs="Arial" w:eastAsia="Arial" w:hAnsi="Arial"/>
          <w:sz w:val="20"/>
          <w:szCs w:val="20"/>
          <w:color w:val="auto"/>
        </w:rPr>
      </w:pPr>
      <w:r>
        <w:rPr>
          <w:rFonts w:ascii="Arial" w:cs="Arial" w:eastAsia="Arial" w:hAnsi="Arial"/>
          <w:sz w:val="20"/>
          <w:szCs w:val="20"/>
          <w:color w:val="auto"/>
        </w:rPr>
        <w:t>Percent of class: 6.88%.</w:t>
      </w:r>
    </w:p>
    <w:p>
      <w:pPr>
        <w:spacing w:after="0" w:line="13" w:lineRule="exact"/>
        <w:rPr>
          <w:rFonts w:ascii="Arial" w:cs="Arial" w:eastAsia="Arial" w:hAnsi="Arial"/>
          <w:sz w:val="20"/>
          <w:szCs w:val="20"/>
          <w:color w:val="auto"/>
        </w:rPr>
      </w:pPr>
    </w:p>
    <w:p>
      <w:pPr>
        <w:ind w:left="2380" w:hanging="668"/>
        <w:spacing w:after="0"/>
        <w:tabs>
          <w:tab w:leader="none" w:pos="2380" w:val="left"/>
        </w:tabs>
        <w:numPr>
          <w:ilvl w:val="1"/>
          <w:numId w:val="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spacing w:after="0" w:line="13" w:lineRule="exact"/>
        <w:rPr>
          <w:rFonts w:ascii="Arial" w:cs="Arial" w:eastAsia="Arial" w:hAnsi="Arial"/>
          <w:sz w:val="20"/>
          <w:szCs w:val="20"/>
          <w:color w:val="auto"/>
        </w:rPr>
      </w:pPr>
    </w:p>
    <w:p>
      <w:pPr>
        <w:ind w:left="3060" w:hanging="673"/>
        <w:spacing w:after="0"/>
        <w:tabs>
          <w:tab w:leader="none" w:pos="306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vote or direct the vote: 5,698,342</w:t>
      </w:r>
    </w:p>
    <w:p>
      <w:pPr>
        <w:spacing w:after="0" w:line="13" w:lineRule="exact"/>
        <w:rPr>
          <w:rFonts w:ascii="Arial" w:cs="Arial" w:eastAsia="Arial" w:hAnsi="Arial"/>
          <w:sz w:val="20"/>
          <w:szCs w:val="20"/>
          <w:color w:val="auto"/>
        </w:rPr>
      </w:pPr>
    </w:p>
    <w:p>
      <w:pPr>
        <w:ind w:left="3060" w:hanging="673"/>
        <w:spacing w:after="0"/>
        <w:tabs>
          <w:tab w:leader="none" w:pos="3060" w:val="left"/>
        </w:tabs>
        <w:numPr>
          <w:ilvl w:val="2"/>
          <w:numId w:val="3"/>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spacing w:after="0" w:line="13" w:lineRule="exact"/>
        <w:rPr>
          <w:rFonts w:ascii="Arial" w:cs="Arial" w:eastAsia="Arial" w:hAnsi="Arial"/>
          <w:sz w:val="20"/>
          <w:szCs w:val="20"/>
          <w:color w:val="auto"/>
        </w:rPr>
      </w:pPr>
    </w:p>
    <w:p>
      <w:pPr>
        <w:ind w:left="3060" w:hanging="673"/>
        <w:spacing w:after="0"/>
        <w:tabs>
          <w:tab w:leader="none" w:pos="306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5,698,342</w:t>
      </w:r>
    </w:p>
    <w:p>
      <w:pPr>
        <w:spacing w:after="0" w:line="249" w:lineRule="exact"/>
        <w:rPr>
          <w:sz w:val="20"/>
          <w:szCs w:val="20"/>
          <w:color w:val="auto"/>
        </w:rPr>
      </w:pPr>
    </w:p>
    <w:p>
      <w:pPr>
        <w:ind w:left="100" w:right="1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207" w:lineRule="exact"/>
        <w:rPr>
          <w:sz w:val="20"/>
          <w:szCs w:val="20"/>
          <w:color w:val="auto"/>
        </w:rPr>
      </w:pPr>
    </w:p>
    <w:p>
      <w:pPr>
        <w:ind w:left="80"/>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77" w:lineRule="exact"/>
        <w:rPr>
          <w:sz w:val="20"/>
          <w:szCs w:val="20"/>
          <w:color w:val="auto"/>
        </w:rPr>
      </w:pPr>
    </w:p>
    <w:p>
      <w:pPr>
        <w:ind w:left="1700" w:right="1920" w:hanging="1606"/>
        <w:spacing w:after="0" w:line="267" w:lineRule="auto"/>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 xml:space="preserve">OWNERSHIP OF MORE THAN FIVE PERCENT ON BEHALF OF ANOTHER PERSON </w:t>
      </w:r>
      <w:r>
        <w:rPr>
          <w:rFonts w:ascii="Arial" w:cs="Arial" w:eastAsia="Arial" w:hAnsi="Arial"/>
          <w:sz w:val="20"/>
          <w:szCs w:val="20"/>
          <w:color w:val="auto"/>
        </w:rPr>
        <w:t>Not applicable.</w:t>
      </w:r>
    </w:p>
    <w:p>
      <w:pPr>
        <w:sectPr>
          <w:pgSz w:w="11900" w:h="16838" w:orient="portrait"/>
          <w:cols w:equalWidth="0" w:num="1">
            <w:col w:w="11400"/>
          </w:cols>
          <w:pgMar w:left="260" w:top="229" w:right="239" w:bottom="1440" w:gutter="0" w:footer="0" w:header="0"/>
          <w:type w:val="continuous"/>
        </w:sectPr>
      </w:pPr>
    </w:p>
    <w:bookmarkStart w:id="9" w:name="page10"/>
    <w:bookmarkEnd w:id="9"/>
    <w:p>
      <w:pPr>
        <w:spacing w:after="0"/>
        <w:tabs>
          <w:tab w:leader="none" w:pos="5400" w:val="left"/>
          <w:tab w:leader="none" w:pos="986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360"/>
          </w:cols>
          <w:pgMar w:left="300" w:top="229" w:right="239" w:bottom="1440" w:gutter="0" w:footer="0" w:header="0"/>
        </w:sectPr>
      </w:pPr>
    </w:p>
    <w:p>
      <w:pPr>
        <w:spacing w:after="0" w:line="356"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660" w:right="162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200" w:lineRule="exact"/>
        <w:rPr>
          <w:sz w:val="20"/>
          <w:szCs w:val="20"/>
          <w:color w:val="auto"/>
        </w:rPr>
      </w:pPr>
    </w:p>
    <w:p>
      <w:pPr>
        <w:spacing w:after="0" w:line="269" w:lineRule="exact"/>
        <w:rPr>
          <w:sz w:val="20"/>
          <w:szCs w:val="20"/>
          <w:color w:val="auto"/>
        </w:rPr>
      </w:pPr>
    </w:p>
    <w:p>
      <w:pPr>
        <w:ind w:left="1660" w:right="2860" w:hanging="1606"/>
        <w:spacing w:after="0" w:line="267" w:lineRule="auto"/>
        <w:tabs>
          <w:tab w:leader="none" w:pos="164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 xml:space="preserve">IDENTIFICATION AND CLASSIFICATION OF MEMBERS OF THE GROUP </w:t>
      </w:r>
      <w:r>
        <w:rPr>
          <w:rFonts w:ascii="Arial" w:cs="Arial" w:eastAsia="Arial" w:hAnsi="Arial"/>
          <w:sz w:val="20"/>
          <w:szCs w:val="20"/>
          <w:color w:val="auto"/>
        </w:rPr>
        <w:t>Not applicable.</w:t>
      </w:r>
    </w:p>
    <w:p>
      <w:pPr>
        <w:spacing w:after="0" w:line="200" w:lineRule="exact"/>
        <w:rPr>
          <w:sz w:val="20"/>
          <w:szCs w:val="20"/>
          <w:color w:val="auto"/>
        </w:rPr>
      </w:pPr>
    </w:p>
    <w:p>
      <w:pPr>
        <w:spacing w:after="0" w:line="247"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77" w:lineRule="exact"/>
        <w:rPr>
          <w:sz w:val="20"/>
          <w:szCs w:val="20"/>
          <w:color w:val="auto"/>
        </w:rPr>
      </w:pPr>
    </w:p>
    <w:p>
      <w:pPr>
        <w:ind w:left="40"/>
        <w:spacing w:after="0"/>
        <w:tabs>
          <w:tab w:leader="none" w:pos="164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49" w:lineRule="exact"/>
        <w:rPr>
          <w:sz w:val="20"/>
          <w:szCs w:val="20"/>
          <w:color w:val="auto"/>
        </w:rPr>
      </w:pPr>
    </w:p>
    <w:p>
      <w:pPr>
        <w:ind w:left="1660" w:right="18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60"/>
          </w:cols>
          <w:pgMar w:left="300" w:top="229" w:right="239" w:bottom="1440" w:gutter="0" w:footer="0" w:header="0"/>
          <w:type w:val="continuous"/>
        </w:sectPr>
      </w:pPr>
    </w:p>
    <w:bookmarkStart w:id="10" w:name="page11"/>
    <w:bookmarkEnd w:id="10"/>
    <w:p>
      <w:pPr>
        <w:ind w:left="60"/>
        <w:spacing w:after="0"/>
        <w:tabs>
          <w:tab w:leader="none" w:pos="5460" w:val="left"/>
          <w:tab w:leader="none" w:pos="9920" w:val="left"/>
        </w:tabs>
        <w:rPr>
          <w:sz w:val="20"/>
          <w:szCs w:val="20"/>
          <w:color w:val="auto"/>
        </w:rPr>
      </w:pPr>
      <w:r>
        <w:rPr>
          <w:rFonts w:ascii="Arial" w:cs="Arial" w:eastAsia="Arial" w:hAnsi="Arial"/>
          <w:sz w:val="18"/>
          <w:szCs w:val="18"/>
          <w:b w:val="1"/>
          <w:bCs w:val="1"/>
          <w:color w:val="auto"/>
        </w:rPr>
        <w:t>CUSIP No. 039697107</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12, 2020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its general partner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
    <w:nsid w:val="19495CF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2020-02-17T16:59:58Z</dcterms:created>
  <dcterms:modified xsi:type="dcterms:W3CDTF">2020-02-17T16:59:58Z</dcterms:modified>
</cp:coreProperties>
</file>