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132715</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160020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147955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8"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1800" w:type="dxa"/>
            <w:vAlign w:val="bottom"/>
          </w:tcPr>
          <w:p>
            <w:pPr>
              <w:jc w:val="center"/>
              <w:ind w:right="82"/>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40" w:type="dxa"/>
            <w:vAlign w:val="bottom"/>
          </w:tcPr>
          <w:p>
            <w:pPr>
              <w:jc w:val="center"/>
              <w:ind w:left="1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18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640" w:type="dxa"/>
            <w:vAlign w:val="bottom"/>
          </w:tcPr>
          <w:p>
            <w:pPr>
              <w:jc w:val="center"/>
              <w:ind w:left="1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0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of incorporation)</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142"/>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180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640" w:type="dxa"/>
            <w:vAlign w:val="bottom"/>
          </w:tcPr>
          <w:p>
            <w:pPr>
              <w:spacing w:after="0"/>
              <w:rPr>
                <w:sz w:val="24"/>
                <w:szCs w:val="24"/>
                <w:color w:val="auto"/>
              </w:rPr>
            </w:pPr>
          </w:p>
        </w:tc>
      </w:tr>
      <w:tr>
        <w:trPr>
          <w:trHeight w:val="212"/>
        </w:trPr>
        <w:tc>
          <w:tcPr>
            <w:tcW w:w="180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Fremont, CA 94555</w:t>
            </w:r>
          </w:p>
        </w:tc>
        <w:tc>
          <w:tcPr>
            <w:tcW w:w="1640" w:type="dxa"/>
            <w:vAlign w:val="bottom"/>
          </w:tcPr>
          <w:p>
            <w:pPr>
              <w:spacing w:after="0"/>
              <w:rPr>
                <w:sz w:val="18"/>
                <w:szCs w:val="18"/>
                <w:color w:val="auto"/>
              </w:rPr>
            </w:pPr>
          </w:p>
        </w:tc>
      </w:tr>
      <w:tr>
        <w:trPr>
          <w:trHeight w:val="186"/>
        </w:trPr>
        <w:tc>
          <w:tcPr>
            <w:tcW w:w="1800" w:type="dxa"/>
            <w:vAlign w:val="bottom"/>
          </w:tcPr>
          <w:p>
            <w:pPr>
              <w:spacing w:after="0"/>
              <w:rPr>
                <w:sz w:val="16"/>
                <w:szCs w:val="16"/>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40" w:type="dxa"/>
            <w:vAlign w:val="bottom"/>
          </w:tcPr>
          <w:p>
            <w:pPr>
              <w:spacing w:after="0"/>
              <w:rPr>
                <w:sz w:val="16"/>
                <w:szCs w:val="16"/>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8"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1" w:lineRule="exact"/>
        <w:rPr>
          <w:rFonts w:ascii="MS PGothic" w:cs="MS PGothic" w:eastAsia="MS PGothic" w:hAnsi="MS PGothic"/>
          <w:sz w:val="17"/>
          <w:szCs w:val="17"/>
          <w:color w:val="auto"/>
        </w:rPr>
      </w:pPr>
    </w:p>
    <w:p>
      <w:pPr>
        <w:ind w:left="340" w:hanging="284"/>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2" w:lineRule="exact"/>
        <w:rPr>
          <w:sz w:val="24"/>
          <w:szCs w:val="24"/>
          <w:color w:val="auto"/>
        </w:rPr>
      </w:pPr>
    </w:p>
    <w:tbl>
      <w:tblPr>
        <w:tblLayout w:type="fixed"/>
        <w:tblInd w:w="60" w:type="dxa"/>
        <w:tblCellMar>
          <w:top w:w="0" w:type="dxa"/>
          <w:left w:w="0" w:type="dxa"/>
          <w:bottom w:w="0" w:type="dxa"/>
          <w:right w:w="0" w:type="dxa"/>
        </w:tblCellMar>
      </w:tblPr>
      <w:tr>
        <w:trPr>
          <w:trHeight w:val="186"/>
        </w:trPr>
        <w:tc>
          <w:tcPr>
            <w:tcW w:w="3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Trading 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80" w:type="dxa"/>
            <w:vAlign w:val="bottom"/>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40" w:type="dxa"/>
            <w:vAlign w:val="bottom"/>
            <w:vMerge w:val="continue"/>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rPr>
              <w:t>ARDX</w:t>
            </w:r>
          </w:p>
        </w:tc>
        <w:tc>
          <w:tcPr>
            <w:tcW w:w="240" w:type="dxa"/>
            <w:vAlign w:val="bottom"/>
            <w:vMerge w:val="continue"/>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right="11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425450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6" w:right="1440" w:bottom="1440" w:gutter="0" w:footer="0" w:header="0"/>
        </w:sectPr>
      </w:pPr>
    </w:p>
    <w:bookmarkStart w:id="1" w:name="page2"/>
    <w:bookmarkEnd w:id="1"/>
    <w:p>
      <w:pPr>
        <w:ind w:left="60"/>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08"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On October 9, 2020, Ardelyx, Inc. (the “Company”) entered into that certain First Amendment to Loan and Security Agreement (the “Amendment”), which amended that certain Loan and Security Agreement (the “Loan Agreement”), dated as of May 16, 2018, among the Company, Solar Capital Ltd. and the lenders party thereto, by extending the period of time that the Company is permitted to make interest-only payments on the term loan facility under the Loan Agreement (the “Term Loan”) from December 1, 2020 to December 1, 2021 (the “Interest Only Period”); provided that if (a) the U.S. Food and Drug Administration (“FDA”) does not approve the Company’s New Drug Application for tenapanor for control of serum phosphorus in adult chronic kidney disease (“CKD”) patients on dialysis on or before May 31, 2021 or (b) the FDA issues a complete response letter (“CRL”) for tenapanor for the control of serum phosphorus in adult CKD patients on dialysis, then the Interest Only Period will be shortened to the earlier of (x) June 1, 2021 or (y) the first day of the month immediately following the date that the FDA issues the CRL.</w:t>
      </w:r>
    </w:p>
    <w:p>
      <w:pPr>
        <w:spacing w:after="0" w:line="145"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color w:val="auto"/>
        </w:rPr>
        <w:t>In addition, the Company has agreed to (i) increase the fee that is due upon the earliest to occur of the maturity date, the acceleration of the Term Loan, the prepayment or repayment of the Term Loan or the termination of the Loan Agreement from 3.95% of the Term Loan to 4.95% of the Term Loan and (ii) set a minimum LIBOR rate of 0.25%.</w:t>
      </w:r>
    </w:p>
    <w:p>
      <w:pPr>
        <w:spacing w:after="0" w:line="108"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The above summaries of the material terms of the Amendment do not purport to be complete and are qualified in their entirety by reference to the Amendment, a copy of which is filed as Exhibit 10.1, respectively, to this Current Report on Form 8-K and incorporated by reference herein.</w:t>
      </w:r>
    </w:p>
    <w:p>
      <w:pPr>
        <w:spacing w:after="0" w:line="153" w:lineRule="exact"/>
        <w:rPr>
          <w:sz w:val="20"/>
          <w:szCs w:val="20"/>
          <w:color w:val="auto"/>
        </w:rPr>
      </w:pPr>
    </w:p>
    <w:p>
      <w:pPr>
        <w:ind w:left="60" w:right="199"/>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set forth under Item 1.01 of this Current Report on Form 8-K is incorporated herein by reference.</w:t>
      </w:r>
    </w:p>
    <w:p>
      <w:pPr>
        <w:spacing w:after="0" w:line="192"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Exhibits.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Exhibit</w:t>
            </w:r>
          </w:p>
        </w:tc>
        <w:tc>
          <w:tcPr>
            <w:tcW w:w="32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40" w:type="dxa"/>
            <w:vAlign w:val="bottom"/>
          </w:tcPr>
          <w:p>
            <w:pPr>
              <w:spacing w:after="0"/>
              <w:rPr>
                <w:sz w:val="14"/>
                <w:szCs w:val="1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Description</w:t>
            </w:r>
          </w:p>
        </w:tc>
      </w:tr>
      <w:tr>
        <w:trPr>
          <w:trHeight w:val="23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7840" w:type="dxa"/>
            <w:vAlign w:val="bottom"/>
            <w:gridSpan w:val="3"/>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First Amendment to Loan and Security Agreement, dated as of October 9, 2020, by and among Ardelyx,</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Inc., Solar Capital Ltd. and the lenders party</w:t>
              </w:r>
            </w:hyperlink>
          </w:p>
        </w:tc>
        <w:tc>
          <w:tcPr>
            <w:tcW w:w="43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35"/>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October 14,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FIRST AMENDMENT TO LOAN AND SECURITY AGREEMENT</w:t>
      </w:r>
    </w:p>
    <w:p>
      <w:pPr>
        <w:spacing w:after="0" w:line="216"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FIRST AMENDMENT TO LOAN AND SECURITY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Amendment</w:t>
      </w:r>
      <w:r>
        <w:rPr>
          <w:rFonts w:ascii="Arial" w:cs="Arial" w:eastAsia="Arial" w:hAnsi="Arial"/>
          <w:sz w:val="20"/>
          <w:szCs w:val="20"/>
          <w:color w:val="auto"/>
        </w:rPr>
        <w:t>”), dated as of October 9, 2020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is made by and among Ardelyx, Inc., a Delaware corporation (“</w:t>
      </w:r>
      <w:r>
        <w:rPr>
          <w:rFonts w:ascii="Arial" w:cs="Arial" w:eastAsia="Arial" w:hAnsi="Arial"/>
          <w:sz w:val="20"/>
          <w:szCs w:val="20"/>
          <w:b w:val="1"/>
          <w:bCs w:val="1"/>
          <w:color w:val="auto"/>
        </w:rPr>
        <w:t>Borrower</w:t>
      </w:r>
      <w:r>
        <w:rPr>
          <w:rFonts w:ascii="Arial" w:cs="Arial" w:eastAsia="Arial" w:hAnsi="Arial"/>
          <w:sz w:val="20"/>
          <w:szCs w:val="20"/>
          <w:color w:val="auto"/>
        </w:rPr>
        <w:t>”), Solar Capital Ltd., a Maryland corporation (“</w:t>
      </w:r>
      <w:r>
        <w:rPr>
          <w:rFonts w:ascii="Arial" w:cs="Arial" w:eastAsia="Arial" w:hAnsi="Arial"/>
          <w:sz w:val="20"/>
          <w:szCs w:val="20"/>
          <w:b w:val="1"/>
          <w:bCs w:val="1"/>
          <w:color w:val="auto"/>
        </w:rPr>
        <w:t>Solar</w:t>
      </w:r>
      <w:r>
        <w:rPr>
          <w:rFonts w:ascii="Arial" w:cs="Arial" w:eastAsia="Arial" w:hAnsi="Arial"/>
          <w:sz w:val="20"/>
          <w:szCs w:val="20"/>
          <w:color w:val="auto"/>
        </w:rPr>
        <w:t>”), in its capacity as collateral agent for Lenders (in such capacity, together with its successors and assigns in such capacity, “</w:t>
      </w:r>
      <w:r>
        <w:rPr>
          <w:rFonts w:ascii="Arial" w:cs="Arial" w:eastAsia="Arial" w:hAnsi="Arial"/>
          <w:sz w:val="20"/>
          <w:szCs w:val="20"/>
          <w:b w:val="1"/>
          <w:bCs w:val="1"/>
          <w:color w:val="auto"/>
        </w:rPr>
        <w:t>Collateral Agent</w:t>
      </w:r>
      <w:r>
        <w:rPr>
          <w:rFonts w:ascii="Arial" w:cs="Arial" w:eastAsia="Arial" w:hAnsi="Arial"/>
          <w:sz w:val="20"/>
          <w:szCs w:val="20"/>
          <w:color w:val="auto"/>
        </w:rPr>
        <w:t>”), and the Lenders listed on Schedule 1.1 of the Loan and Security Agreement (as defined below) or otherwise a party hereto from time to time including Solar in its capacity as a Lender and Western Alliance Bank, an Arizona corporation, as a Lender (each a “</w:t>
      </w:r>
      <w:r>
        <w:rPr>
          <w:rFonts w:ascii="Arial" w:cs="Arial" w:eastAsia="Arial" w:hAnsi="Arial"/>
          <w:sz w:val="20"/>
          <w:szCs w:val="20"/>
          <w:b w:val="1"/>
          <w:b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195"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The Borrower, the Lenders and Collateral Agent are parties to a Loan and Security Agreement dated as of May 16, 2018 (as amended, restated or modified from time to time, the “</w:t>
      </w:r>
      <w:r>
        <w:rPr>
          <w:rFonts w:ascii="Arial" w:cs="Arial" w:eastAsia="Arial" w:hAnsi="Arial"/>
          <w:sz w:val="18"/>
          <w:szCs w:val="18"/>
          <w:b w:val="1"/>
          <w:bCs w:val="1"/>
          <w:color w:val="auto"/>
        </w:rPr>
        <w:t>Loan and 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Borrower has requested that the Lenders agree to certain amendments to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The Lenders have agreed to such request, subject to the terms and conditions hereof.</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Accordingly, the parties hereto agree as follows:</w:t>
      </w:r>
    </w:p>
    <w:p>
      <w:pPr>
        <w:spacing w:after="0" w:line="21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 Interpretation.</w:t>
      </w:r>
    </w:p>
    <w:p>
      <w:pPr>
        <w:spacing w:after="0" w:line="239" w:lineRule="exact"/>
        <w:rPr>
          <w:sz w:val="20"/>
          <w:szCs w:val="20"/>
          <w:color w:val="auto"/>
        </w:rPr>
      </w:pPr>
    </w:p>
    <w:p>
      <w:pPr>
        <w:jc w:val="both"/>
        <w:ind w:left="200" w:right="219" w:firstLine="657"/>
        <w:spacing w:after="0" w:line="253" w:lineRule="auto"/>
        <w:tabs>
          <w:tab w:leader="none" w:pos="1496"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Terms Defined in Loan and Security Agreement</w:t>
      </w:r>
      <w:r>
        <w:rPr>
          <w:rFonts w:ascii="Arial" w:cs="Arial" w:eastAsia="Arial" w:hAnsi="Arial"/>
          <w:sz w:val="20"/>
          <w:szCs w:val="20"/>
          <w:color w:val="auto"/>
        </w:rPr>
        <w:t>. All capitalized terms used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(including in the recitals hereof) and not otherwise defined herein shall have the meanings assigned to them in the Loan and Security Agreement.</w:t>
      </w:r>
    </w:p>
    <w:p>
      <w:pPr>
        <w:spacing w:after="0" w:line="177" w:lineRule="exact"/>
        <w:rPr>
          <w:rFonts w:ascii="Arial" w:cs="Arial" w:eastAsia="Arial" w:hAnsi="Arial"/>
          <w:sz w:val="20"/>
          <w:szCs w:val="20"/>
          <w:color w:val="auto"/>
        </w:rPr>
      </w:pPr>
    </w:p>
    <w:p>
      <w:pPr>
        <w:ind w:left="200" w:right="219" w:firstLine="657"/>
        <w:spacing w:after="0" w:line="323" w:lineRule="auto"/>
        <w:tabs>
          <w:tab w:leader="none" w:pos="149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Section 1.1 of the Loan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applicable to this Amendment and are incorporated herein by this reference.</w:t>
      </w:r>
    </w:p>
    <w:p>
      <w:pPr>
        <w:spacing w:after="0" w:line="118"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Amendments to the Loan and Security Agreement.</w:t>
      </w:r>
    </w:p>
    <w:p>
      <w:pPr>
        <w:spacing w:after="0" w:line="245" w:lineRule="exact"/>
        <w:rPr>
          <w:sz w:val="20"/>
          <w:szCs w:val="20"/>
          <w:color w:val="auto"/>
        </w:rPr>
      </w:pPr>
    </w:p>
    <w:p>
      <w:pPr>
        <w:ind w:left="200" w:right="239" w:firstLine="657"/>
        <w:spacing w:after="0" w:line="260" w:lineRule="auto"/>
        <w:tabs>
          <w:tab w:leader="none" w:pos="1496"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Loan and Security Agreement shall be amended as follows effective as of the Amendment Effective Date:</w:t>
      </w:r>
    </w:p>
    <w:p>
      <w:pPr>
        <w:spacing w:after="0" w:line="176" w:lineRule="exact"/>
        <w:rPr>
          <w:rFonts w:ascii="Arial" w:cs="Arial" w:eastAsia="Arial" w:hAnsi="Arial"/>
          <w:sz w:val="20"/>
          <w:szCs w:val="20"/>
          <w:color w:val="auto"/>
        </w:rPr>
      </w:pPr>
    </w:p>
    <w:p>
      <w:pPr>
        <w:ind w:left="200" w:right="219" w:firstLine="1305"/>
        <w:spacing w:after="0" w:line="260" w:lineRule="auto"/>
        <w:tabs>
          <w:tab w:leader="none" w:pos="2144"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Amended Definitions</w:t>
      </w:r>
      <w:r>
        <w:rPr>
          <w:rFonts w:ascii="Arial" w:cs="Arial" w:eastAsia="Arial" w:hAnsi="Arial"/>
          <w:sz w:val="20"/>
          <w:szCs w:val="20"/>
          <w:color w:val="auto"/>
        </w:rPr>
        <w:t>. The following definitions are hereby amended and restated in their entirety to read as follows:</w:t>
      </w:r>
    </w:p>
    <w:p>
      <w:pPr>
        <w:spacing w:after="0" w:line="171" w:lineRule="exact"/>
        <w:rPr>
          <w:sz w:val="20"/>
          <w:szCs w:val="20"/>
          <w:color w:val="auto"/>
        </w:rPr>
      </w:pPr>
    </w:p>
    <w:p>
      <w:pPr>
        <w:jc w:val="both"/>
        <w:ind w:left="1500" w:right="859"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means December 1, 2021; provided, however, if either (a) the FDA does not approve the Borrower’s New Drug Application for tenapanor for control of serum phosphorus in adult chronic kidney disease patients (CKD) on dialysis on or before May 31, 2021 or (b) the FDA issues a complete response letter (“CRL”) for tenapanor for the control of serum phosphorus in adult chronic kidney disease patients (CKD) on dialysis, in each case, subject to reasonable verification by Collateral Agent (including supporting documentation reasonably requested by Collateral Agent), then the Amortization Date shall mean the earlier of (x) June 1, 2021, or (y) the first (1</w:t>
      </w:r>
      <w:r>
        <w:rPr>
          <w:rFonts w:ascii="Arial" w:cs="Arial" w:eastAsia="Arial" w:hAnsi="Arial"/>
          <w:sz w:val="26"/>
          <w:szCs w:val="26"/>
          <w:color w:val="auto"/>
          <w:vertAlign w:val="superscript"/>
        </w:rPr>
        <w:t>st</w:t>
      </w:r>
      <w:r>
        <w:rPr>
          <w:rFonts w:ascii="Arial" w:cs="Arial" w:eastAsia="Arial" w:hAnsi="Arial"/>
          <w:sz w:val="18"/>
          <w:szCs w:val="18"/>
          <w:color w:val="auto"/>
        </w:rPr>
        <w:t>) day of the month immediately following the date that the FDA issues a CRL to Borrower.</w:t>
      </w:r>
    </w:p>
    <w:p>
      <w:pPr>
        <w:spacing w:after="0" w:line="169" w:lineRule="exact"/>
        <w:rPr>
          <w:sz w:val="20"/>
          <w:szCs w:val="20"/>
          <w:color w:val="auto"/>
        </w:rPr>
      </w:pPr>
    </w:p>
    <w:p>
      <w:pPr>
        <w:jc w:val="both"/>
        <w:ind w:left="1500" w:right="879" w:firstLine="724"/>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Fee</w:t>
      </w:r>
      <w:r>
        <w:rPr>
          <w:rFonts w:ascii="Arial" w:cs="Arial" w:eastAsia="Arial" w:hAnsi="Arial"/>
          <w:sz w:val="18"/>
          <w:szCs w:val="18"/>
          <w:color w:val="auto"/>
        </w:rPr>
        <w:t>” is a payment (in addition to and not a substitution for the regular monthly payments of principal plus accrued interest or any other fee payable hereunder) (a) due on the earliest to occur of (i) the Maturity Date, (ii) the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jc w:val="both"/>
        <w:ind w:left="1500" w:right="859"/>
        <w:spacing w:after="0" w:line="243" w:lineRule="auto"/>
        <w:rPr>
          <w:sz w:val="20"/>
          <w:szCs w:val="20"/>
          <w:color w:val="auto"/>
        </w:rPr>
      </w:pPr>
      <w:r>
        <w:rPr>
          <w:rFonts w:ascii="Arial" w:cs="Arial" w:eastAsia="Arial" w:hAnsi="Arial"/>
          <w:sz w:val="20"/>
          <w:szCs w:val="20"/>
          <w:color w:val="auto"/>
        </w:rPr>
        <w:t>acceleration of the Term Loan, and (iii) the prepayment of the Term Loan pursuant to Section 2.2(c) or (d), and (b) equal to four and ninety-five hundredths of a percent (4.95%) of the aggregate principal amount of the Term Loan advanced hereunder. The Final Fee shall be fully earned on the date so paid, non-refundable for any reason and payable ninety percent (90%) to Solar and ten percent (10%) to Western Alliance Bank.</w:t>
      </w:r>
    </w:p>
    <w:p>
      <w:pPr>
        <w:spacing w:after="0" w:line="191" w:lineRule="exact"/>
        <w:rPr>
          <w:sz w:val="20"/>
          <w:szCs w:val="20"/>
          <w:color w:val="auto"/>
        </w:rPr>
      </w:pPr>
    </w:p>
    <w:p>
      <w:pPr>
        <w:jc w:val="both"/>
        <w:ind w:left="1500" w:right="859"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means the greater of (i) one quarter of a percent (0.25%) and (ii) the rate per annum rate published by the Intercontinental Exchange Benchmark Administration Ltd. (the “</w:t>
      </w:r>
      <w:r>
        <w:rPr>
          <w:rFonts w:ascii="Arial" w:cs="Arial" w:eastAsia="Arial" w:hAnsi="Arial"/>
          <w:sz w:val="18"/>
          <w:szCs w:val="18"/>
          <w:b w:val="1"/>
          <w:bCs w:val="1"/>
          <w:color w:val="auto"/>
        </w:rPr>
        <w:t>Service</w:t>
      </w:r>
      <w:r>
        <w:rPr>
          <w:rFonts w:ascii="Arial" w:cs="Arial" w:eastAsia="Arial" w:hAnsi="Arial"/>
          <w:sz w:val="18"/>
          <w:szCs w:val="18"/>
          <w:color w:val="auto"/>
        </w:rPr>
        <w:t>”) (or on any successor or substitute page of such Service, or any successor to or substitute for such Service) for a term of one (1) month, which determination by Collateral Agent shall be conclusive in the absence of manifest error; provided that if, at any time, Lenders notify Collateral Agent that Lenders have determined that (x) Lenders are unable to determine or ascertain such rate, (y) the applicable regulator has made public statements to the effect that the rate published by the Service is no longer used for determining interest rates for loans and (z) deposits in eurodollars in the applicable amounts or for the relative maturities are not being offered for such period, then the interest rate on the Term Loan (as set forth in Section 2.3(a) hereof) shall be equal to an alternate benchmark rate and spread mutually agreed between Collateral Agent and Borrower, giving due consideration to (i) market convention and (ii) selection, endorsement or recommendation by a relevant Governmental Authority. Such alternative benchmark rate and spread shall be binding unless the Required Lenders object within five (5) days following notification of such alternate benchmark rate and spread.</w:t>
      </w:r>
    </w:p>
    <w:p>
      <w:pPr>
        <w:spacing w:after="0" w:line="200" w:lineRule="exact"/>
        <w:rPr>
          <w:sz w:val="20"/>
          <w:szCs w:val="20"/>
          <w:color w:val="auto"/>
        </w:rPr>
      </w:pPr>
    </w:p>
    <w:p>
      <w:pPr>
        <w:spacing w:after="0" w:line="207" w:lineRule="exact"/>
        <w:rPr>
          <w:sz w:val="20"/>
          <w:szCs w:val="20"/>
          <w:color w:val="auto"/>
        </w:rPr>
      </w:pPr>
    </w:p>
    <w:p>
      <w:pPr>
        <w:ind w:left="200" w:right="219" w:firstLine="1305"/>
        <w:spacing w:after="0" w:line="260" w:lineRule="auto"/>
        <w:tabs>
          <w:tab w:leader="none" w:pos="214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Notice information for Collateral Agent set forth in Section 10 of the Loan and Security Agreement is amended as follows:</w:t>
      </w:r>
    </w:p>
    <w:p>
      <w:pPr>
        <w:spacing w:after="0" w:line="176" w:lineRule="exact"/>
        <w:rPr>
          <w:sz w:val="20"/>
          <w:szCs w:val="20"/>
          <w:color w:val="auto"/>
        </w:rPr>
      </w:pPr>
    </w:p>
    <w:tbl>
      <w:tblPr>
        <w:tblLayout w:type="fixed"/>
        <w:tblInd w:w="16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color w:val="auto"/>
              </w:rPr>
              <w:t>“If to Collateral Agent:</w:t>
            </w:r>
          </w:p>
        </w:tc>
        <w:tc>
          <w:tcPr>
            <w:tcW w:w="2600" w:type="dxa"/>
            <w:vAlign w:val="bottom"/>
            <w:gridSpan w:val="3"/>
          </w:tcPr>
          <w:p>
            <w:pPr>
              <w:spacing w:after="0"/>
              <w:rPr>
                <w:sz w:val="20"/>
                <w:szCs w:val="20"/>
                <w:color w:val="auto"/>
              </w:rPr>
            </w:pPr>
            <w:r>
              <w:rPr>
                <w:rFonts w:ascii="Arial" w:cs="Arial" w:eastAsia="Arial" w:hAnsi="Arial"/>
                <w:sz w:val="22"/>
                <w:szCs w:val="22"/>
                <w:color w:val="auto"/>
              </w:rPr>
              <w:t>SOLAR CAPITAL LTD.</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w w:val="95"/>
              </w:rPr>
              <w:t>500 Park Avenue, 3rd Floor</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New York, NY 10022</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Attention: Anthony Storino</w:t>
            </w:r>
          </w:p>
        </w:tc>
      </w:tr>
      <w:tr>
        <w:trPr>
          <w:trHeight w:val="224"/>
        </w:trPr>
        <w:tc>
          <w:tcPr>
            <w:tcW w:w="2420" w:type="dxa"/>
            <w:vAlign w:val="bottom"/>
          </w:tcPr>
          <w:p>
            <w:pPr>
              <w:spacing w:after="0"/>
              <w:rPr>
                <w:sz w:val="19"/>
                <w:szCs w:val="19"/>
                <w:color w:val="auto"/>
              </w:rPr>
            </w:pPr>
          </w:p>
        </w:tc>
        <w:tc>
          <w:tcPr>
            <w:tcW w:w="68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rPr>
              <w:t>Email:</w:t>
            </w:r>
          </w:p>
        </w:tc>
        <w:tc>
          <w:tcPr>
            <w:tcW w:w="1920" w:type="dxa"/>
            <w:vAlign w:val="bottom"/>
            <w:gridSpan w:val="2"/>
          </w:tcPr>
          <w:p>
            <w:pPr>
              <w:spacing w:after="0"/>
              <w:rPr>
                <w:sz w:val="19"/>
                <w:szCs w:val="19"/>
                <w:color w:val="auto"/>
              </w:rPr>
            </w:pPr>
          </w:p>
        </w:tc>
      </w:tr>
      <w:tr>
        <w:trPr>
          <w:trHeight w:val="223"/>
        </w:trPr>
        <w:tc>
          <w:tcPr>
            <w:tcW w:w="2420" w:type="dxa"/>
            <w:vAlign w:val="bottom"/>
          </w:tcPr>
          <w:p>
            <w:pPr>
              <w:spacing w:after="0"/>
              <w:rPr>
                <w:sz w:val="19"/>
                <w:szCs w:val="19"/>
                <w:color w:val="auto"/>
              </w:rPr>
            </w:pPr>
          </w:p>
        </w:tc>
        <w:tc>
          <w:tcPr>
            <w:tcW w:w="2200" w:type="dxa"/>
            <w:vAlign w:val="bottom"/>
            <w:tcBorders>
              <w:bottom w:val="single" w:sz="8" w:color="0000FF"/>
            </w:tcBorders>
            <w:gridSpan w:val="2"/>
          </w:tcPr>
          <w:p>
            <w:pPr>
              <w:spacing w:after="0" w:line="223" w:lineRule="exact"/>
              <w:rPr>
                <w:sz w:val="20"/>
                <w:szCs w:val="20"/>
                <w:color w:val="auto"/>
              </w:rPr>
            </w:pPr>
            <w:r>
              <w:rPr>
                <w:rFonts w:ascii="Arial" w:cs="Arial" w:eastAsia="Arial" w:hAnsi="Arial"/>
                <w:sz w:val="22"/>
                <w:szCs w:val="22"/>
                <w:color w:val="0000FF"/>
                <w:w w:val="88"/>
              </w:rPr>
              <w:t>storino@Solarcapltd.com</w:t>
            </w:r>
          </w:p>
        </w:tc>
        <w:tc>
          <w:tcPr>
            <w:tcW w:w="400" w:type="dxa"/>
            <w:vAlign w:val="bottom"/>
          </w:tcPr>
          <w:p>
            <w:pPr>
              <w:spacing w:after="0"/>
              <w:rPr>
                <w:sz w:val="19"/>
                <w:szCs w:val="19"/>
                <w:color w:val="auto"/>
              </w:rPr>
            </w:pPr>
          </w:p>
        </w:tc>
      </w:tr>
      <w:tr>
        <w:trPr>
          <w:trHeight w:val="485"/>
        </w:trPr>
        <w:tc>
          <w:tcPr>
            <w:tcW w:w="2420" w:type="dxa"/>
            <w:vAlign w:val="bottom"/>
          </w:tcPr>
          <w:p>
            <w:pPr>
              <w:spacing w:after="0"/>
              <w:rPr>
                <w:sz w:val="20"/>
                <w:szCs w:val="20"/>
                <w:color w:val="auto"/>
              </w:rPr>
            </w:pPr>
            <w:r>
              <w:rPr>
                <w:rFonts w:ascii="Arial" w:cs="Arial" w:eastAsia="Arial" w:hAnsi="Arial"/>
                <w:sz w:val="22"/>
                <w:szCs w:val="22"/>
                <w:color w:val="auto"/>
              </w:rPr>
              <w:t>with a copy (which shall</w:t>
            </w:r>
          </w:p>
        </w:tc>
        <w:tc>
          <w:tcPr>
            <w:tcW w:w="2600" w:type="dxa"/>
            <w:vAlign w:val="bottom"/>
            <w:gridSpan w:val="3"/>
          </w:tcPr>
          <w:p>
            <w:pPr>
              <w:spacing w:after="0"/>
              <w:rPr>
                <w:sz w:val="20"/>
                <w:szCs w:val="20"/>
                <w:color w:val="auto"/>
              </w:rPr>
            </w:pPr>
            <w:r>
              <w:rPr>
                <w:rFonts w:ascii="Arial" w:cs="Arial" w:eastAsia="Arial" w:hAnsi="Arial"/>
                <w:sz w:val="22"/>
                <w:szCs w:val="22"/>
                <w:color w:val="auto"/>
              </w:rPr>
              <w:t>DLA Piper LLP (US)</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not constitute notice) to:</w:t>
            </w: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500 8th Street, NW</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Washington, DC 20004</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Attn: Eric Eisenberg</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Fax: (202) 799 5211</w:t>
            </w:r>
          </w:p>
        </w:tc>
      </w:tr>
      <w:tr>
        <w:trPr>
          <w:trHeight w:val="243"/>
        </w:trPr>
        <w:tc>
          <w:tcPr>
            <w:tcW w:w="2420" w:type="dxa"/>
            <w:vAlign w:val="bottom"/>
          </w:tcPr>
          <w:p>
            <w:pPr>
              <w:spacing w:after="0"/>
              <w:rPr>
                <w:sz w:val="21"/>
                <w:szCs w:val="21"/>
                <w:color w:val="auto"/>
              </w:rPr>
            </w:pPr>
          </w:p>
        </w:tc>
        <w:tc>
          <w:tcPr>
            <w:tcW w:w="2600" w:type="dxa"/>
            <w:vAlign w:val="bottom"/>
            <w:gridSpan w:val="3"/>
          </w:tcPr>
          <w:p>
            <w:pPr>
              <w:spacing w:after="0" w:line="243" w:lineRule="exact"/>
              <w:rPr>
                <w:sz w:val="20"/>
                <w:szCs w:val="20"/>
                <w:color w:val="auto"/>
              </w:rPr>
            </w:pPr>
            <w:r>
              <w:rPr>
                <w:rFonts w:ascii="Arial" w:cs="Arial" w:eastAsia="Arial" w:hAnsi="Arial"/>
                <w:sz w:val="22"/>
                <w:szCs w:val="22"/>
                <w:color w:val="auto"/>
              </w:rPr>
              <w:t>Email:</w:t>
            </w:r>
          </w:p>
        </w:tc>
      </w:tr>
      <w:tr>
        <w:trPr>
          <w:trHeight w:val="274"/>
        </w:trPr>
        <w:tc>
          <w:tcPr>
            <w:tcW w:w="242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22"/>
                <w:szCs w:val="22"/>
                <w:color w:val="auto"/>
                <w:w w:val="87"/>
              </w:rPr>
              <w:t>eric.eisenberg@dlapiper.com”</w:t>
            </w:r>
          </w:p>
        </w:tc>
      </w:tr>
    </w:tbl>
    <w:p>
      <w:pPr>
        <w:spacing w:after="0" w:line="203" w:lineRule="exact"/>
        <w:rPr>
          <w:sz w:val="20"/>
          <w:szCs w:val="20"/>
          <w:color w:val="auto"/>
        </w:rPr>
      </w:pPr>
    </w:p>
    <w:p>
      <w:pPr>
        <w:ind w:left="2160" w:hanging="655"/>
        <w:spacing w:after="0"/>
        <w:tabs>
          <w:tab w:leader="none" w:pos="2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Schedule 1.1. to the Loan Agreement is replaced with Schedule 1.1 attached hereto.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4460"/>
        <w:spacing w:after="0"/>
        <w:rPr>
          <w:rFonts w:ascii="Arial" w:cs="Arial" w:eastAsia="Arial" w:hAnsi="Arial"/>
          <w:sz w:val="16"/>
          <w:szCs w:val="16"/>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jc w:val="both"/>
        <w:ind w:left="200" w:right="219" w:firstLine="657"/>
        <w:spacing w:after="0" w:line="346" w:lineRule="auto"/>
        <w:tabs>
          <w:tab w:leader="none" w:pos="1496"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References Within Loan and Security Agreement</w:t>
      </w:r>
      <w:r>
        <w:rPr>
          <w:rFonts w:ascii="Arial" w:cs="Arial" w:eastAsia="Arial" w:hAnsi="Arial"/>
          <w:sz w:val="16"/>
          <w:szCs w:val="16"/>
          <w:color w:val="auto"/>
        </w:rPr>
        <w:t>. Each reference in the Loan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Agreement to “this Agreement” and the words “hereof,” “herein,” “hereunder,” or words of like import, shall mean and be a reference to the Loan and Security Agreement as amended by this Amendment.</w:t>
      </w:r>
    </w:p>
    <w:p>
      <w:pPr>
        <w:spacing w:after="0" w:line="108" w:lineRule="exact"/>
        <w:rPr>
          <w:sz w:val="20"/>
          <w:szCs w:val="20"/>
          <w:color w:val="auto"/>
        </w:rPr>
      </w:pPr>
    </w:p>
    <w:p>
      <w:pPr>
        <w:ind w:left="200" w:right="219"/>
        <w:spacing w:after="0" w:line="293"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9"/>
          <w:szCs w:val="19"/>
          <w:b w:val="1"/>
          <w:bCs w:val="1"/>
          <w:color w:val="auto"/>
        </w:rPr>
        <w:t>Conditions of Effectiveness.</w:t>
      </w:r>
      <w:r>
        <w:rPr>
          <w:rFonts w:ascii="Arial" w:cs="Arial" w:eastAsia="Arial" w:hAnsi="Arial"/>
          <w:sz w:val="18"/>
          <w:szCs w:val="18"/>
          <w:b w:val="1"/>
          <w:bCs w:val="1"/>
          <w:color w:val="auto"/>
        </w:rPr>
        <w:t xml:space="preserve"> </w:t>
      </w:r>
      <w:r>
        <w:rPr>
          <w:rFonts w:ascii="Arial" w:cs="Arial" w:eastAsia="Arial" w:hAnsi="Arial"/>
          <w:sz w:val="19"/>
          <w:szCs w:val="19"/>
          <w:color w:val="auto"/>
        </w:rPr>
        <w:t>The effectiveness of</w:t>
      </w:r>
      <w:r>
        <w:rPr>
          <w:rFonts w:ascii="Arial" w:cs="Arial" w:eastAsia="Arial" w:hAnsi="Arial"/>
          <w:sz w:val="18"/>
          <w:szCs w:val="18"/>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9"/>
          <w:szCs w:val="19"/>
          <w:color w:val="auto"/>
        </w:rPr>
        <w:t>of this Amendment shall be</w:t>
      </w:r>
      <w:r>
        <w:rPr>
          <w:rFonts w:ascii="Arial" w:cs="Arial" w:eastAsia="Arial" w:hAnsi="Arial"/>
          <w:sz w:val="18"/>
          <w:szCs w:val="18"/>
          <w:b w:val="1"/>
          <w:bCs w:val="1"/>
          <w:color w:val="auto"/>
        </w:rPr>
        <w:t xml:space="preserve"> </w:t>
      </w:r>
      <w:r>
        <w:rPr>
          <w:rFonts w:ascii="Arial" w:cs="Arial" w:eastAsia="Arial" w:hAnsi="Arial"/>
          <w:sz w:val="19"/>
          <w:szCs w:val="19"/>
          <w:color w:val="auto"/>
        </w:rPr>
        <w:t>subject to the satisfaction of each of the following conditions precedent:</w:t>
      </w:r>
    </w:p>
    <w:p>
      <w:pPr>
        <w:spacing w:after="0" w:line="142" w:lineRule="exact"/>
        <w:rPr>
          <w:sz w:val="20"/>
          <w:szCs w:val="20"/>
          <w:color w:val="auto"/>
        </w:rPr>
      </w:pPr>
    </w:p>
    <w:p>
      <w:pPr>
        <w:jc w:val="both"/>
        <w:ind w:left="200" w:right="219" w:firstLine="657"/>
        <w:spacing w:after="0" w:line="248" w:lineRule="auto"/>
        <w:tabs>
          <w:tab w:leader="none" w:pos="1496"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Fees and Expenses</w:t>
      </w:r>
      <w:r>
        <w:rPr>
          <w:rFonts w:ascii="Arial" w:cs="Arial" w:eastAsia="Arial" w:hAnsi="Arial"/>
          <w:sz w:val="20"/>
          <w:szCs w:val="20"/>
          <w:color w:val="auto"/>
        </w:rPr>
        <w:t>. The Borrower shall have paid (i) an amendment fee of One Hundred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Twenty-Five Thousand Dollars ($125,000) to be shared between the Lenders seventy percent (70%) to Solar and thirty percent (30%) to Western Alliance Bank, and (ii) all invoiced costs and expenses then due in accordance with </w:t>
      </w:r>
      <w:r>
        <w:rPr>
          <w:rFonts w:ascii="Arial" w:cs="Arial" w:eastAsia="Arial" w:hAnsi="Arial"/>
          <w:sz w:val="20"/>
          <w:szCs w:val="20"/>
          <w:u w:val="single" w:color="auto"/>
          <w:color w:val="auto"/>
        </w:rPr>
        <w:t>Section 5(e)</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ind w:left="200" w:right="239" w:firstLine="657"/>
        <w:spacing w:after="0" w:line="267" w:lineRule="auto"/>
        <w:tabs>
          <w:tab w:leader="none" w:pos="1496"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This Amendment</w:t>
      </w:r>
      <w:r>
        <w:rPr>
          <w:rFonts w:ascii="Arial" w:cs="Arial" w:eastAsia="Arial" w:hAnsi="Arial"/>
          <w:sz w:val="20"/>
          <w:szCs w:val="20"/>
          <w:color w:val="auto"/>
        </w:rPr>
        <w:t>. Collateral Agent shall have received this Amendment,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Collateral Agent, the Lenders and the Borrower.</w:t>
      </w:r>
    </w:p>
    <w:p>
      <w:pPr>
        <w:spacing w:after="0" w:line="163" w:lineRule="exact"/>
        <w:rPr>
          <w:rFonts w:ascii="Arial" w:cs="Arial" w:eastAsia="Arial" w:hAnsi="Arial"/>
          <w:sz w:val="20"/>
          <w:szCs w:val="20"/>
          <w:color w:val="auto"/>
        </w:rPr>
      </w:pPr>
    </w:p>
    <w:p>
      <w:pPr>
        <w:ind w:left="200" w:right="219" w:firstLine="657"/>
        <w:spacing w:after="0" w:line="293" w:lineRule="auto"/>
        <w:tabs>
          <w:tab w:leader="none" w:pos="1496"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 No Default</w:t>
      </w:r>
      <w:r>
        <w:rPr>
          <w:rFonts w:ascii="Arial" w:cs="Arial" w:eastAsia="Arial" w:hAnsi="Arial"/>
          <w:sz w:val="19"/>
          <w:szCs w:val="19"/>
          <w:color w:val="auto"/>
        </w:rPr>
        <w:t>. On the Amendment Effective Date, after</w:t>
      </w:r>
      <w:r>
        <w:rPr>
          <w:rFonts w:ascii="Arial" w:cs="Arial" w:eastAsia="Arial" w:hAnsi="Arial"/>
          <w:sz w:val="19"/>
          <w:szCs w:val="19"/>
          <w:b w:val="1"/>
          <w:bCs w:val="1"/>
          <w:color w:val="auto"/>
        </w:rPr>
        <w:t xml:space="preserve"> </w:t>
      </w:r>
      <w:r>
        <w:rPr>
          <w:rFonts w:ascii="Arial" w:cs="Arial" w:eastAsia="Arial" w:hAnsi="Arial"/>
          <w:sz w:val="19"/>
          <w:szCs w:val="19"/>
          <w:color w:val="auto"/>
        </w:rPr>
        <w:t>giving effect to the amendment of the Loan and Security Agreement contemplated hereby:</w:t>
      </w:r>
    </w:p>
    <w:p>
      <w:pPr>
        <w:spacing w:after="0" w:line="147" w:lineRule="exact"/>
        <w:rPr>
          <w:rFonts w:ascii="Arial" w:cs="Arial" w:eastAsia="Arial" w:hAnsi="Arial"/>
          <w:sz w:val="19"/>
          <w:szCs w:val="19"/>
          <w:color w:val="auto"/>
        </w:rPr>
      </w:pPr>
    </w:p>
    <w:p>
      <w:pPr>
        <w:jc w:val="both"/>
        <w:ind w:left="200" w:right="239" w:firstLine="1305"/>
        <w:spacing w:after="0" w:line="250" w:lineRule="auto"/>
        <w:tabs>
          <w:tab w:leader="none" w:pos="2144" w:val="left"/>
        </w:tabs>
        <w:numPr>
          <w:ilvl w:val="1"/>
          <w:numId w:val="7"/>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contained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shall be true and correct in all material respects on and as of the Amendment Effective Date as though made on and as of such date; and</w:t>
      </w:r>
    </w:p>
    <w:p>
      <w:pPr>
        <w:spacing w:after="0" w:line="185" w:lineRule="exact"/>
        <w:rPr>
          <w:rFonts w:ascii="Arial" w:cs="Arial" w:eastAsia="Arial" w:hAnsi="Arial"/>
          <w:sz w:val="20"/>
          <w:szCs w:val="20"/>
          <w:color w:val="auto"/>
        </w:rPr>
      </w:pPr>
    </w:p>
    <w:p>
      <w:pPr>
        <w:ind w:left="2160" w:hanging="655"/>
        <w:spacing w:after="0"/>
        <w:tabs>
          <w:tab w:leader="none" w:pos="21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There exist no Events of Default.</w:t>
      </w:r>
    </w:p>
    <w:p>
      <w:pPr>
        <w:spacing w:after="0" w:line="210"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To induce the Lenders to enter into this Amendment,</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the Borrower hereby confirms, as of the date hereof, (a) that the representations and warranties made by it in Section 5 of the Loan and Security Agreement and in the other Loan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materiality qualifier shall not be applicable to any representations and warranties that already are qualified or modified by materiality in the text thereof; (b) that there has not been and there does not exist a Material Adverse Change; and (c) that the information included in the Perfection Certificate most recently delivered to Collateral Agent pursuant to Section 6.2(a)</w:t>
      </w:r>
    </w:p>
    <w:p>
      <w:pPr>
        <w:spacing w:after="0" w:line="5" w:lineRule="exact"/>
        <w:rPr>
          <w:sz w:val="20"/>
          <w:szCs w:val="20"/>
          <w:color w:val="auto"/>
        </w:rPr>
      </w:pPr>
    </w:p>
    <w:p>
      <w:pPr>
        <w:jc w:val="both"/>
        <w:ind w:left="200" w:right="219" w:firstLine="9"/>
        <w:spacing w:after="0" w:line="254" w:lineRule="auto"/>
        <w:tabs>
          <w:tab w:leader="none" w:pos="658"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of the Loan Agreement remains true and correct in all material respects. For the purposes of this </w:t>
      </w:r>
      <w:r>
        <w:rPr>
          <w:rFonts w:ascii="Arial" w:cs="Arial" w:eastAsia="Arial" w:hAnsi="Arial"/>
          <w:sz w:val="19"/>
          <w:szCs w:val="19"/>
          <w:u w:val="single" w:color="auto"/>
          <w:color w:val="auto"/>
        </w:rPr>
        <w:t>Section 4</w:t>
      </w:r>
      <w:r>
        <w:rPr>
          <w:rFonts w:ascii="Arial" w:cs="Arial" w:eastAsia="Arial" w:hAnsi="Arial"/>
          <w:sz w:val="19"/>
          <w:szCs w:val="19"/>
          <w:color w:val="auto"/>
        </w:rPr>
        <w:t>,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in all material respects as of such earlier date).</w:t>
      </w:r>
    </w:p>
    <w:p>
      <w:pPr>
        <w:spacing w:after="0" w:line="182"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Miscellaneous.</w:t>
      </w:r>
    </w:p>
    <w:p>
      <w:pPr>
        <w:spacing w:after="0" w:line="239" w:lineRule="exact"/>
        <w:rPr>
          <w:sz w:val="20"/>
          <w:szCs w:val="20"/>
          <w:color w:val="auto"/>
        </w:rPr>
      </w:pPr>
    </w:p>
    <w:p>
      <w:pPr>
        <w:jc w:val="both"/>
        <w:ind w:left="200" w:right="219" w:firstLine="657"/>
        <w:spacing w:after="0" w:line="273" w:lineRule="auto"/>
        <w:tabs>
          <w:tab w:leader="none" w:pos="149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w:t>
      </w:r>
      <w:r>
        <w:rPr>
          <w:rFonts w:ascii="Arial" w:cs="Arial" w:eastAsia="Arial" w:hAnsi="Arial"/>
          <w:sz w:val="18"/>
          <w:szCs w:val="18"/>
          <w:color w:val="auto"/>
        </w:rPr>
        <w:t>. Except as expressly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hereto or referenced herein, 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reaffirms the grant of security under Section 4.1 of the Loan and Security Agreement and hereby reaffirms that such grant of security in the Collateral secures all Obligations under the Loan and Security Agreement, including without limitation any Term Loans funded on or after the Amendment Effective Date, as of the date 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200" w:right="219" w:firstLine="657"/>
        <w:spacing w:after="0" w:line="280"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spacing w:after="0" w:line="155" w:lineRule="exact"/>
        <w:rPr>
          <w:rFonts w:ascii="Arial" w:cs="Arial" w:eastAsia="Arial" w:hAnsi="Arial"/>
          <w:sz w:val="18"/>
          <w:szCs w:val="18"/>
          <w:color w:val="auto"/>
        </w:rPr>
      </w:pPr>
    </w:p>
    <w:p>
      <w:pPr>
        <w:jc w:val="both"/>
        <w:ind w:left="200" w:right="219" w:firstLine="657"/>
        <w:spacing w:after="0" w:line="268"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Collateral Agent and each Lender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for other good and valuable consideration, the receipt and sufficiency of which are hereby acknowledged, Borrower, on behalf of itself and its successors, assigns, and other legal representatives, hereby fully, absolutely, unconditionally and irrevocably releases, remises and forever discharges Collateral Agent and each Lender, and its successors and assigns, and its present and former shareholders, affiliates, subsidiaries, divisions, predecessors, directors, officers, attorneys, employees, agents and other representatives (Collateral Agent, Lenders and all such other persons being hereinafter referred to collectively as the “</w:t>
      </w:r>
      <w:r>
        <w:rPr>
          <w:rFonts w:ascii="Arial" w:cs="Arial" w:eastAsia="Arial" w:hAnsi="Arial"/>
          <w:sz w:val="18"/>
          <w:szCs w:val="18"/>
          <w:b w:val="1"/>
          <w:bCs w:val="1"/>
          <w:color w:val="auto"/>
        </w:rPr>
        <w:t>Releasees</w:t>
      </w:r>
      <w:r>
        <w:rPr>
          <w:rFonts w:ascii="Arial" w:cs="Arial" w:eastAsia="Arial" w:hAnsi="Arial"/>
          <w:sz w:val="18"/>
          <w:szCs w:val="18"/>
          <w:color w:val="auto"/>
        </w:rPr>
        <w:t>” and individually as a “</w:t>
      </w:r>
      <w:r>
        <w:rPr>
          <w:rFonts w:ascii="Arial" w:cs="Arial" w:eastAsia="Arial" w:hAnsi="Arial"/>
          <w:sz w:val="18"/>
          <w:szCs w:val="18"/>
          <w:b w:val="1"/>
          <w:bCs w:val="1"/>
          <w:color w:val="auto"/>
        </w:rPr>
        <w:t>Releasee</w:t>
      </w:r>
      <w:r>
        <w:rPr>
          <w:rFonts w:ascii="Arial" w:cs="Arial" w:eastAsia="Arial" w:hAnsi="Arial"/>
          <w:sz w:val="18"/>
          <w:szCs w:val="18"/>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80" w:lineRule="exact"/>
        <w:rPr>
          <w:rFonts w:ascii="Arial" w:cs="Arial" w:eastAsia="Arial" w:hAnsi="Arial"/>
          <w:sz w:val="18"/>
          <w:szCs w:val="18"/>
          <w:color w:val="auto"/>
        </w:rPr>
      </w:pPr>
    </w:p>
    <w:p>
      <w:pPr>
        <w:jc w:val="both"/>
        <w:ind w:left="200" w:right="219" w:firstLine="657"/>
        <w:spacing w:after="0" w:line="248" w:lineRule="auto"/>
        <w:tabs>
          <w:tab w:leader="none" w:pos="1496"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The Borrower hereby acknowledges and confirms to Collateral Agent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Lenders that the Borrower is executing this Amendment on the basis of its own investigation and for its own reasons without reliance upon any agreement, representation, understanding or communication by or on behalf of any other Person.</w:t>
      </w:r>
    </w:p>
    <w:p>
      <w:pPr>
        <w:spacing w:after="0" w:line="183" w:lineRule="exact"/>
        <w:rPr>
          <w:rFonts w:ascii="Arial" w:cs="Arial" w:eastAsia="Arial" w:hAnsi="Arial"/>
          <w:sz w:val="20"/>
          <w:szCs w:val="20"/>
          <w:color w:val="auto"/>
        </w:rPr>
      </w:pPr>
    </w:p>
    <w:p>
      <w:pPr>
        <w:jc w:val="both"/>
        <w:ind w:left="200" w:right="219" w:firstLine="657"/>
        <w:spacing w:after="0" w:line="277" w:lineRule="auto"/>
        <w:tabs>
          <w:tab w:leader="none" w:pos="149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The Borrower agrees to pay to Collateral Agent within the later of (i)</w:t>
      </w:r>
      <w:r>
        <w:rPr>
          <w:rFonts w:ascii="Arial" w:cs="Arial" w:eastAsia="Arial" w:hAnsi="Arial"/>
          <w:sz w:val="18"/>
          <w:szCs w:val="18"/>
          <w:b w:val="1"/>
          <w:bCs w:val="1"/>
          <w:color w:val="auto"/>
        </w:rPr>
        <w:t xml:space="preserve"> </w:t>
      </w:r>
      <w:r>
        <w:rPr>
          <w:rFonts w:ascii="Arial" w:cs="Arial" w:eastAsia="Arial" w:hAnsi="Arial"/>
          <w:sz w:val="18"/>
          <w:szCs w:val="18"/>
          <w:color w:val="auto"/>
        </w:rPr>
        <w:t>ten (10) days following its receipt of an invoice, or (ii) ten (10) days following the Amendment Effective Date, the reasonable and documented out-of-pocket costs and expenses of Collateral Agent and the Lenders party hereto, and the reasonable and documented fees of counsel to Collateral Agent and the Lenders party thereto, in connection with the negotiation, preparation, execution and delivery of this Amendment and any other documents to be delivered in connection herewith on the Amendment Effective Date.</w:t>
      </w:r>
    </w:p>
    <w:p>
      <w:pPr>
        <w:spacing w:after="0" w:line="159" w:lineRule="exact"/>
        <w:rPr>
          <w:rFonts w:ascii="Arial" w:cs="Arial" w:eastAsia="Arial" w:hAnsi="Arial"/>
          <w:sz w:val="18"/>
          <w:szCs w:val="18"/>
          <w:color w:val="auto"/>
        </w:rPr>
      </w:pPr>
    </w:p>
    <w:p>
      <w:pPr>
        <w:ind w:left="200" w:right="219" w:firstLine="657"/>
        <w:spacing w:after="0" w:line="267" w:lineRule="auto"/>
        <w:tabs>
          <w:tab w:leader="none" w:pos="1496"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Binding Effect</w:t>
      </w:r>
      <w:r>
        <w:rPr>
          <w:rFonts w:ascii="Arial" w:cs="Arial" w:eastAsia="Arial" w:hAnsi="Arial"/>
          <w:sz w:val="20"/>
          <w:szCs w:val="20"/>
          <w:color w:val="auto"/>
        </w:rPr>
        <w:t>. This Amendment binds and is for the benefit of the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assigns of each party.</w:t>
      </w:r>
    </w:p>
    <w:p>
      <w:pPr>
        <w:spacing w:after="0" w:line="163" w:lineRule="exact"/>
        <w:rPr>
          <w:rFonts w:ascii="Arial" w:cs="Arial" w:eastAsia="Arial" w:hAnsi="Arial"/>
          <w:sz w:val="20"/>
          <w:szCs w:val="20"/>
          <w:color w:val="auto"/>
        </w:rPr>
      </w:pPr>
    </w:p>
    <w:p>
      <w:pPr>
        <w:ind w:left="1500" w:hanging="643"/>
        <w:spacing w:after="0"/>
        <w:tabs>
          <w:tab w:leader="none" w:pos="150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AMENDMENT AND THE RIGHTS AND OBLIGATIONS</w:t>
      </w:r>
    </w:p>
    <w:p>
      <w:pPr>
        <w:spacing w:after="0" w:line="21" w:lineRule="exact"/>
        <w:rPr>
          <w:rFonts w:ascii="Arial" w:cs="Arial" w:eastAsia="Arial" w:hAnsi="Arial"/>
          <w:sz w:val="20"/>
          <w:szCs w:val="20"/>
          <w:color w:val="auto"/>
        </w:rPr>
      </w:pPr>
    </w:p>
    <w:p>
      <w:pPr>
        <w:jc w:val="both"/>
        <w:ind w:left="200" w:right="219"/>
        <w:spacing w:after="0"/>
        <w:rPr>
          <w:rFonts w:ascii="Arial" w:cs="Arial" w:eastAsia="Arial" w:hAnsi="Arial"/>
          <w:sz w:val="20"/>
          <w:szCs w:val="20"/>
          <w:color w:val="auto"/>
        </w:rPr>
      </w:pPr>
      <w:r>
        <w:rPr>
          <w:rFonts w:ascii="Arial" w:cs="Arial" w:eastAsia="Arial" w:hAnsi="Arial"/>
          <w:sz w:val="20"/>
          <w:szCs w:val="20"/>
          <w:b w:val="1"/>
          <w:bCs w:val="1"/>
          <w:color w:val="auto"/>
        </w:rPr>
        <w:t>OF THE PARTIES HEREUNDER SHALL IN ALL RESPECTS BE GOVERNED BY AND CONSTRUED IN ACCORDANCE WITH, THE INTERNAL LAWS OF THE STATE OF NEW YORK (WITHOUT REGARD TO THE CONFLICT OF LAWS PRINCIPLES THAT WOULD RESULT IN THE APPLICATION OF ANY LAWS OTHER THAN THE LAWS OF THE STATE OF NEW YORK (OTHER THAN SECTION 5-1401 OF THE GENERAL OBLIGATIONS LAW)),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200" w:right="219"/>
        <w:spacing w:after="0" w:line="266" w:lineRule="auto"/>
        <w:rPr>
          <w:sz w:val="20"/>
          <w:szCs w:val="20"/>
          <w:color w:val="auto"/>
        </w:rPr>
      </w:pPr>
      <w:r>
        <w:rPr>
          <w:rFonts w:ascii="Arial" w:cs="Arial" w:eastAsia="Arial" w:hAnsi="Arial"/>
          <w:sz w:val="20"/>
          <w:szCs w:val="20"/>
          <w:b w:val="1"/>
          <w:bCs w:val="1"/>
          <w:color w:val="auto"/>
        </w:rPr>
        <w:t>INCLUDING ALL MATTERS OF CONSTRUCTION, VALIDITY AND PERFORMANCE, REGARDLESS OF THE LOCATION OF THE COLLATERAL.</w:t>
      </w:r>
    </w:p>
    <w:p>
      <w:pPr>
        <w:spacing w:after="0" w:line="164" w:lineRule="exact"/>
        <w:rPr>
          <w:sz w:val="20"/>
          <w:szCs w:val="20"/>
          <w:color w:val="auto"/>
        </w:rPr>
      </w:pPr>
    </w:p>
    <w:p>
      <w:pPr>
        <w:jc w:val="both"/>
        <w:ind w:left="200" w:right="219" w:firstLine="657"/>
        <w:spacing w:after="0" w:line="271" w:lineRule="auto"/>
        <w:tabs>
          <w:tab w:leader="none" w:pos="149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Complete Agreement; Amendments; Exit Fee Agreement</w:t>
      </w:r>
      <w:r>
        <w:rPr>
          <w:rFonts w:ascii="Arial" w:cs="Arial" w:eastAsia="Arial" w:hAnsi="Arial"/>
          <w:sz w:val="18"/>
          <w:szCs w:val="18"/>
          <w:color w:val="auto"/>
        </w:rPr>
        <w:t>. This Amendment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For the avoidance of doubt and notwithstanding anything to the contrary in this Amendment, Borrower (a) reaffirms its obligations under the Exit Fee Agreement, including without limitation its obligation to pay the Exit Fee (as defined in the Exit Fee Agreement) if and when due thereunder, and (b) agrees that the defined term “Loan Agreement” as defined in the Exit Fee Agreement shall on and after the Amendment Effective Date mean the Loan and Security Agreement as amended by this Amendment and may be amended, restated or modified from time to time on or after the Amendment Effective Date.</w:t>
      </w:r>
    </w:p>
    <w:p>
      <w:pPr>
        <w:spacing w:after="0" w:line="169" w:lineRule="exact"/>
        <w:rPr>
          <w:rFonts w:ascii="Arial" w:cs="Arial" w:eastAsia="Arial" w:hAnsi="Arial"/>
          <w:sz w:val="18"/>
          <w:szCs w:val="18"/>
          <w:color w:val="auto"/>
        </w:rPr>
      </w:pPr>
    </w:p>
    <w:p>
      <w:pPr>
        <w:ind w:left="200" w:right="219" w:firstLine="657"/>
        <w:spacing w:after="0" w:line="267" w:lineRule="auto"/>
        <w:tabs>
          <w:tab w:leader="none" w:pos="1496"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provision in determining the enforceability of any provision.</w:t>
      </w:r>
    </w:p>
    <w:p>
      <w:pPr>
        <w:spacing w:after="0" w:line="163" w:lineRule="exact"/>
        <w:rPr>
          <w:rFonts w:ascii="Arial" w:cs="Arial" w:eastAsia="Arial" w:hAnsi="Arial"/>
          <w:sz w:val="20"/>
          <w:szCs w:val="20"/>
          <w:color w:val="auto"/>
        </w:rPr>
      </w:pPr>
    </w:p>
    <w:p>
      <w:pPr>
        <w:jc w:val="both"/>
        <w:ind w:left="200" w:right="219" w:firstLine="657"/>
        <w:spacing w:after="0" w:line="262" w:lineRule="auto"/>
        <w:tabs>
          <w:tab w:leader="none" w:pos="1496"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any number of counterparts and by</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0" w:lineRule="exact"/>
        <w:rPr>
          <w:rFonts w:ascii="Arial" w:cs="Arial" w:eastAsia="Arial" w:hAnsi="Arial"/>
          <w:sz w:val="19"/>
          <w:szCs w:val="19"/>
          <w:color w:val="auto"/>
        </w:rPr>
      </w:pPr>
    </w:p>
    <w:p>
      <w:pPr>
        <w:ind w:left="200" w:right="219" w:firstLine="657"/>
        <w:spacing w:after="0" w:line="267" w:lineRule="auto"/>
        <w:tabs>
          <w:tab w:leader="none" w:pos="1496"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Loan Documents</w:t>
      </w:r>
      <w:r>
        <w:rPr>
          <w:rFonts w:ascii="Arial" w:cs="Arial" w:eastAsia="Arial" w:hAnsi="Arial"/>
          <w:sz w:val="20"/>
          <w:szCs w:val="20"/>
          <w:color w:val="auto"/>
        </w:rPr>
        <w:t>. This Amendment and the documents related thereto shall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Loan Documents</w:t>
      </w:r>
    </w:p>
    <w:p>
      <w:pPr>
        <w:spacing w:after="0" w:line="163" w:lineRule="exact"/>
        <w:rPr>
          <w:rFonts w:ascii="Arial" w:cs="Arial" w:eastAsia="Arial" w:hAnsi="Arial"/>
          <w:sz w:val="20"/>
          <w:szCs w:val="20"/>
          <w:color w:val="auto"/>
        </w:rPr>
      </w:pPr>
    </w:p>
    <w:p>
      <w:pPr>
        <w:jc w:val="both"/>
        <w:ind w:left="200" w:right="219" w:firstLine="657"/>
        <w:spacing w:after="0" w:line="272" w:lineRule="auto"/>
        <w:tabs>
          <w:tab w:leader="none" w:pos="149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Electronic Execution of Certain Other Documents</w:t>
      </w:r>
      <w:r>
        <w:rPr>
          <w:rFonts w:ascii="Arial" w:cs="Arial" w:eastAsia="Arial" w:hAnsi="Arial"/>
          <w:sz w:val="18"/>
          <w:szCs w:val="18"/>
          <w:color w:val="auto"/>
        </w:rPr>
        <w:t>. The words “execution,”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ind w:left="200" w:right="219" w:firstLine="648"/>
        <w:spacing w:after="0" w:line="261" w:lineRule="auto"/>
        <w:rPr>
          <w:sz w:val="20"/>
          <w:szCs w:val="20"/>
          <w:color w:val="auto"/>
        </w:rPr>
      </w:pPr>
      <w:r>
        <w:rPr>
          <w:rFonts w:ascii="Arial" w:cs="Arial" w:eastAsia="Arial" w:hAnsi="Arial"/>
          <w:sz w:val="20"/>
          <w:szCs w:val="20"/>
          <w:color w:val="auto"/>
        </w:rPr>
        <w:t>IN WITNESS WHEREOF, the parties hereto have duly executed this Amendment, as of the date first above written.</w:t>
      </w:r>
    </w:p>
    <w:p>
      <w:pPr>
        <w:spacing w:after="0" w:line="75"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BORROWER:</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ARDELYX, INC.,</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as Borrower</w:t>
      </w:r>
    </w:p>
    <w:p>
      <w:pPr>
        <w:spacing w:after="0" w:line="200" w:lineRule="exact"/>
        <w:rPr>
          <w:sz w:val="20"/>
          <w:szCs w:val="20"/>
          <w:color w:val="auto"/>
        </w:rPr>
      </w:pPr>
    </w:p>
    <w:p>
      <w:pPr>
        <w:spacing w:after="0" w:line="24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10160</wp:posOffset>
            </wp:positionV>
            <wp:extent cx="2537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20"/>
          <w:szCs w:val="20"/>
          <w:color w:val="auto"/>
        </w:rPr>
        <w:t>Name:  Justin Renz</w:t>
      </w:r>
    </w:p>
    <w:p>
      <w:pPr>
        <w:spacing w:after="0" w:line="8" w:lineRule="exact"/>
        <w:rPr>
          <w:sz w:val="20"/>
          <w:szCs w:val="20"/>
          <w:color w:val="auto"/>
        </w:rPr>
      </w:pPr>
    </w:p>
    <w:p>
      <w:pPr>
        <w:ind w:left="4440"/>
        <w:spacing w:after="0"/>
        <w:tabs>
          <w:tab w:leader="none" w:pos="5080" w:val="left"/>
        </w:tabs>
        <w:rPr>
          <w:sz w:val="20"/>
          <w:szCs w:val="20"/>
          <w:color w:val="auto"/>
        </w:rPr>
      </w:pPr>
      <w:r>
        <w:rPr>
          <w:rFonts w:ascii="Arial" w:cs="Arial" w:eastAsia="Arial" w:hAnsi="Arial"/>
          <w:sz w:val="20"/>
          <w:szCs w:val="20"/>
          <w:color w:val="auto"/>
        </w:rPr>
        <w:t>Title:</w:t>
        <w:tab/>
        <w:t>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COLLATERAL AGENT AND LENDER: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SOLAR CAPITAL LTD.</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Collateral Agent and a Lender</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By:/s/ Nandan S. Munshi</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Nandan S. Munshi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-144780</wp:posOffset>
            </wp:positionV>
            <wp:extent cx="2528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LENDER: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SCP PRIVATE CREDIT INCOME FUND SPV,</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w:t>
      </w:r>
    </w:p>
    <w:p>
      <w:pPr>
        <w:ind w:left="45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By:/s/ Nandan S. Munshi</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Nandan S. Munshi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-144780</wp:posOffset>
            </wp:positionV>
            <wp:extent cx="25285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LENDER:</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WESTERN ALLIANCE BANK</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4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By:/s/ Bill Wickline</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Bill Wickline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-144780</wp:posOffset>
            </wp:positionV>
            <wp:extent cx="25285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Title:  Head of Life Sciences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First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b w:val="1"/>
          <w:bCs w:val="1"/>
          <w:color w:val="auto"/>
        </w:rPr>
        <w:t>SCHEDULE 1.1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Lenders and Commitments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2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Lender</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Term Loan Commitment</w:t>
            </w:r>
          </w:p>
        </w:tc>
        <w:tc>
          <w:tcPr>
            <w:tcW w:w="288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0"/>
                <w:szCs w:val="20"/>
                <w:b w:val="1"/>
                <w:bCs w:val="1"/>
                <w:color w:val="auto"/>
              </w:rPr>
              <w:t>Commitment Percentage</w:t>
            </w:r>
          </w:p>
        </w:tc>
      </w:tr>
      <w:tr>
        <w:trPr>
          <w:trHeight w:val="223"/>
        </w:trPr>
        <w:tc>
          <w:tcPr>
            <w:tcW w:w="2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Solar Capital Ltd.</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$24,500,000</w:t>
            </w:r>
          </w:p>
        </w:tc>
        <w:tc>
          <w:tcPr>
            <w:tcW w:w="28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49.00%</w:t>
            </w:r>
          </w:p>
        </w:tc>
      </w:tr>
      <w:tr>
        <w:trPr>
          <w:trHeight w:val="206"/>
        </w:trPr>
        <w:tc>
          <w:tcPr>
            <w:tcW w:w="286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SCP Private Credit Income Fund</w:t>
            </w:r>
          </w:p>
        </w:tc>
        <w:tc>
          <w:tcPr>
            <w:tcW w:w="2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$10,500,000</w:t>
            </w:r>
          </w:p>
        </w:tc>
        <w:tc>
          <w:tcPr>
            <w:tcW w:w="28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21.00%</w:t>
            </w:r>
          </w:p>
        </w:tc>
      </w:tr>
      <w:tr>
        <w:trPr>
          <w:trHeight w:val="246"/>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SPV, LLC</w:t>
            </w:r>
          </w:p>
        </w:tc>
        <w:tc>
          <w:tcPr>
            <w:tcW w:w="2860" w:type="dxa"/>
            <w:vAlign w:val="bottom"/>
            <w:tcBorders>
              <w:bottom w:val="single" w:sz="8" w:color="auto"/>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spacing w:after="0"/>
              <w:rPr>
                <w:sz w:val="21"/>
                <w:szCs w:val="21"/>
                <w:color w:val="auto"/>
              </w:rPr>
            </w:pPr>
          </w:p>
        </w:tc>
      </w:tr>
      <w:tr>
        <w:trPr>
          <w:trHeight w:val="223"/>
        </w:trPr>
        <w:tc>
          <w:tcPr>
            <w:tcW w:w="2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Western Alliance Bank</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$15,000,000</w:t>
            </w:r>
          </w:p>
        </w:tc>
        <w:tc>
          <w:tcPr>
            <w:tcW w:w="28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30.00%</w:t>
            </w:r>
          </w:p>
        </w:tc>
      </w:tr>
      <w:tr>
        <w:trPr>
          <w:trHeight w:val="223"/>
        </w:trPr>
        <w:tc>
          <w:tcPr>
            <w:tcW w:w="28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rPr>
              <w:t>TOTAL</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88"/>
              </w:rPr>
              <w:t>$50,000,000</w:t>
            </w:r>
          </w:p>
        </w:tc>
        <w:tc>
          <w:tcPr>
            <w:tcW w:w="28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3"/>
              </w:rPr>
              <w:t>100.00%</w:t>
            </w:r>
          </w:p>
        </w:tc>
      </w:tr>
      <w:tr>
        <w:trPr>
          <w:trHeight w:val="918"/>
        </w:trPr>
        <w:tc>
          <w:tcPr>
            <w:tcW w:w="28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lvl w:ilvl="1">
      <w:lvlJc w:val="left"/>
      <w:lvlText w:val="(%2)"/>
      <w:numFmt w:val="lowerLetter"/>
      <w:start w:val="9"/>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lowerRoman"/>
      <w:start w:val="3"/>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lvl w:ilvl="1">
      <w:lvlJc w:val="left"/>
      <w:lvlText w:val="(%2)"/>
      <w:numFmt w:val="lowerRoman"/>
      <w:start w:val="1"/>
    </w:lvl>
  </w:abstractNum>
  <w:abstractNum w:abstractNumId="7">
    <w:nsid w:val="12200854"/>
    <w:multiLevelType w:val="hybridMultilevel"/>
    <w:lvl w:ilvl="0">
      <w:lvlJc w:val="left"/>
      <w:lvlText w:val="(%1)"/>
      <w:numFmt w:val="lowerRoman"/>
      <w:start w:val="1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2020-10-14T15:06:53Z</dcterms:created>
  <dcterms:modified xsi:type="dcterms:W3CDTF">2020-10-14T15:06:53Z</dcterms:modified>
</cp:coreProperties>
</file>