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0002034148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617-675-2739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Foster Eric Duane</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11900</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74137.00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247029387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Vesting of</w:t>
      </w:r>
    </w:p>
    <w:p>
      <w:pPr>
        <w:spacing w:after="0" w:line="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05/19/2026 restricted stock</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28415</w:t>
      </w:r>
      <w:r>
        <w:rPr>
          <w:sz w:val="20"/>
          <w:szCs w:val="20"/>
          <w:color w:val="auto"/>
        </w:rPr>
        <w:tab/>
      </w:r>
      <w:r>
        <w:rPr>
          <w:rFonts w:ascii="Times New Roman" w:cs="Times New Roman" w:eastAsia="Times New Roman" w:hAnsi="Times New Roman"/>
          <w:sz w:val="21"/>
          <w:szCs w:val="21"/>
          <w:color w:val="auto"/>
        </w:rPr>
        <w:t>05/19/2026 Services Rendered</w:t>
      </w:r>
    </w:p>
    <w:p>
      <w:pPr>
        <w:ind w:left="256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560" w:type="dxa"/>
            <w:vAlign w:val="bottom"/>
            <w:vMerge w:val="continue"/>
          </w:tcPr>
          <w:p>
            <w:pPr>
              <w:spacing w:after="0"/>
              <w:rPr>
                <w:sz w:val="10"/>
                <w:szCs w:val="10"/>
                <w:color w:val="auto"/>
              </w:rPr>
            </w:pPr>
          </w:p>
        </w:tc>
        <w:tc>
          <w:tcPr>
            <w:tcW w:w="11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56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1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Eric Duane Foster</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02/20/2026 9176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53817.24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Eric Duane Foster</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02/20/2026 1261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7205.10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Eric Duane Foster</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5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02/20/2026 1</w:t>
            </w:r>
          </w:p>
        </w:tc>
        <w:tc>
          <w:tcPr>
            <w:tcW w:w="11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Eric Duane Foster</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5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02/20/2026 1</w:t>
            </w:r>
          </w:p>
        </w:tc>
        <w:tc>
          <w:tcPr>
            <w:tcW w:w="11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40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Pursuant to an automatic sell-to-cover imposed by the terms of the initial grant of the restricted stock units (RSUs) awards, the shares are to be sold upon the vesting of the RSUs solely to cover applicable withholding taxes.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05/19/2026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Michael Raab, as Attorney-in-Fact for Eric Duane Foster</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2026-05-19T17:58:25Z</dcterms:created>
  <dcterms:modified xsi:type="dcterms:W3CDTF">2026-05-19T17:58:25Z</dcterms:modified>
</cp:coreProperties>
</file>