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231F20"/>
              </w:rPr>
            </w:pPr>
            <w:r>
              <w:rPr>
                <w:color w:val="231F2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6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001-36485</w:t>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ARDELYX,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tbl>
      <w:tblPr>
        <w:tblW w:w="7785" w:type="dxa"/>
        <w:jc w:val="center"/>
        <w:tblInd w:w="0" w:type="dxa"/>
        <w:tblLayout w:type="fixed"/>
        <w:tblCellMar>
          <w:top w:w="28" w:type="dxa"/>
          <w:left w:w="28" w:type="dxa"/>
          <w:bottom w:w="28" w:type="dxa"/>
          <w:right w:w="28" w:type="dxa"/>
        </w:tblCellMar>
      </w:tblPr>
      <w:tblGrid>
        <w:gridCol w:w="1762"/>
        <w:gridCol w:w="1550"/>
        <w:gridCol w:w="1563"/>
        <w:gridCol w:w="849"/>
        <w:gridCol w:w="849"/>
        <w:gridCol w:w="1212"/>
      </w:tblGrid>
      <w:tr>
        <w:trPr/>
        <w:tc>
          <w:tcPr>
            <w:tcW w:w="176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26-1303944</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400 Fifth Avenue, Suite 210, Waltham, Massachusetts</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02451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pPr>
      <w:r>
        <w:rPr>
          <w:rFonts w:ascii="Times New Roman;serif" w:hAnsi="Times New Roman;serif"/>
          <w:b/>
          <w:color w:val="000000"/>
          <w:sz w:val="18"/>
        </w:rPr>
        <w:t>(617)</w:t>
      </w:r>
      <w:r>
        <w:rPr>
          <w:color w:val="000000"/>
        </w:rPr>
        <w:t xml:space="preserve"> </w:t>
      </w:r>
      <w:r>
        <w:rPr>
          <w:rFonts w:ascii="Times New Roman;serif" w:hAnsi="Times New Roman;serif"/>
          <w:b/>
          <w:color w:val="000000"/>
          <w:sz w:val="18"/>
        </w:rPr>
        <w:t>675-2739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____________________________________________________</w:t>
      </w:r>
    </w:p>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412" w:type="dxa"/>
        <w:jc w:val="center"/>
        <w:tblInd w:w="0" w:type="dxa"/>
        <w:tblLayout w:type="fixed"/>
        <w:tblCellMar>
          <w:top w:w="28" w:type="dxa"/>
          <w:left w:w="28" w:type="dxa"/>
          <w:bottom w:w="28" w:type="dxa"/>
          <w:right w:w="28" w:type="dxa"/>
        </w:tblCellMar>
      </w:tblPr>
      <w:tblGrid>
        <w:gridCol w:w="1277"/>
        <w:gridCol w:w="1121"/>
        <w:gridCol w:w="1127"/>
        <w:gridCol w:w="109"/>
        <w:gridCol w:w="109"/>
        <w:gridCol w:w="109"/>
        <w:gridCol w:w="519"/>
        <w:gridCol w:w="519"/>
        <w:gridCol w:w="521"/>
        <w:gridCol w:w="109"/>
        <w:gridCol w:w="109"/>
        <w:gridCol w:w="109"/>
        <w:gridCol w:w="1074"/>
        <w:gridCol w:w="1074"/>
        <w:gridCol w:w="1526"/>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bl>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w:t>
      </w:r>
      <w:r>
        <w:rPr>
          <w:color w:val="000000"/>
        </w:rPr>
        <w:t> ☐</w:t>
      </w:r>
    </w:p>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4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is a shell company (as defined in Rule 12b-2 of the Exchange Act).    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40" w:after="283"/>
        <w:jc w:val="both"/>
        <w:rPr>
          <w:rFonts w:ascii="Times New Roman;serif" w:hAnsi="Times New Roman;serif"/>
          <w:b w:val="false"/>
          <w:color w:val="000000"/>
          <w:sz w:val="16"/>
        </w:rPr>
      </w:pPr>
      <w:r>
        <w:rPr>
          <w:rFonts w:ascii="Times New Roman;serif" w:hAnsi="Times New Roman;serif"/>
          <w:b w:val="false"/>
          <w:color w:val="000000"/>
          <w:sz w:val="16"/>
        </w:rPr>
        <w:t>The number of issued and outstanding shares of the registrant’s Common Stock, $0.0001 par value per share, as of July 30, 2026, was 249,187,572.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in this Quarterly Report on Form 10-Q, the terms “Ardelyx,” “Company,” “we,” “us” and “our” refer to Ardelyx,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including those under the caption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developments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Part II,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OF PRINCIPAL RISKS ASSOCIATED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risks and uncertainties affecting our business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losses in each year since our inception, and if we are unable to continue to increase revenue and/or, if we pursue future business opportunities, we may not achieve cash flow positivity when expected or at all, and even if we do, we may not be able to sustain cash flow positivity quarter over quarter and year over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risk factors described above should be read together with the text of the full risk factors below in the section titled “Risk Factors” and the other information set forth in this Quarterly Report on Form 10-Q, including our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lineRule="auto" w:line="288" w:before="0" w:after="180"/>
        <w:ind w:left="0" w:right="0" w:firstLine="360"/>
        <w:jc w:val="both"/>
        <w:rPr/>
      </w:pPr>
      <w:r>
        <w:rPr>
          <w:rFonts w:ascii="Times New Roman;serif" w:hAnsi="Times New Roman;serif"/>
          <w:b w:val="false"/>
          <w:color w:val="000000"/>
          <w:sz w:val="20"/>
        </w:rPr>
        <w:t>ARDELYX</w:t>
      </w:r>
      <w:r>
        <w:rPr>
          <w:rFonts w:ascii="Times New Roman;serif" w:hAnsi="Times New Roman;serif"/>
          <w:b w:val="false"/>
          <w:color w:val="000000"/>
          <w:sz w:val="13"/>
        </w:rPr>
        <w:t>®</w:t>
      </w:r>
      <w:r>
        <w:rPr>
          <w:rFonts w:ascii="Times New Roman;serif" w:hAnsi="Times New Roman;serif"/>
          <w:b w:val="false"/>
          <w:color w:val="000000"/>
          <w:sz w:val="20"/>
        </w:rPr>
        <w: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XPHOZAH</w:t>
      </w:r>
      <w:r>
        <w:rPr>
          <w:rFonts w:ascii="Times New Roman;serif" w:hAnsi="Times New Roman;serif"/>
          <w:b/>
          <w:color w:val="000000"/>
          <w:sz w:val="13"/>
        </w:rPr>
        <w:t xml:space="preserve">® </w:t>
      </w:r>
      <w:r>
        <w:rPr>
          <w:rFonts w:ascii="Times New Roman;serif" w:hAnsi="Times New Roman;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TABLE OF CONTENTS</w:t>
      </w:r>
    </w:p>
    <w:tbl>
      <w:tblPr>
        <w:tblW w:w="9673" w:type="dxa"/>
        <w:jc w:val="center"/>
        <w:tblInd w:w="0" w:type="dxa"/>
        <w:tblLayout w:type="fixed"/>
        <w:tblCellMar>
          <w:top w:w="28" w:type="dxa"/>
          <w:left w:w="28" w:type="dxa"/>
          <w:bottom w:w="28" w:type="dxa"/>
          <w:right w:w="28" w:type="dxa"/>
        </w:tblCellMar>
      </w:tblPr>
      <w:tblGrid>
        <w:gridCol w:w="293"/>
        <w:gridCol w:w="258"/>
        <w:gridCol w:w="259"/>
        <w:gridCol w:w="2653"/>
        <w:gridCol w:w="2653"/>
        <w:gridCol w:w="2658"/>
        <w:gridCol w:w="263"/>
        <w:gridCol w:w="263"/>
        <w:gridCol w:w="3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3">
              <w:r>
                <w:rPr>
                  <w:rStyle w:val="InternetLink"/>
                  <w:rFonts w:ascii="Times New Roman;serif" w:hAnsi="Times New Roman;serif"/>
                  <w:b/>
                  <w:color w:val="0000FF"/>
                  <w:sz w:val="20"/>
                  <w:u w:val="single"/>
                </w:rPr>
                <w:t>PART I. FINANCIAL INFORMATION</w:t>
              </w:r>
            </w:hyperlink>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6">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6">
              <w:r>
                <w:rPr>
                  <w:rStyle w:val="InternetLink"/>
                  <w:rFonts w:ascii="Times New Roman;serif" w:hAnsi="Times New Roman;serif"/>
                  <w:b w:val="false"/>
                  <w:color w:val="0000FF"/>
                  <w:sz w:val="20"/>
                  <w:u w:val="single"/>
                </w:rPr>
                <w:t>Financial Statements (Unaudited)</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6">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9">
              <w:r>
                <w:rPr>
                  <w:rStyle w:val="InternetLink"/>
                  <w:rFonts w:ascii="Times New Roman;serif" w:hAnsi="Times New Roman;serif"/>
                  <w:b w:val="false"/>
                  <w:color w:val="0000FF"/>
                  <w:sz w:val="20"/>
                  <w:u w:val="single"/>
                </w:rPr>
                <w:t>Condensed Balance Sheets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9">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22">
              <w:r>
                <w:rPr>
                  <w:rStyle w:val="InternetLink"/>
                  <w:rFonts w:ascii="Times New Roman;serif" w:hAnsi="Times New Roman;serif"/>
                  <w:b w:val="false"/>
                  <w:color w:val="0000FF"/>
                  <w:sz w:val="20"/>
                  <w:u w:val="single"/>
                </w:rPr>
                <w:t>Condensed Statements of Operations and Comprehensive Loss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22">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25">
              <w:r>
                <w:rPr>
                  <w:rStyle w:val="InternetLink"/>
                  <w:rFonts w:ascii="Times New Roman;serif" w:hAnsi="Times New Roman;serif"/>
                  <w:b w:val="false"/>
                  <w:color w:val="0000FF"/>
                  <w:sz w:val="20"/>
                  <w:u w:val="single"/>
                </w:rPr>
                <w:t>Condensed Statements of Changes in Stockholders’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31">
              <w:r>
                <w:rPr>
                  <w:rStyle w:val="InternetLink"/>
                  <w:rFonts w:ascii="Times New Roman;serif" w:hAnsi="Times New Roman;serif"/>
                  <w:b w:val="false"/>
                  <w:color w:val="0000FF"/>
                  <w:sz w:val="20"/>
                  <w:u w:val="single"/>
                </w:rPr>
                <w:t>Condensed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31">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34">
              <w:r>
                <w:rPr>
                  <w:rStyle w:val="InternetLink"/>
                  <w:rFonts w:ascii="Times New Roman;serif" w:hAnsi="Times New Roman;serif"/>
                  <w:b w:val="false"/>
                  <w:color w:val="0000FF"/>
                  <w:sz w:val="20"/>
                  <w:u w:val="single"/>
                </w:rPr>
                <w:t>Notes to Condensed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34">
              <w:r>
                <w:rPr>
                  <w:rStyle w:val="InternetLink"/>
                  <w:rFonts w:ascii="Times New Roman;serif" w:hAnsi="Times New Roman;serif"/>
                  <w:b w:val="false"/>
                  <w:color w:val="0000FF"/>
                  <w:sz w:val="20"/>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06">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06">
              <w:r>
                <w:rPr>
                  <w:rStyle w:val="InternetLink"/>
                  <w:rFonts w:ascii="Times New Roman;serif" w:hAnsi="Times New Roman;serif"/>
                  <w:b w:val="false"/>
                  <w:color w:val="0000FF"/>
                  <w:sz w:val="20"/>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24">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24">
              <w:r>
                <w:rPr>
                  <w:rStyle w:val="InternetLink"/>
                  <w:rFonts w:ascii="Times New Roman;serif" w:hAnsi="Times New Roman;serif"/>
                  <w:b w:val="false"/>
                  <w:color w:val="0000FF"/>
                  <w:sz w:val="20"/>
                  <w:u w:val="single"/>
                </w:rPr>
                <w:t>Quantitative and Qualitative Disclosures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24">
              <w:r>
                <w:rPr>
                  <w:rStyle w:val="InternetLink"/>
                  <w:rFonts w:ascii="Times New Roman;serif" w:hAnsi="Times New Roman;serif"/>
                  <w:b w:val="false"/>
                  <w:color w:val="0000FF"/>
                  <w:sz w:val="20"/>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27">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27">
              <w:r>
                <w:rPr>
                  <w:rStyle w:val="InternetLink"/>
                  <w:rFonts w:ascii="Times New Roman;serif" w:hAnsi="Times New Roman;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27">
              <w:r>
                <w:rPr>
                  <w:rStyle w:val="InternetLink"/>
                  <w:rFonts w:ascii="Times New Roman;serif" w:hAnsi="Times New Roman;serif"/>
                  <w:b w:val="false"/>
                  <w:color w:val="0000FF"/>
                  <w:sz w:val="20"/>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30">
              <w:r>
                <w:rPr>
                  <w:rStyle w:val="InternetLink"/>
                  <w:rFonts w:ascii="Times New Roman;serif" w:hAnsi="Times New Roman;serif"/>
                  <w:b/>
                  <w:color w:val="0000FF"/>
                  <w:sz w:val="20"/>
                  <w:u w:val="single"/>
                </w:rPr>
                <w:t>PART II. 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33">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33">
              <w:r>
                <w:rPr>
                  <w:rStyle w:val="InternetLink"/>
                  <w:rFonts w:ascii="Times New Roman;serif" w:hAnsi="Times New Roman;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33">
              <w:r>
                <w:rPr>
                  <w:rStyle w:val="InternetLink"/>
                  <w:rFonts w:ascii="Times New Roman;serif" w:hAnsi="Times New Roman;serif"/>
                  <w:b w:val="false"/>
                  <w:color w:val="0000FF"/>
                  <w:sz w:val="20"/>
                  <w:u w:val="single"/>
                </w:rPr>
                <w:t>27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36">
              <w:r>
                <w:rPr>
                  <w:rStyle w:val="InternetLink"/>
                  <w:rFonts w:ascii="Times New Roman;serif" w:hAnsi="Times New Roman;serif"/>
                  <w:b w:val="false"/>
                  <w:color w:val="0000FF"/>
                  <w:sz w:val="20"/>
                  <w:u w:val="single"/>
                </w:rPr>
                <w:t>Item 1A.</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36">
              <w:r>
                <w:rPr>
                  <w:rStyle w:val="InternetLink"/>
                  <w:rFonts w:ascii="Times New Roman;serif" w:hAnsi="Times New Roman;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36">
              <w:r>
                <w:rPr>
                  <w:rStyle w:val="InternetLink"/>
                  <w:rFonts w:ascii="Times New Roman;serif" w:hAnsi="Times New Roman;serif"/>
                  <w:b w:val="false"/>
                  <w:color w:val="0000FF"/>
                  <w:sz w:val="20"/>
                  <w:u w:val="single"/>
                </w:rPr>
                <w:t>27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39">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39">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39">
              <w:r>
                <w:rPr>
                  <w:rStyle w:val="InternetLink"/>
                  <w:rFonts w:ascii="Times New Roman;serif" w:hAnsi="Times New Roman;serif"/>
                  <w:b w:val="false"/>
                  <w:color w:val="0000FF"/>
                  <w:sz w:val="20"/>
                  <w:u w:val="single"/>
                </w:rPr>
                <w:t>64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42">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42">
              <w:r>
                <w:rPr>
                  <w:rStyle w:val="InternetLink"/>
                  <w:rFonts w:ascii="Times New Roman;serif" w:hAnsi="Times New Roman;serif"/>
                  <w:b w:val="false"/>
                  <w:color w:val="0000FF"/>
                  <w:sz w:val="20"/>
                  <w:u w:val="single"/>
                </w:rPr>
                <w:t>Defaults Upon Senior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42">
              <w:r>
                <w:rPr>
                  <w:rStyle w:val="InternetLink"/>
                  <w:rFonts w:ascii="Times New Roman;serif" w:hAnsi="Times New Roman;serif"/>
                  <w:b w:val="false"/>
                  <w:color w:val="0000FF"/>
                  <w:sz w:val="20"/>
                  <w:u w:val="single"/>
                </w:rPr>
                <w:t>64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45">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45">
              <w:r>
                <w:rPr>
                  <w:rStyle w:val="InternetLink"/>
                  <w:rFonts w:ascii="Times New Roman;serif" w:hAnsi="Times New Roman;serif"/>
                  <w:b w:val="false"/>
                  <w:color w:val="0000FF"/>
                  <w:sz w:val="20"/>
                  <w:u w:val="single"/>
                </w:rPr>
                <w:t>Mine Safety Disclosures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45">
              <w:r>
                <w:rPr>
                  <w:rStyle w:val="InternetLink"/>
                  <w:rFonts w:ascii="Times New Roman;serif" w:hAnsi="Times New Roman;serif"/>
                  <w:b w:val="false"/>
                  <w:color w:val="0000FF"/>
                  <w:sz w:val="20"/>
                  <w:u w:val="single"/>
                </w:rPr>
                <w:t>64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48">
              <w:r>
                <w:rPr>
                  <w:rStyle w:val="InternetLink"/>
                  <w:rFonts w:ascii="Times New Roman;serif" w:hAnsi="Times New Roman;serif"/>
                  <w:b w:val="false"/>
                  <w:color w:val="0000FF"/>
                  <w:sz w:val="20"/>
                  <w:u w:val="single"/>
                </w:rPr>
                <w:t>Item 5.</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48">
              <w:r>
                <w:rPr>
                  <w:rStyle w:val="InternetLink"/>
                  <w:rFonts w:ascii="Times New Roman;serif" w:hAnsi="Times New Roman;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48">
              <w:r>
                <w:rPr>
                  <w:rStyle w:val="InternetLink"/>
                  <w:rFonts w:ascii="Times New Roman;serif" w:hAnsi="Times New Roman;serif"/>
                  <w:b w:val="false"/>
                  <w:color w:val="0000FF"/>
                  <w:sz w:val="20"/>
                  <w:u w:val="single"/>
                </w:rPr>
                <w:t>64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57">
              <w:r>
                <w:rPr>
                  <w:rStyle w:val="InternetLink"/>
                  <w:rFonts w:ascii="Times New Roman;serif" w:hAnsi="Times New Roman;serif"/>
                  <w:b w:val="false"/>
                  <w:color w:val="0000FF"/>
                  <w:sz w:val="20"/>
                  <w:u w:val="single"/>
                </w:rPr>
                <w:t>Item 6.</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57">
              <w:r>
                <w:rPr>
                  <w:rStyle w:val="InternetLink"/>
                  <w:rFonts w:ascii="Times New Roman;serif" w:hAnsi="Times New Roman;serif"/>
                  <w:b w:val="false"/>
                  <w:color w:val="0000FF"/>
                  <w:sz w:val="20"/>
                  <w:u w:val="single"/>
                </w:rPr>
                <w:t>Exhibits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57">
              <w:r>
                <w:rPr>
                  <w:rStyle w:val="InternetLink"/>
                  <w:rFonts w:ascii="Times New Roman;serif" w:hAnsi="Times New Roman;serif"/>
                  <w:b w:val="false"/>
                  <w:color w:val="0000FF"/>
                  <w:sz w:val="20"/>
                  <w:u w:val="single"/>
                </w:rPr>
                <w:t>65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60">
              <w:r>
                <w:rPr>
                  <w:rStyle w:val="InternetLink"/>
                  <w:rFonts w:ascii="Times New Roman;serif" w:hAnsi="Times New Roman;serif"/>
                  <w:b w:val="false"/>
                  <w:color w:val="0000FF"/>
                  <w:sz w:val="20"/>
                  <w:u w:val="single"/>
                </w:rPr>
                <w:t>Signature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60">
              <w:r>
                <w:rPr>
                  <w:rStyle w:val="InternetLink"/>
                  <w:rFonts w:ascii="Times New Roman;serif" w:hAnsi="Times New Roman;serif"/>
                  <w:b w:val="false"/>
                  <w:color w:val="0000FF"/>
                  <w:sz w:val="20"/>
                  <w:u w:val="single"/>
                </w:rPr>
                <w:t>66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67f18782a747c1bc46268c0f599179_160">
              <w:r>
                <w:rPr>
                  <w:rStyle w:val="InternetLink"/>
                  <w:rFonts w:ascii="Times New Roman;serif" w:hAnsi="Times New Roman;serif"/>
                  <w:b w:val="false"/>
                  <w:color w:val="0000FF"/>
                  <w:sz w:val="20"/>
                  <w:u w:val="single"/>
                </w:rPr>
                <w:t>Summary of Abbreviated Terms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67f18782a747c1bc46268c0f599179_163">
              <w:r>
                <w:rPr>
                  <w:rStyle w:val="InternetLink"/>
                  <w:rFonts w:ascii="Times New Roman;serif" w:hAnsi="Times New Roman;serif"/>
                  <w:b w:val="false"/>
                  <w:color w:val="0000FF"/>
                  <w:sz w:val="20"/>
                  <w:u w:val="single"/>
                </w:rPr>
                <w:t>67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59"/>
        <w:gridCol w:w="2278"/>
        <w:gridCol w:w="2217"/>
        <w:gridCol w:w="220"/>
        <w:gridCol w:w="863"/>
        <w:gridCol w:w="113"/>
        <w:gridCol w:w="109"/>
        <w:gridCol w:w="109"/>
        <w:gridCol w:w="109"/>
        <w:gridCol w:w="252"/>
        <w:gridCol w:w="988"/>
        <w:gridCol w:w="188"/>
      </w:tblGrid>
      <w:tr>
        <w:trPr/>
        <w:tc>
          <w:tcPr>
            <w:tcW w:w="275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382,317 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 non-current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royalties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426,881 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334,655 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500,000,000 shares authorized; 249,147,061 and 244,351,501 shares issued and outstanding as of June 30, 2026 and December 31, 2025, respectively</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(946,939)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77"/>
        <w:gridCol w:w="1207"/>
        <w:gridCol w:w="1214"/>
        <w:gridCol w:w="241"/>
        <w:gridCol w:w="945"/>
        <w:gridCol w:w="109"/>
        <w:gridCol w:w="109"/>
        <w:gridCol w:w="109"/>
        <w:gridCol w:w="109"/>
        <w:gridCol w:w="264"/>
        <w:gridCol w:w="922"/>
        <w:gridCol w:w="109"/>
        <w:gridCol w:w="109"/>
        <w:gridCol w:w="109"/>
        <w:gridCol w:w="109"/>
        <w:gridCol w:w="241"/>
        <w:gridCol w:w="945"/>
        <w:gridCol w:w="109"/>
        <w:gridCol w:w="109"/>
        <w:gridCol w:w="109"/>
        <w:gridCol w:w="109"/>
        <w:gridCol w:w="241"/>
        <w:gridCol w:w="945"/>
        <w:gridCol w:w="155"/>
      </w:tblGrid>
      <w:tr>
        <w:trPr/>
        <w:tc>
          <w:tcPr>
            <w:tcW w:w="15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248,067,253 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239,928,570 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246,967,275 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239,279,962 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ARDELYX,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tbl>
      <w:tblPr>
        <w:tblW w:w="10443" w:type="dxa"/>
        <w:jc w:val="left"/>
        <w:tblInd w:w="0" w:type="dxa"/>
        <w:tblLayout w:type="fixed"/>
        <w:tblCellMar>
          <w:top w:w="28" w:type="dxa"/>
          <w:left w:w="28" w:type="dxa"/>
          <w:bottom w:w="28" w:type="dxa"/>
          <w:right w:w="28" w:type="dxa"/>
        </w:tblCellMar>
      </w:tblPr>
      <w:tblGrid>
        <w:gridCol w:w="1014"/>
        <w:gridCol w:w="258"/>
        <w:gridCol w:w="259"/>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991"/>
        <w:gridCol w:w="109"/>
        <w:gridCol w:w="109"/>
        <w:gridCol w:w="109"/>
        <w:gridCol w:w="109"/>
        <w:gridCol w:w="344"/>
        <w:gridCol w:w="784"/>
        <w:gridCol w:w="178"/>
        <w:gridCol w:w="109"/>
        <w:gridCol w:w="109"/>
        <w:gridCol w:w="109"/>
        <w:gridCol w:w="215"/>
        <w:gridCol w:w="843"/>
        <w:gridCol w:w="158"/>
      </w:tblGrid>
      <w:tr>
        <w:trP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246,973,414 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249,147,061 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tbl>
      <w:tblPr>
        <w:tblW w:w="1044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991"/>
        <w:gridCol w:w="109"/>
        <w:gridCol w:w="109"/>
        <w:gridCol w:w="109"/>
        <w:gridCol w:w="109"/>
        <w:gridCol w:w="344"/>
        <w:gridCol w:w="784"/>
        <w:gridCol w:w="178"/>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244,351,501 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2,736,719 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249,147,061 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tbl>
      <w:tblPr>
        <w:tblW w:w="10293" w:type="dxa"/>
        <w:jc w:val="left"/>
        <w:tblInd w:w="0" w:type="dxa"/>
        <w:tblLayout w:type="fixed"/>
        <w:tblCellMar>
          <w:top w:w="28" w:type="dxa"/>
          <w:left w:w="28" w:type="dxa"/>
          <w:bottom w:w="28" w:type="dxa"/>
          <w:right w:w="28" w:type="dxa"/>
        </w:tblCellMar>
      </w:tblPr>
      <w:tblGrid>
        <w:gridCol w:w="1014"/>
        <w:gridCol w:w="258"/>
        <w:gridCol w:w="259"/>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95"/>
        <w:gridCol w:w="705"/>
        <w:gridCol w:w="206"/>
        <w:gridCol w:w="109"/>
        <w:gridCol w:w="109"/>
        <w:gridCol w:w="109"/>
        <w:gridCol w:w="215"/>
        <w:gridCol w:w="843"/>
        <w:gridCol w:w="158"/>
      </w:tblGrid>
      <w:tr>
        <w:trP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239,201,256 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240,765,516 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95"/>
        <w:gridCol w:w="705"/>
        <w:gridCol w:w="206"/>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238,015,825 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240,765,516 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573" w:type="dxa"/>
        <w:jc w:val="center"/>
        <w:tblInd w:w="0" w:type="dxa"/>
        <w:tblLayout w:type="fixed"/>
        <w:tblCellMar>
          <w:top w:w="28" w:type="dxa"/>
          <w:left w:w="28" w:type="dxa"/>
          <w:bottom w:w="28" w:type="dxa"/>
          <w:right w:w="28" w:type="dxa"/>
        </w:tblCellMar>
      </w:tblPr>
      <w:tblGrid>
        <w:gridCol w:w="2162"/>
        <w:gridCol w:w="1897"/>
        <w:gridCol w:w="1910"/>
        <w:gridCol w:w="211"/>
        <w:gridCol w:w="796"/>
        <w:gridCol w:w="109"/>
        <w:gridCol w:w="109"/>
        <w:gridCol w:w="109"/>
        <w:gridCol w:w="109"/>
        <w:gridCol w:w="211"/>
        <w:gridCol w:w="796"/>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 Agreement, net of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Loan Agreement, including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equity incentive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0"/>
        <w:jc w:val="center"/>
        <w:rPr/>
      </w:pPr>
      <w:r>
        <w:rPr>
          <w:rFonts w:ascii="Times New Roman;serif" w:hAnsi="Times New Roman;serif"/>
          <w:b/>
          <w:color w:val="000000"/>
          <w:sz w:val="20"/>
        </w:rPr>
        <w:t>ARDELYX, INC</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NATURE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 sodium/hydrogen exchanger (NHE3) inhibitor that was discovered and developed by Ardelyx. NHE3 is an antiporter expressed on the apical surface of the small and large intestines. Tenapanor is a minimally absorbed, small molecule therapy. In addition, we are building a pipeline which is currently focused on expanding the commercial footprint of tenapanor.</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irritable bowel syndrome with constipation (IBS-C). We are seeking to further expand the IBSRELA eligible patient population to include patients with chronic idiopathic constipation (CIC), and have initiated a Phase 3 clinical trial evaluating tenapanor in adults with CIC.</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chronic kidney disease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developing a next-generation NHE3 inhibitor, RDX10531, which is currently in IND-enabling studies and has demonstrated in preclinical models to have improved solubility and potency compared to tenapanor. We believe that RDX10531 can have application across multiple therapeutic areas.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one business segment, which is the development and commercialization of biopharmaceutical products. Refer to </w:t>
      </w:r>
      <w:r>
        <w:rPr>
          <w:rFonts w:ascii="Times New Roman;serif" w:hAnsi="Times New Roman;serif"/>
          <w:b w:val="false"/>
          <w:i/>
          <w:color w:val="000000"/>
          <w:sz w:val="20"/>
        </w:rPr>
        <w:t>Note 12. Segment Reporting</w:t>
      </w:r>
      <w:r>
        <w:rPr>
          <w:color w:val="000000"/>
        </w:rPr>
        <w:t xml:space="preserve"> </w:t>
      </w:r>
      <w:r>
        <w:rPr>
          <w:rFonts w:ascii="Times New Roman;serif" w:hAnsi="Times New Roman;serif"/>
          <w:b w:val="false"/>
          <w:color w:val="000000"/>
          <w:sz w:val="20"/>
        </w:rPr>
        <w:t>for further segment reporting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condensed financial statements have been prepared in accordance with U.S. GAAP and pursuant to the requirements of the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normal and recurring adjustments necessary to present fairly our financial position, results of operations, changes in stockholders’ equity and cash flows for the interim periods presented.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Certain prior year amounts have been reclassified to conform to the current year presentation on the condensed statements of operations and comprehensive loss to include the “cost of product sales” and the “other cost of revenue” captions within the “cost of sales” caption. Certain prior year amounts have also been reclassified to conform to the current year presentation in </w:t>
      </w:r>
      <w:r>
        <w:rPr>
          <w:rFonts w:ascii="Times New Roman;serif" w:hAnsi="Times New Roman;serif"/>
          <w:b w:val="false"/>
          <w:i/>
          <w:color w:val="000000"/>
          <w:sz w:val="20"/>
        </w:rPr>
        <w:t>Note 12. Segment Reporting</w:t>
      </w:r>
      <w:r>
        <w:rPr>
          <w:rFonts w:ascii="Times New Roman;serif" w:hAnsi="Times New Roman;serif"/>
          <w:b w:val="false"/>
          <w:color w:val="000000"/>
          <w:sz w:val="20"/>
        </w:rPr>
        <w:t xml:space="preserve">. These reclassifications had no effect on the previously reported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and related financial information should be read in conjunction with the audited financial statements and the related notes thereto included in our 2025 Form 10-K. The results for the three and six months ended June 30, 2026 are not necessarily indicative of results to be expected for the entire year ending December 31, 2026, or for any other interim period or future year.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management to make estimates, judgments and assumptions. The most significant assumptions are estimates used in our revenue gross-to-net accruals.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our condensed balance sheets. Cash, cash equivalents and short-term investments are invested through banks and other financial institutions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 Not Yet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No. 2024-03, Income Statement (Topic 220) - </w:t>
      </w:r>
      <w:r>
        <w:rPr>
          <w:rFonts w:ascii="Times New Roman;serif" w:hAnsi="Times New Roman;serif"/>
          <w:b w:val="false"/>
          <w:i/>
          <w:color w:val="000000"/>
          <w:sz w:val="20"/>
        </w:rPr>
        <w:t>Reporting Comprehensive Income - Expense Disaggregation Disclosures, Disaggregation of Income Statement Expenses</w:t>
      </w:r>
      <w:r>
        <w:rPr>
          <w:rFonts w:ascii="Times New Roman;serif" w:hAnsi="Times New Roman;serif"/>
          <w:b w:val="false"/>
          <w:color w:val="000000"/>
          <w:sz w:val="20"/>
        </w:rPr>
        <w:t>, which requires public companies to disclose, in interim and annual reporting periods, additional information about certain expenses in the financial statements. The new disclosure requirements are effective for the Company’s annual periods beginning January 1, 2027, and interim periods beginning January 1, 2028, with early adoption permitted, and may be applied either prospectively or retrospectively. The Company is in the process of evaluating the impact of this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CASH, CASH EQUIVALENTS AND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cash equivalents and short-term investments:</w:t>
      </w:r>
    </w:p>
    <w:tbl>
      <w:tblPr>
        <w:tblW w:w="11938" w:type="dxa"/>
        <w:jc w:val="center"/>
        <w:tblInd w:w="0" w:type="dxa"/>
        <w:tblLayout w:type="fixed"/>
        <w:tblCellMar>
          <w:top w:w="28" w:type="dxa"/>
          <w:left w:w="28" w:type="dxa"/>
          <w:bottom w:w="28" w:type="dxa"/>
          <w:right w:w="28" w:type="dxa"/>
        </w:tblCellMar>
      </w:tblPr>
      <w:tblGrid>
        <w:gridCol w:w="978"/>
        <w:gridCol w:w="696"/>
        <w:gridCol w:w="307"/>
        <w:gridCol w:w="211"/>
        <w:gridCol w:w="826"/>
        <w:gridCol w:w="109"/>
        <w:gridCol w:w="109"/>
        <w:gridCol w:w="109"/>
        <w:gridCol w:w="109"/>
        <w:gridCol w:w="211"/>
        <w:gridCol w:w="406"/>
        <w:gridCol w:w="109"/>
        <w:gridCol w:w="109"/>
        <w:gridCol w:w="109"/>
        <w:gridCol w:w="109"/>
        <w:gridCol w:w="211"/>
        <w:gridCol w:w="481"/>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or losses have not been significant and are included in other income, net in our condensed statements of operations and comprehensive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losses as of June 30, 2026 and December 31, 2025 were not material. All of the short-term available-for-sale securities held as of June 30, 2026 and December 31, 2025 had contractual maturities of less than one year, and no investment was in a continuous unrealized loss position for more than one year. Therefore, we believe that it is more likely than not that the investments will be held until maturity or a forecasted recovery of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June 30, 2026 and December 31, 2025.</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See “Cash Equivalents” and “Short-Term Investments” captions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2025 Form 10-K for more information on our accounting policies for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must maximize the use of observable inputs and minimize the use of unobservable inputs. The three-level hierarchy for the inputs to valuation techniques is briefly summarized as follows:</w:t>
      </w:r>
    </w:p>
    <w:tbl>
      <w:tblPr>
        <w:tblW w:w="10205" w:type="dxa"/>
        <w:jc w:val="left"/>
        <w:tblInd w:w="0" w:type="dxa"/>
        <w:tblLayout w:type="fixed"/>
        <w:tblCellMar>
          <w:top w:w="28" w:type="dxa"/>
          <w:left w:w="28" w:type="dxa"/>
          <w:bottom w:w="28" w:type="dxa"/>
          <w:right w:w="28" w:type="dxa"/>
        </w:tblCellMar>
      </w:tblPr>
      <w:tblGrid>
        <w:gridCol w:w="246"/>
        <w:gridCol w:w="216"/>
        <w:gridCol w:w="218"/>
        <w:gridCol w:w="2875"/>
        <w:gridCol w:w="2742"/>
        <w:gridCol w:w="3908"/>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unadjusted quoted prices in active markets for identical assets or liabilities that we have the ability to access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unobservable inputs for which there is little or no market data, which require us to develop our own assumptions.</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our financial assets that are measured or disclosed on a recurring basis by level within the fair value hierarchy:</w:t>
      </w:r>
    </w:p>
    <w:tbl>
      <w:tblPr>
        <w:tblW w:w="12433" w:type="dxa"/>
        <w:jc w:val="center"/>
        <w:tblInd w:w="0" w:type="dxa"/>
        <w:tblLayout w:type="fixed"/>
        <w:tblCellMar>
          <w:top w:w="28" w:type="dxa"/>
          <w:left w:w="28" w:type="dxa"/>
          <w:bottom w:w="28" w:type="dxa"/>
          <w:right w:w="28" w:type="dxa"/>
        </w:tblCellMar>
      </w:tblPr>
      <w:tblGrid>
        <w:gridCol w:w="887"/>
        <w:gridCol w:w="545"/>
        <w:gridCol w:w="54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88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outstanding principal under our Loan Agreement is subject to a variable interest rate based on the one-month SOFR, a readily observable market data (Level 2 input). Therefore, we believe the carrying amount of the term loan facility approximated its fair value as of June 30, 2026 and December 31, 2025. See </w:t>
      </w:r>
      <w:r>
        <w:rPr>
          <w:rFonts w:ascii="Times New Roman;serif" w:hAnsi="Times New Roman;serif"/>
          <w:b w:val="false"/>
          <w:i/>
          <w:color w:val="000000"/>
          <w:sz w:val="20"/>
        </w:rPr>
        <w:t>Note 8. Borrowing</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carrying value of the deferred royalty obligation related to the sale of future royalties approximated its fair value as of June 30, 2026 and December 31, 2025, and is based on our current estimates of future royalties and commercialization milestones expected to be received by HCR over the life of the HCR Agreement. See </w:t>
      </w:r>
      <w:r>
        <w:rPr>
          <w:rFonts w:ascii="Times New Roman;serif" w:hAnsi="Times New Roman;serif"/>
          <w:b w:val="false"/>
          <w:i/>
          <w:color w:val="000000"/>
          <w:sz w:val="20"/>
        </w:rPr>
        <w:t>Note 7. Deferred Royalty Obligation Related to the Sale of Future Royalties</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consisted of the following: </w:t>
      </w:r>
    </w:p>
    <w:tbl>
      <w:tblPr>
        <w:tblW w:w="5319" w:type="dxa"/>
        <w:jc w:val="center"/>
        <w:tblInd w:w="0" w:type="dxa"/>
        <w:tblLayout w:type="fixed"/>
        <w:tblCellMar>
          <w:top w:w="28" w:type="dxa"/>
          <w:left w:w="28" w:type="dxa"/>
          <w:bottom w:w="28" w:type="dxa"/>
          <w:right w:w="28" w:type="dxa"/>
        </w:tblCellMar>
      </w:tblPr>
      <w:tblGrid>
        <w:gridCol w:w="706"/>
        <w:gridCol w:w="621"/>
        <w:gridCol w:w="622"/>
        <w:gridCol w:w="234"/>
        <w:gridCol w:w="919"/>
        <w:gridCol w:w="121"/>
        <w:gridCol w:w="109"/>
        <w:gridCol w:w="109"/>
        <w:gridCol w:w="109"/>
        <w:gridCol w:w="313"/>
        <w:gridCol w:w="1228"/>
        <w:gridCol w:w="228"/>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 with third-party CMOs not included in inventory was $23.2 million and $14.5 million as of June 30, 2026 and December 31, 2025, respectively. There were $8.5 million prepayments expected to be converted into inventory after 12 months as of June 30, 2026, compared to none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Disaggregation of total revenues by nature is as follows:</w:t>
      </w:r>
    </w:p>
    <w:tbl>
      <w:tblPr>
        <w:tblW w:w="10205" w:type="dxa"/>
        <w:jc w:val="left"/>
        <w:tblInd w:w="0" w:type="dxa"/>
        <w:tblLayout w:type="fixed"/>
        <w:tblCellMar>
          <w:top w:w="28" w:type="dxa"/>
          <w:left w:w="28" w:type="dxa"/>
          <w:bottom w:w="28" w:type="dxa"/>
          <w:right w:w="28" w:type="dxa"/>
        </w:tblCellMar>
      </w:tblPr>
      <w:tblGrid>
        <w:gridCol w:w="1669"/>
        <w:gridCol w:w="1468"/>
        <w:gridCol w:w="1470"/>
        <w:gridCol w:w="218"/>
        <w:gridCol w:w="857"/>
        <w:gridCol w:w="112"/>
        <w:gridCol w:w="112"/>
        <w:gridCol w:w="112"/>
        <w:gridCol w:w="112"/>
        <w:gridCol w:w="218"/>
        <w:gridCol w:w="748"/>
        <w:gridCol w:w="112"/>
        <w:gridCol w:w="109"/>
        <w:gridCol w:w="109"/>
        <w:gridCol w:w="109"/>
        <w:gridCol w:w="211"/>
        <w:gridCol w:w="826"/>
        <w:gridCol w:w="109"/>
        <w:gridCol w:w="109"/>
        <w:gridCol w:w="109"/>
        <w:gridCol w:w="109"/>
        <w:gridCol w:w="211"/>
        <w:gridCol w:w="826"/>
        <w:gridCol w:w="160"/>
      </w:tblGrid>
      <w:tr>
        <w:trPr/>
        <w:tc>
          <w:tcPr>
            <w:tcW w:w="166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171,776 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product sales, net was as follows:</w:t>
      </w:r>
    </w:p>
    <w:tbl>
      <w:tblPr>
        <w:tblW w:w="10205" w:type="dxa"/>
        <w:jc w:val="center"/>
        <w:tblInd w:w="0" w:type="dxa"/>
        <w:tblLayout w:type="fixed"/>
        <w:tblCellMar>
          <w:top w:w="28" w:type="dxa"/>
          <w:left w:w="28" w:type="dxa"/>
          <w:bottom w:w="28" w:type="dxa"/>
          <w:right w:w="28" w:type="dxa"/>
        </w:tblCellMar>
      </w:tblPr>
      <w:tblGrid>
        <w:gridCol w:w="1470"/>
        <w:gridCol w:w="1289"/>
        <w:gridCol w:w="1291"/>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8"/>
      </w:tblGrid>
      <w:tr>
        <w:trPr/>
        <w:tc>
          <w:tcPr>
            <w:tcW w:w="14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 net as a percentage of total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product sales from Customers accounting for more than 10% of total revenues were as follows:</w:t>
      </w:r>
    </w:p>
    <w:tbl>
      <w:tblPr>
        <w:tblW w:w="7787" w:type="dxa"/>
        <w:jc w:val="center"/>
        <w:tblInd w:w="0" w:type="dxa"/>
        <w:tblLayout w:type="fixed"/>
        <w:tblCellMar>
          <w:top w:w="28" w:type="dxa"/>
          <w:left w:w="28" w:type="dxa"/>
          <w:bottom w:w="28" w:type="dxa"/>
          <w:right w:w="28" w:type="dxa"/>
        </w:tblCellMar>
      </w:tblPr>
      <w:tblGrid>
        <w:gridCol w:w="733"/>
        <w:gridCol w:w="645"/>
        <w:gridCol w:w="646"/>
        <w:gridCol w:w="292"/>
        <w:gridCol w:w="219"/>
        <w:gridCol w:w="545"/>
        <w:gridCol w:w="219"/>
        <w:gridCol w:w="219"/>
        <w:gridCol w:w="219"/>
        <w:gridCol w:w="292"/>
        <w:gridCol w:w="219"/>
        <w:gridCol w:w="545"/>
        <w:gridCol w:w="109"/>
        <w:gridCol w:w="109"/>
        <w:gridCol w:w="109"/>
        <w:gridCol w:w="292"/>
        <w:gridCol w:w="219"/>
        <w:gridCol w:w="488"/>
        <w:gridCol w:w="196"/>
        <w:gridCol w:w="196"/>
        <w:gridCol w:w="196"/>
        <w:gridCol w:w="292"/>
        <w:gridCol w:w="219"/>
        <w:gridCol w:w="569"/>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Customers</w:t>
            </w:r>
            <w:r>
              <w:rPr>
                <w:rFonts w:ascii="Times New Roman;serif" w:hAnsi="Times New Roman;serif"/>
                <w:b w:val="false"/>
                <w:color w:val="000000"/>
                <w:sz w:val="13"/>
              </w:rPr>
              <w:t>(1)</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BioRidge Pharma, LLC</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Cencora, Inc.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Health, Inc.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Caremark, LLC</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total of the above percentages exceeds 100% as the numerators used in the calculations represent gross product sales for each Customer, as opposed to product sales, net as presented in our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0"/>
        <w:gridCol w:w="646"/>
        <w:gridCol w:w="647"/>
        <w:gridCol w:w="430"/>
        <w:gridCol w:w="1259"/>
        <w:gridCol w:w="223"/>
        <w:gridCol w:w="109"/>
        <w:gridCol w:w="109"/>
        <w:gridCol w:w="109"/>
        <w:gridCol w:w="447"/>
        <w:gridCol w:w="1530"/>
        <w:gridCol w:w="231"/>
        <w:gridCol w:w="109"/>
        <w:gridCol w:w="109"/>
        <w:gridCol w:w="109"/>
        <w:gridCol w:w="397"/>
        <w:gridCol w:w="1357"/>
        <w:gridCol w:w="204"/>
        <w:gridCol w:w="109"/>
        <w:gridCol w:w="109"/>
        <w:gridCol w:w="109"/>
        <w:gridCol w:w="211"/>
        <w:gridCol w:w="721"/>
        <w:gridCol w:w="161"/>
      </w:tblGrid>
      <w:tr>
        <w:trPr/>
        <w:tc>
          <w:tcPr>
            <w:tcW w:w="7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Adjustments to prior period provisions recorded in the current period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COLLABORATION AND LICENSING AGREEMENTS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out-licensed to external partners for the development and commercialization of tenapanor outside of the U.S. We recognize revenue from our collaboration partnerships as licensing revenue, product supply revenue or non-cash royalty revenue related to the sale of future royalties. See </w:t>
      </w:r>
      <w:r>
        <w:rPr>
          <w:rFonts w:ascii="Times New Roman;serif" w:hAnsi="Times New Roman;serif"/>
          <w:b w:val="false"/>
          <w:i/>
          <w:color w:val="000000"/>
          <w:sz w:val="20"/>
        </w:rPr>
        <w:t>Note 7. Collaboration and Licensing Agreements</w:t>
      </w:r>
      <w:r>
        <w:rPr>
          <w:color w:val="000000"/>
        </w:rPr>
        <w:t xml:space="preserve"> </w:t>
      </w:r>
      <w:r>
        <w:rPr>
          <w:rFonts w:ascii="Times New Roman;serif" w:hAnsi="Times New Roman;serif"/>
          <w:b w:val="false"/>
          <w:color w:val="000000"/>
          <w:sz w:val="20"/>
        </w:rPr>
        <w:t xml:space="preserve">and “Collaboration and Licensing Revenue” caption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2025 Form 10-K for more information on the nature, purpose, significant rights and obligations of the parties, as well as our accounting policies for such revenue streams.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total revenues by collaboration partner:</w:t>
      </w:r>
    </w:p>
    <w:tbl>
      <w:tblPr>
        <w:tblW w:w="10205" w:type="dxa"/>
        <w:jc w:val="center"/>
        <w:tblInd w:w="0" w:type="dxa"/>
        <w:tblLayout w:type="fixed"/>
        <w:tblCellMar>
          <w:top w:w="28" w:type="dxa"/>
          <w:left w:w="28" w:type="dxa"/>
          <w:bottom w:w="28" w:type="dxa"/>
          <w:right w:w="28" w:type="dxa"/>
        </w:tblCellMar>
      </w:tblPr>
      <w:tblGrid>
        <w:gridCol w:w="1762"/>
        <w:gridCol w:w="1552"/>
        <w:gridCol w:w="1554"/>
        <w:gridCol w:w="248"/>
        <w:gridCol w:w="726"/>
        <w:gridCol w:w="128"/>
        <w:gridCol w:w="128"/>
        <w:gridCol w:w="128"/>
        <w:gridCol w:w="128"/>
        <w:gridCol w:w="248"/>
        <w:gridCol w:w="726"/>
        <w:gridCol w:w="128"/>
        <w:gridCol w:w="109"/>
        <w:gridCol w:w="109"/>
        <w:gridCol w:w="109"/>
        <w:gridCol w:w="226"/>
        <w:gridCol w:w="663"/>
        <w:gridCol w:w="117"/>
        <w:gridCol w:w="117"/>
        <w:gridCol w:w="117"/>
        <w:gridCol w:w="117"/>
        <w:gridCol w:w="226"/>
        <w:gridCol w:w="663"/>
        <w:gridCol w:w="176"/>
      </w:tblGrid>
      <w:tr>
        <w:trPr/>
        <w:tc>
          <w:tcPr>
            <w:tcW w:w="176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Knight </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licensing revenue</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Knight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supply revenue</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current deferred revenue balances by collaboration partner:</w:t>
      </w:r>
    </w:p>
    <w:tbl>
      <w:tblPr>
        <w:tblW w:w="10205" w:type="dxa"/>
        <w:jc w:val="center"/>
        <w:tblInd w:w="0" w:type="dxa"/>
        <w:tblLayout w:type="fixed"/>
        <w:tblCellMar>
          <w:top w:w="28" w:type="dxa"/>
          <w:left w:w="28" w:type="dxa"/>
          <w:bottom w:w="28" w:type="dxa"/>
          <w:right w:w="28" w:type="dxa"/>
        </w:tblCellMar>
      </w:tblPr>
      <w:tblGrid>
        <w:gridCol w:w="911"/>
        <w:gridCol w:w="768"/>
        <w:gridCol w:w="769"/>
        <w:gridCol w:w="263"/>
        <w:gridCol w:w="506"/>
        <w:gridCol w:w="135"/>
        <w:gridCol w:w="109"/>
        <w:gridCol w:w="109"/>
        <w:gridCol w:w="109"/>
        <w:gridCol w:w="245"/>
        <w:gridCol w:w="716"/>
        <w:gridCol w:w="126"/>
        <w:gridCol w:w="109"/>
        <w:gridCol w:w="109"/>
        <w:gridCol w:w="109"/>
        <w:gridCol w:w="211"/>
        <w:gridCol w:w="616"/>
        <w:gridCol w:w="109"/>
        <w:gridCol w:w="109"/>
        <w:gridCol w:w="109"/>
        <w:gridCol w:w="109"/>
        <w:gridCol w:w="223"/>
        <w:gridCol w:w="765"/>
        <w:gridCol w:w="115"/>
        <w:gridCol w:w="109"/>
        <w:gridCol w:w="109"/>
        <w:gridCol w:w="109"/>
        <w:gridCol w:w="290"/>
        <w:gridCol w:w="558"/>
        <w:gridCol w:w="150"/>
        <w:gridCol w:w="109"/>
        <w:gridCol w:w="109"/>
        <w:gridCol w:w="109"/>
        <w:gridCol w:w="211"/>
        <w:gridCol w:w="721"/>
        <w:gridCol w:w="162"/>
      </w:tblGrid>
      <w:tr>
        <w:trPr/>
        <w:tc>
          <w:tcPr>
            <w:tcW w:w="9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Current</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12 months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June 30,</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non-current deferred revenue balances by collaboration partner:</w:t>
      </w:r>
    </w:p>
    <w:tbl>
      <w:tblPr>
        <w:tblW w:w="10205" w:type="dxa"/>
        <w:jc w:val="center"/>
        <w:tblInd w:w="0" w:type="dxa"/>
        <w:tblLayout w:type="fixed"/>
        <w:tblCellMar>
          <w:top w:w="28" w:type="dxa"/>
          <w:left w:w="28" w:type="dxa"/>
          <w:bottom w:w="28" w:type="dxa"/>
          <w:right w:w="28" w:type="dxa"/>
        </w:tblCellMar>
      </w:tblPr>
      <w:tblGrid>
        <w:gridCol w:w="837"/>
        <w:gridCol w:w="735"/>
        <w:gridCol w:w="738"/>
        <w:gridCol w:w="221"/>
        <w:gridCol w:w="758"/>
        <w:gridCol w:w="114"/>
        <w:gridCol w:w="109"/>
        <w:gridCol w:w="109"/>
        <w:gridCol w:w="109"/>
        <w:gridCol w:w="281"/>
        <w:gridCol w:w="542"/>
        <w:gridCol w:w="146"/>
        <w:gridCol w:w="109"/>
        <w:gridCol w:w="109"/>
        <w:gridCol w:w="109"/>
        <w:gridCol w:w="211"/>
        <w:gridCol w:w="721"/>
        <w:gridCol w:w="109"/>
        <w:gridCol w:w="109"/>
        <w:gridCol w:w="109"/>
        <w:gridCol w:w="109"/>
        <w:gridCol w:w="221"/>
        <w:gridCol w:w="758"/>
        <w:gridCol w:w="114"/>
        <w:gridCol w:w="109"/>
        <w:gridCol w:w="109"/>
        <w:gridCol w:w="109"/>
        <w:gridCol w:w="281"/>
        <w:gridCol w:w="542"/>
        <w:gridCol w:w="146"/>
        <w:gridCol w:w="109"/>
        <w:gridCol w:w="109"/>
        <w:gridCol w:w="109"/>
        <w:gridCol w:w="211"/>
        <w:gridCol w:w="721"/>
        <w:gridCol w:w="16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Non-current</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12 months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June 30,</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developments and updates related to our collaboration partnerships in the six months ended June 30, 2026 and 2025 are discussed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Fosun Pharma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March 2026, Fosun Pharma reported the first commercial sales of tenapanor, marketed under the Chinese trade name Wan Ti Le, for patients with CKD on hemodialysis with hyperphosphatemia in China. Pursuant to the terms of the license and manufacturing services agreements with Fosun Pharma, we are eligible to receive reimbursement of cost plus a reasonable overhead for the supply of product and tiered royalties on net sales ranging from the mid-teens to 20%.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announced the NDA approval by China’s Center for Drug Evaluation of the NMPA for tenapanor in the control of serum phosphorus in adult patients with CKD on hemodialysis. This approval triggered a $5.0 million milestone to us, which was recorded as licensing revenue in our condensed statements of operations and comprehensive loss in the 2025 first quarter.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Knight - Former Collaboration Partner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as of March 13, 2026, we entered into a termination agreement with Knight, pursuant to which we and Knight agreed to mutually terminate our exclusive license agreement for the development, commercialization and distribution of tenapanor in Canada for hyperphosphatemia and IBS-C. The decision was not related to any concerns regarding the safety, efficacy or quality of the product. Sales of IBSRELA in Canada were discontinued effective March 31, 2026. The termination did not have a material effect on our operations or financial results, and we do not expect it to adversely impact our operations or financial results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AstraZeneca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AstraZeneca Termination Agreement, we recognized royalty expense as cost of sales in our condensed statements of operations and comprehensive loss of $3.8 million and $12.7 million in the three and six months ended June 30, 2025, respectively. As of the end of the 2025 second quarter, we had fully recognized the maximum $75.0 million royalty obligation, which had been fully remitted as of the end of the 2025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DEFERRED ROYALTY OBLIGATION RELATED TO THE SALE OF FUTURE ROYALTIES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and HCR have an agreement in which HCR paid $15.0 million in exchange for royalty and commercialization milestone payments that we may receive under our Kyowa Kirin Agreement. See </w:t>
      </w:r>
      <w:r>
        <w:rPr>
          <w:rFonts w:ascii="Times New Roman;serif" w:hAnsi="Times New Roman;serif"/>
          <w:b w:val="false"/>
          <w:i/>
          <w:color w:val="000000"/>
          <w:sz w:val="20"/>
        </w:rPr>
        <w:t>Note 8. Deferred Royalty Obligation Related to the Sale of Future Royalties</w:t>
      </w:r>
      <w:r>
        <w:rPr>
          <w:color w:val="000000"/>
        </w:rPr>
        <w:t xml:space="preserve"> </w:t>
      </w:r>
      <w:r>
        <w:rPr>
          <w:rFonts w:ascii="Times New Roman;serif" w:hAnsi="Times New Roman;serif"/>
          <w:b w:val="false"/>
          <w:color w:val="000000"/>
          <w:sz w:val="20"/>
        </w:rPr>
        <w:t>of our 2025 Form 10-K for further discussion on the nature, purpose, significant rights and obligations of the parties, as well as our accounting policies regarding the HCR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Payments received from HCR are recorded as a deferred royalty obligation on our condensed balance sheets, which is being amortized as non-cash interest expense over the life of the HCR Agreement using the effective interest method. The deferred royalty obligation will be effectively repaid over the life of the HCR Agreement as we remit to HCR royalties and commercialization milestones paid to us by Kyowa Kirin. We periodically assess the estimated amounts and timing of future royalties and commercialization milestone payments from Kyowa Kirin and, to the extent that the amount or timing of such payments is materially different than our original estimates, we prospectively adjust the imputed interest rate and the related amortization of the deferred royalty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financial information related to the HCR Agreement is as follows:</w:t>
      </w:r>
    </w:p>
    <w:tbl>
      <w:tblPr>
        <w:tblW w:w="10205" w:type="dxa"/>
        <w:jc w:val="center"/>
        <w:tblInd w:w="0" w:type="dxa"/>
        <w:tblLayout w:type="fixed"/>
        <w:tblCellMar>
          <w:top w:w="28" w:type="dxa"/>
          <w:left w:w="28" w:type="dxa"/>
          <w:bottom w:w="28" w:type="dxa"/>
          <w:right w:w="28" w:type="dxa"/>
        </w:tblCellMar>
      </w:tblPr>
      <w:tblGrid>
        <w:gridCol w:w="1764"/>
        <w:gridCol w:w="1552"/>
        <w:gridCol w:w="1556"/>
        <w:gridCol w:w="233"/>
        <w:gridCol w:w="761"/>
        <w:gridCol w:w="120"/>
        <w:gridCol w:w="120"/>
        <w:gridCol w:w="120"/>
        <w:gridCol w:w="120"/>
        <w:gridCol w:w="233"/>
        <w:gridCol w:w="761"/>
        <w:gridCol w:w="120"/>
        <w:gridCol w:w="109"/>
        <w:gridCol w:w="109"/>
        <w:gridCol w:w="109"/>
        <w:gridCol w:w="213"/>
        <w:gridCol w:w="695"/>
        <w:gridCol w:w="109"/>
        <w:gridCol w:w="109"/>
        <w:gridCol w:w="109"/>
        <w:gridCol w:w="109"/>
        <w:gridCol w:w="213"/>
        <w:gridCol w:w="695"/>
        <w:gridCol w:w="166"/>
      </w:tblGrid>
      <w:tr>
        <w:trPr/>
        <w:tc>
          <w:tcPr>
            <w:tcW w:w="176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tbl>
      <w:tblPr>
        <w:tblW w:w="8508" w:type="dxa"/>
        <w:jc w:val="center"/>
        <w:tblInd w:w="0" w:type="dxa"/>
        <w:tblLayout w:type="fixed"/>
        <w:tblCellMar>
          <w:top w:w="28" w:type="dxa"/>
          <w:left w:w="28" w:type="dxa"/>
          <w:bottom w:w="28" w:type="dxa"/>
          <w:right w:w="28" w:type="dxa"/>
        </w:tblCellMar>
      </w:tblPr>
      <w:tblGrid>
        <w:gridCol w:w="2075"/>
        <w:gridCol w:w="1823"/>
        <w:gridCol w:w="1832"/>
        <w:gridCol w:w="211"/>
        <w:gridCol w:w="721"/>
        <w:gridCol w:w="271"/>
        <w:gridCol w:w="109"/>
        <w:gridCol w:w="109"/>
        <w:gridCol w:w="109"/>
        <w:gridCol w:w="211"/>
        <w:gridCol w:w="721"/>
        <w:gridCol w:w="316"/>
      </w:tblGrid>
      <w:tr>
        <w:trPr/>
        <w:tc>
          <w:tcPr>
            <w:tcW w:w="207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commercialization milestone payments remitted to HCR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June 30,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 as of June 30,</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BORROWING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outstanding term loans under the Loan Agreement:</w:t>
      </w:r>
    </w:p>
    <w:p>
      <w:pPr>
        <w:pStyle w:val="TextBody"/>
        <w:bidi w:val="0"/>
        <w:spacing w:before="0" w:after="0"/>
        <w:jc w:val="both"/>
        <w:rPr/>
      </w:pPr>
      <w:r>
        <w:rPr/>
      </w:r>
    </w:p>
    <w:tbl>
      <w:tblPr>
        <w:tblW w:w="7444" w:type="dxa"/>
        <w:jc w:val="left"/>
        <w:tblInd w:w="0" w:type="dxa"/>
        <w:tblLayout w:type="fixed"/>
        <w:tblCellMar>
          <w:top w:w="28" w:type="dxa"/>
          <w:left w:w="28" w:type="dxa"/>
          <w:bottom w:w="28" w:type="dxa"/>
          <w:right w:w="28" w:type="dxa"/>
        </w:tblCellMar>
      </w:tblPr>
      <w:tblGrid>
        <w:gridCol w:w="1396"/>
        <w:gridCol w:w="1228"/>
        <w:gridCol w:w="1231"/>
        <w:gridCol w:w="234"/>
        <w:gridCol w:w="919"/>
        <w:gridCol w:w="121"/>
        <w:gridCol w:w="109"/>
        <w:gridCol w:w="109"/>
        <w:gridCol w:w="109"/>
        <w:gridCol w:w="317"/>
        <w:gridCol w:w="1244"/>
        <w:gridCol w:w="164"/>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w:t>
            </w:r>
            <w:r>
              <w:rPr>
                <w:rFonts w:ascii="Times New Roman;serif" w:hAnsi="Times New Roman;serif"/>
                <w:b w:val="false"/>
                <w:color w:val="000000"/>
                <w:sz w:val="13"/>
              </w:rPr>
              <w:t>(1)</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A Loan</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B Loan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 Loan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 Loan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E Loan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F Loan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H Loan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principal value</w:t>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Accreted value of final fee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The outstanding term loans bear an interest rate at the sum of 4.55% plus the greater of (a) the one-month SOFR or (b) 3.50%, and mature on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28, 2026, we entered into an amendment to our Loan Agreement (the Sixth Amendment), by and among us, as borrower, SLR, as collateral agent and the lenders party thereto. Pursuant to the Sixth Amendment, among other things, (i) a portion of $200.0 million in outstanding principal previously allocated among the Term A through C Loans (collectively, the Revised Loans) was refinanced with a new Term H Loan; (ii) the maturity date for the Revised Loans, the Term D Loan and the Term E Loan was extended from July 1, 2028 to July 1, 2030 (the New Maturity Date), which is the maturity date for each other term loan; (iii) the interest-only payment period for the Revised Loans, the Term D Loan and the Term E Loan was extended until the New Maturity Date, which is the interest-only payment period for each other term loan; (iv) the interest rate for each term loan will have a collectively reduced interest rate, at the sum of 4.55% plus the greater of (a) the one-month SOFR reference rate or (b) 3.50%; (v) we retained the option to draw the Term F and Term G Loans, each in the amount of $50.0 million, at our election by June 30, 2026 and December 20, 2026, respectively; and (vi) we amended certain negative covenants and other conditions to provide additional flexibility to us. We concluded that the Sixth Amendment was a modification to the Loan Agreement and we accounted for it accordingly.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the closing date of the Sixth Amendment, we paid approximately $1.9 million in final fees and prepayment premium in connection with the partial repayment of the Term A through C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obligated to pay a final fee with respect to each of the outstanding amounts under each of the term loans, upon the earliest to occur of (i) the New Maturity Date, (ii) the acceleration of the applicable term loan or (iii) the prepayment, refinancing, substitution or replacement of the applicable term loan. This final fee is 4.95% for the Term A through E Loans, 3.45% for the Term F and Term G Loans and 2.50% for the Term H Loan. The total unaccreted final fee was $6.0 million and $5.9 million as of June 30, 2026 and December 31,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voluntarily prepay all amounts outstanding under the Revised Loans, the Term D Loan, the Term E Loan and the Term H Loan, subject to a prepayment premium of (i) three percent of the outstanding principal amount of the applicable term loan if prepaid on or after April 28, 2026 through and including April 28, 2027, (ii) two percent of the outstanding principal amount of the applicable term loan if prepaid on or after April 29, 2027 through and including April 28, 2028 or (iii) one percent of the outstanding principal amount of the applicable term loan if prepaid after April 28, 2028 and prior to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voluntarily prepay all amounts outstanding under the Term F and Term G Loans, subject to a prepayment premium of (i) two percent of the outstanding principal amount of the applicable term loan if prepaid on or after July 1, 2026 through and including June 30, 2027 or (ii) one percent of the outstanding principal amount of the applicable term loan if prepaid after June 30, 2027 and prior to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Agreement contains certain covenants, including a single financial covenant that the sum of our net product revenue, calculated on a trailing six-month basis, plus unrestricted cash and cash equivalents that are subject to a first-priority perfected lien in favor of SLR, shall be greater than or equal to 100% of the principal amount outstanding under the Loan Agreement. The outstanding term loans are secured by substantially all of our assets, except for our intellectual property and certain other customary exclusions. In addition, the Loan Agreement contains subjective clauses to accelerate the maturity of outstanding principal amount in the event that a material adverse change has occurred within our business, operations or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29, 2026, we received $50.0 million of funding as a result of our draw down of the Term F Loan. We elected to draw down the Term F Loan for general corporate purposes and to enhance flexibility to support our ongoing strategic initiatives, in line with our capital allocation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our total future payment obligation related to the outstanding term loans, excluding interest payments, was $260.8 million, which is due on July 1, 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of our facility leases presented in our condensed balance sheets:</w:t>
      </w:r>
    </w:p>
    <w:tbl>
      <w:tblPr>
        <w:tblW w:w="7271" w:type="dxa"/>
        <w:jc w:val="center"/>
        <w:tblInd w:w="0" w:type="dxa"/>
        <w:tblLayout w:type="fixed"/>
        <w:tblCellMar>
          <w:top w:w="28" w:type="dxa"/>
          <w:left w:w="28" w:type="dxa"/>
          <w:bottom w:w="28" w:type="dxa"/>
          <w:right w:w="28" w:type="dxa"/>
        </w:tblCellMar>
      </w:tblPr>
      <w:tblGrid>
        <w:gridCol w:w="1412"/>
        <w:gridCol w:w="1242"/>
        <w:gridCol w:w="1246"/>
        <w:gridCol w:w="455"/>
        <w:gridCol w:w="235"/>
        <w:gridCol w:w="585"/>
        <w:gridCol w:w="109"/>
        <w:gridCol w:w="109"/>
        <w:gridCol w:w="109"/>
        <w:gridCol w:w="586"/>
        <w:gridCol w:w="302"/>
        <w:gridCol w:w="881"/>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Facilities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(in years)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lease costs, which are included in our condensed statements of operations and comprehensive loss, and the supplemental cash flow information related to the leases:</w:t>
      </w:r>
    </w:p>
    <w:tbl>
      <w:tblPr>
        <w:tblW w:w="7921" w:type="dxa"/>
        <w:jc w:val="center"/>
        <w:tblInd w:w="0" w:type="dxa"/>
        <w:tblLayout w:type="fixed"/>
        <w:tblCellMar>
          <w:top w:w="28" w:type="dxa"/>
          <w:left w:w="28" w:type="dxa"/>
          <w:bottom w:w="28" w:type="dxa"/>
          <w:right w:w="28" w:type="dxa"/>
        </w:tblCellMar>
      </w:tblPr>
      <w:tblGrid>
        <w:gridCol w:w="923"/>
        <w:gridCol w:w="812"/>
        <w:gridCol w:w="814"/>
        <w:gridCol w:w="291"/>
        <w:gridCol w:w="644"/>
        <w:gridCol w:w="150"/>
        <w:gridCol w:w="150"/>
        <w:gridCol w:w="150"/>
        <w:gridCol w:w="150"/>
        <w:gridCol w:w="291"/>
        <w:gridCol w:w="644"/>
        <w:gridCol w:w="150"/>
        <w:gridCol w:w="109"/>
        <w:gridCol w:w="109"/>
        <w:gridCol w:w="109"/>
        <w:gridCol w:w="244"/>
        <w:gridCol w:w="540"/>
        <w:gridCol w:w="126"/>
        <w:gridCol w:w="126"/>
        <w:gridCol w:w="126"/>
        <w:gridCol w:w="126"/>
        <w:gridCol w:w="244"/>
        <w:gridCol w:w="715"/>
        <w:gridCol w:w="17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undiscounted cash payment obligations for our operating lease liabilities as of June 30, 2026:</w:t>
      </w:r>
    </w:p>
    <w:tbl>
      <w:tblPr>
        <w:tblW w:w="5669" w:type="dxa"/>
        <w:jc w:val="center"/>
        <w:tblInd w:w="0" w:type="dxa"/>
        <w:tblLayout w:type="fixed"/>
        <w:tblCellMar>
          <w:top w:w="28" w:type="dxa"/>
          <w:left w:w="28" w:type="dxa"/>
          <w:bottom w:w="28" w:type="dxa"/>
          <w:right w:w="28" w:type="dxa"/>
        </w:tblCellMar>
      </w:tblPr>
      <w:tblGrid>
        <w:gridCol w:w="1461"/>
        <w:gridCol w:w="1286"/>
        <w:gridCol w:w="1288"/>
        <w:gridCol w:w="350"/>
        <w:gridCol w:w="1027"/>
        <w:gridCol w:w="257"/>
      </w:tblGrid>
      <w:tr>
        <w:trPr/>
        <w:tc>
          <w:tcPr>
            <w:tcW w:w="14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 expenses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liability</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STOCKHOLDERS’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the 2025 Open Market Sales Agreement, deemed to be “at-the-market offerings.” Pursuant to the 2025 Open Market Sales Agreement, Jefferies, as sales agent, may receive a commission of up to three percent of the gross sales price for shares of our common stock sold under the 2025 Open Market Sales Agreement. As of June 30, 2026, there have been no sales of our common stock under the 2025 Open Market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EQUITY INCENTIVE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RSUs and our ESPP included in our condensed statements of operations and comprehensive loss was as follows:</w:t>
      </w:r>
    </w:p>
    <w:tbl>
      <w:tblPr>
        <w:tblW w:w="8356" w:type="dxa"/>
        <w:jc w:val="center"/>
        <w:tblInd w:w="0" w:type="dxa"/>
        <w:tblLayout w:type="fixed"/>
        <w:tblCellMar>
          <w:top w:w="28" w:type="dxa"/>
          <w:left w:w="28" w:type="dxa"/>
          <w:bottom w:w="28" w:type="dxa"/>
          <w:right w:w="28" w:type="dxa"/>
        </w:tblCellMar>
      </w:tblPr>
      <w:tblGrid>
        <w:gridCol w:w="1069"/>
        <w:gridCol w:w="941"/>
        <w:gridCol w:w="94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total unrecognized stock-based compensation expense, net of estimated forfeitures, as of June 30, 2026 is as follows:</w:t>
      </w:r>
    </w:p>
    <w:tbl>
      <w:tblPr>
        <w:tblW w:w="8455" w:type="dxa"/>
        <w:jc w:val="center"/>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916"/>
        <w:gridCol w:w="916"/>
        <w:gridCol w:w="1302"/>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Unrecognized Compensation Expense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Remaining Vesting Period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grants</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 activity and related information for the six months ended June 30, 2026 is as follows:</w:t>
      </w:r>
    </w:p>
    <w:tbl>
      <w:tblPr>
        <w:tblW w:w="8564" w:type="dxa"/>
        <w:jc w:val="center"/>
        <w:tblInd w:w="0" w:type="dxa"/>
        <w:tblLayout w:type="fixed"/>
        <w:tblCellMar>
          <w:top w:w="28" w:type="dxa"/>
          <w:left w:w="28" w:type="dxa"/>
          <w:bottom w:w="28" w:type="dxa"/>
          <w:right w:w="28" w:type="dxa"/>
        </w:tblCellMar>
      </w:tblPr>
      <w:tblGrid>
        <w:gridCol w:w="1147"/>
        <w:gridCol w:w="1006"/>
        <w:gridCol w:w="1012"/>
        <w:gridCol w:w="540"/>
        <w:gridCol w:w="540"/>
        <w:gridCol w:w="541"/>
        <w:gridCol w:w="109"/>
        <w:gridCol w:w="109"/>
        <w:gridCol w:w="109"/>
        <w:gridCol w:w="753"/>
        <w:gridCol w:w="1825"/>
        <w:gridCol w:w="392"/>
        <w:gridCol w:w="109"/>
        <w:gridCol w:w="109"/>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cancelled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29,275 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18,078 </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RSU activity and related information for the six months ended June 30, 2026 is as follows:</w:t>
      </w:r>
    </w:p>
    <w:tbl>
      <w:tblPr>
        <w:tblW w:w="8440" w:type="dxa"/>
        <w:jc w:val="center"/>
        <w:tblInd w:w="0" w:type="dxa"/>
        <w:tblLayout w:type="fixed"/>
        <w:tblCellMar>
          <w:top w:w="28" w:type="dxa"/>
          <w:left w:w="28" w:type="dxa"/>
          <w:bottom w:w="28" w:type="dxa"/>
          <w:right w:w="28" w:type="dxa"/>
        </w:tblCellMar>
      </w:tblPr>
      <w:tblGrid>
        <w:gridCol w:w="1059"/>
        <w:gridCol w:w="930"/>
        <w:gridCol w:w="936"/>
        <w:gridCol w:w="499"/>
        <w:gridCol w:w="499"/>
        <w:gridCol w:w="501"/>
        <w:gridCol w:w="109"/>
        <w:gridCol w:w="109"/>
        <w:gridCol w:w="109"/>
        <w:gridCol w:w="888"/>
        <w:gridCol w:w="2151"/>
        <w:gridCol w:w="650"/>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15,319 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issued approximately 0.1 million shares of our common stock under the ESPP. The shares were purchased by employees at an average purchase price of $5.44 per share, resulting in proceeds to us of approximately $0.7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Issuance of Common Stock for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issued approximately 33 thousand shares of our common stock to members of the board of directors who elected to receive stock in lieu of their cash fees under our Non-Employee Director Compensation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SEGMENT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a single reportable segment. The Chief Executive Officer is our Chief Operating Decision Maker, who primarily uses aggregated net loss as reported on the condensed statements of operations and comprehensive loss to measure segment loss, supplemented by certain additional significant expense details reflected in the table below. There have been no changes in the determination of segmentation or the measurements used to determine reported segment loss discussed in our 2025 Form 10-K. See </w:t>
      </w:r>
      <w:r>
        <w:rPr>
          <w:rFonts w:ascii="Times New Roman;serif" w:hAnsi="Times New Roman;serif"/>
          <w:b w:val="false"/>
          <w:i/>
          <w:color w:val="000000"/>
          <w:sz w:val="20"/>
        </w:rPr>
        <w:t>Note 17. Segment Reporting</w:t>
      </w:r>
      <w:r>
        <w:rPr>
          <w:color w:val="000000"/>
        </w:rPr>
        <w:t xml:space="preserve"> </w:t>
      </w:r>
      <w:r>
        <w:rPr>
          <w:rFonts w:ascii="Times New Roman;serif" w:hAnsi="Times New Roman;serif"/>
          <w:b w:val="false"/>
          <w:color w:val="000000"/>
          <w:sz w:val="20"/>
        </w:rPr>
        <w:t>of our 2025 Form 10-K for more discussion on our segment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Detailed information regarding our single operating segment’s significant revenues, expenses and operating loss is as follows:</w:t>
      </w:r>
    </w:p>
    <w:tbl>
      <w:tblPr>
        <w:tblW w:w="8087" w:type="dxa"/>
        <w:jc w:val="center"/>
        <w:tblInd w:w="0" w:type="dxa"/>
        <w:tblLayout w:type="fixed"/>
        <w:tblCellMar>
          <w:top w:w="28" w:type="dxa"/>
          <w:left w:w="28" w:type="dxa"/>
          <w:bottom w:w="28" w:type="dxa"/>
          <w:right w:w="28" w:type="dxa"/>
        </w:tblCellMar>
      </w:tblPr>
      <w:tblGrid>
        <w:gridCol w:w="896"/>
        <w:gridCol w:w="788"/>
        <w:gridCol w:w="790"/>
        <w:gridCol w:w="214"/>
        <w:gridCol w:w="837"/>
        <w:gridCol w:w="110"/>
        <w:gridCol w:w="110"/>
        <w:gridCol w:w="110"/>
        <w:gridCol w:w="110"/>
        <w:gridCol w:w="214"/>
        <w:gridCol w:w="807"/>
        <w:gridCol w:w="110"/>
        <w:gridCol w:w="109"/>
        <w:gridCol w:w="109"/>
        <w:gridCol w:w="109"/>
        <w:gridCol w:w="211"/>
        <w:gridCol w:w="826"/>
        <w:gridCol w:w="109"/>
        <w:gridCol w:w="109"/>
        <w:gridCol w:w="109"/>
        <w:gridCol w:w="109"/>
        <w:gridCol w:w="211"/>
        <w:gridCol w:w="82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 sales</w:t>
            </w:r>
            <w:r>
              <w:rPr>
                <w:rFonts w:ascii="Times New Roman;serif" w:hAnsi="Times New Roman;serif"/>
                <w:b w:val="false"/>
                <w:color w:val="000000"/>
                <w:sz w:val="13"/>
              </w:rPr>
              <w:t>(2)</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 of revenue</w:t>
            </w:r>
            <w:r>
              <w:rPr>
                <w:rFonts w:ascii="Times New Roman;serif" w:hAnsi="Times New Roman;serif"/>
                <w:b w:val="false"/>
                <w:color w:val="000000"/>
                <w:sz w:val="13"/>
              </w:rPr>
              <w:t>(3)</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(4)</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w:t>
            </w:r>
            <w:r>
              <w:rPr>
                <w:rFonts w:ascii="Times New Roman;serif" w:hAnsi="Times New Roman;serif"/>
                <w:b w:val="false"/>
                <w:color w:val="000000"/>
                <w:sz w:val="13"/>
              </w:rPr>
              <w:t>(4)</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(4)</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reconciliation items</w:t>
            </w:r>
            <w:r>
              <w:rPr>
                <w:rFonts w:ascii="Times New Roman;serif" w:hAnsi="Times New Roman;serif"/>
                <w:b w:val="false"/>
                <w:color w:val="000000"/>
                <w:sz w:val="13"/>
              </w:rPr>
              <w:t>(5)</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i/>
          <w:color w:val="000000"/>
          <w:sz w:val="16"/>
        </w:rPr>
        <w:t>Other revenues</w:t>
      </w:r>
      <w:r>
        <w:rPr>
          <w:color w:val="000000"/>
        </w:rPr>
        <w:t xml:space="preserve"> </w:t>
      </w:r>
      <w:r>
        <w:rPr>
          <w:rFonts w:ascii="Times New Roman;serif" w:hAnsi="Times New Roman;serif"/>
          <w:b w:val="false"/>
          <w:color w:val="000000"/>
          <w:sz w:val="16"/>
        </w:rPr>
        <w:t>includes revenues from our collaboration partnerships, including licensing revenue, product supply revenue and non-cash royalty revenue related to the sale of future royalties.</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i/>
          <w:color w:val="000000"/>
          <w:sz w:val="16"/>
        </w:rPr>
        <w:t>Cost of product sales</w:t>
      </w:r>
      <w:r>
        <w:rPr>
          <w:color w:val="000000"/>
        </w:rPr>
        <w:t xml:space="preserve"> </w:t>
      </w:r>
      <w:r>
        <w:rPr>
          <w:rFonts w:ascii="Times New Roman;serif" w:hAnsi="Times New Roman;serif"/>
          <w:b w:val="false"/>
          <w:color w:val="000000"/>
          <w:sz w:val="16"/>
        </w:rPr>
        <w:t>includes the cost of commercial goods sold to our Customers, such as the cost of materials, third-party contract manufacturing, third-party packaging services, freight, labor costs for personnel involved in the manufacturing process and indirect overhead costs.</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i/>
          <w:color w:val="000000"/>
          <w:sz w:val="16"/>
        </w:rPr>
        <w:t xml:space="preserve">Other cost of revenue </w:t>
      </w:r>
      <w:r>
        <w:rPr>
          <w:rFonts w:ascii="Times New Roman;serif" w:hAnsi="Times New Roman;serif"/>
          <w:b w:val="false"/>
          <w:color w:val="000000"/>
          <w:sz w:val="16"/>
        </w:rPr>
        <w:t>includes the cost of materials sold to our collaboration partners under product supply agreements, certain costs related to capacity expansion at current and future CMOs and payments due to AstraZeneca. As of the end of the 2025 second quarter, the maximum $75.0 million royalty obligation under the AstraZeneca Termination Agreement had been fully recognized.</w:t>
      </w:r>
    </w:p>
    <w:p>
      <w:pPr>
        <w:pStyle w:val="TextBody"/>
        <w:bidi w:val="0"/>
        <w:spacing w:lineRule="auto" w:line="288" w:before="0" w:after="0"/>
        <w:ind w:left="0" w:right="0" w:hanging="360"/>
        <w:jc w:val="left"/>
        <w:rPr/>
      </w:pPr>
      <w:r>
        <w:rPr>
          <w:rFonts w:ascii="Times New Roman;serif" w:hAnsi="Times New Roman;serif"/>
          <w:b w:val="false"/>
          <w:color w:val="000000"/>
          <w:sz w:val="10"/>
        </w:rPr>
        <w:t>(4)</w:t>
      </w:r>
      <w:r>
        <w:rPr>
          <w:rFonts w:ascii="Times New Roman;serif" w:hAnsi="Times New Roman;serif"/>
          <w:b w:val="false"/>
          <w:i/>
          <w:color w:val="000000"/>
          <w:sz w:val="16"/>
        </w:rPr>
        <w:t xml:space="preserve">Research and development, selling </w:t>
      </w:r>
      <w:r>
        <w:rPr>
          <w:rFonts w:ascii="Times New Roman;serif" w:hAnsi="Times New Roman;serif"/>
          <w:b w:val="false"/>
          <w:color w:val="000000"/>
          <w:sz w:val="16"/>
        </w:rPr>
        <w:t xml:space="preserve">and </w:t>
      </w:r>
      <w:r>
        <w:rPr>
          <w:rFonts w:ascii="Times New Roman;serif" w:hAnsi="Times New Roman;serif"/>
          <w:b w:val="false"/>
          <w:i/>
          <w:color w:val="000000"/>
          <w:sz w:val="16"/>
        </w:rPr>
        <w:t xml:space="preserve">general and administrative </w:t>
      </w:r>
      <w:r>
        <w:rPr>
          <w:rFonts w:ascii="Times New Roman;serif" w:hAnsi="Times New Roman;serif"/>
          <w:b w:val="false"/>
          <w:color w:val="000000"/>
          <w:sz w:val="16"/>
        </w:rPr>
        <w:t>expenses herein do not include stock-based compensation expenses.</w:t>
      </w:r>
    </w:p>
    <w:p>
      <w:pPr>
        <w:pStyle w:val="TextBody"/>
        <w:bidi w:val="0"/>
        <w:spacing w:lineRule="auto" w:line="288" w:before="0" w:after="180"/>
        <w:ind w:left="0" w:right="0" w:hanging="360"/>
        <w:jc w:val="left"/>
        <w:rPr/>
      </w:pPr>
      <w:r>
        <w:rPr>
          <w:rFonts w:ascii="Times New Roman;serif" w:hAnsi="Times New Roman;serif"/>
          <w:b w:val="false"/>
          <w:color w:val="000000"/>
          <w:sz w:val="10"/>
        </w:rPr>
        <w:t>(5)</w:t>
      </w:r>
      <w:r>
        <w:rPr>
          <w:rFonts w:ascii="Times New Roman;serif" w:hAnsi="Times New Roman;serif"/>
          <w:b w:val="false"/>
          <w:i/>
          <w:color w:val="000000"/>
          <w:sz w:val="16"/>
        </w:rPr>
        <w:t>Other reconciliation items</w:t>
      </w:r>
      <w:r>
        <w:rPr>
          <w:color w:val="000000"/>
        </w:rPr>
        <w:t xml:space="preserve"> </w:t>
      </w:r>
      <w:r>
        <w:rPr>
          <w:rFonts w:ascii="Times New Roman;serif" w:hAnsi="Times New Roman;serif"/>
          <w:b w:val="false"/>
          <w:color w:val="000000"/>
          <w:sz w:val="16"/>
        </w:rPr>
        <w:t>includes interest expense, non-cash interest expense related to the sale of future royalties, provision for income taxes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NET LOSS PER SHARE</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shares outstanding during the period and excludes any dilutive effect of stock-based awards. Diluted net loss per common share is computed giving effect to all potential dilutive common shares, including common stock issuable upon exercise of stock options, unvested restricted stock units and ESPP shares issuable pursuant to the current purchase period. As we had net losses for the six months ended June 30, 2026 and 2025, all potential common shares were determined to be anti-dilutive during those periods.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net loss per common share:</w:t>
      </w:r>
    </w:p>
    <w:tbl>
      <w:tblPr>
        <w:tblW w:w="10205" w:type="dxa"/>
        <w:jc w:val="center"/>
        <w:tblInd w:w="0" w:type="dxa"/>
        <w:tblLayout w:type="fixed"/>
        <w:tblCellMar>
          <w:top w:w="28" w:type="dxa"/>
          <w:left w:w="28" w:type="dxa"/>
          <w:bottom w:w="28" w:type="dxa"/>
          <w:right w:w="28" w:type="dxa"/>
        </w:tblCellMar>
      </w:tblPr>
      <w:tblGrid>
        <w:gridCol w:w="1730"/>
        <w:gridCol w:w="1484"/>
        <w:gridCol w:w="1493"/>
        <w:gridCol w:w="215"/>
        <w:gridCol w:w="801"/>
        <w:gridCol w:w="110"/>
        <w:gridCol w:w="110"/>
        <w:gridCol w:w="110"/>
        <w:gridCol w:w="110"/>
        <w:gridCol w:w="215"/>
        <w:gridCol w:w="801"/>
        <w:gridCol w:w="110"/>
        <w:gridCol w:w="109"/>
        <w:gridCol w:w="109"/>
        <w:gridCol w:w="109"/>
        <w:gridCol w:w="211"/>
        <w:gridCol w:w="785"/>
        <w:gridCol w:w="109"/>
        <w:gridCol w:w="109"/>
        <w:gridCol w:w="109"/>
        <w:gridCol w:w="109"/>
        <w:gridCol w:w="211"/>
        <w:gridCol w:w="785"/>
        <w:gridCol w:w="161"/>
      </w:tblGrid>
      <w:tr>
        <w:trPr/>
        <w:tc>
          <w:tcPr>
            <w:tcW w:w="173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Numerator</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Denominator</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numbers of securities that could potentially dilute net income per share in the future that were not considered in the diluted net loss per share calculations because the effect would have been anti-dilutive were as follows:</w:t>
      </w:r>
    </w:p>
    <w:tbl>
      <w:tblPr>
        <w:tblW w:w="8343" w:type="dxa"/>
        <w:jc w:val="center"/>
        <w:tblInd w:w="0" w:type="dxa"/>
        <w:tblLayout w:type="fixed"/>
        <w:tblCellMar>
          <w:top w:w="28" w:type="dxa"/>
          <w:left w:w="28" w:type="dxa"/>
          <w:bottom w:w="28" w:type="dxa"/>
          <w:right w:w="28" w:type="dxa"/>
        </w:tblCellMar>
      </w:tblPr>
      <w:tblGrid>
        <w:gridCol w:w="1075"/>
        <w:gridCol w:w="946"/>
        <w:gridCol w:w="948"/>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29,725</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ESPP shares issuable</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45,620</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45,470</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7, 2021 and March 29, 2022, two verified shareholder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(together, the Go and Morris actions). The complaints alleged that the defendants’ violations of Section 14(a) of the Exchange Act, breaches of fiduciary duties, unjust enrichment, abuse of control, gross mismanagement, and waste of corporate assets led to personally making and/or caused Ardelyx to make materially false and misleading statements regarding the Company’s business, operations and prospects. The complaint seeks contribution under Sections 10(b) and 21D of the Exchange Act from two executive officers. On January 19, 2022 and April 27, 2022, the court granted the parties’ stipulation to stay the Go and Morris actions, respectively, until resolution of the motion(s) to dismiss in the lawsuits captioned Strezsak v. Ardelyx, Inc., et al., Case No. 4:21-cv-05868-HSG and Siegel v. Ardelyx, Inc., et al., Case No. 5:21-cv-06228-HSG (together, the Securities Class Actions). On October 25, 2022, the parties filed a stipulation to consolidate and stay the Go and Morris actions, and on October 27, 2022, the court consolidated the Go and Morris actions and stayed the consolidated action pending resolution of the anticipated motion(s) to dismiss in the Securities Class Action. The Securities Class Actions were voluntarily dismissed on March 5, 2025. The court dismissed the Go and Morris actions on April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17, 2024, in partnership with the AAKP and the NMQF, we filed a lawsuit in the U.S. District Court for the District of Columbia against CMS, claiming that CMS has violated its statutory and regulatory authority under MIPPA, which established the ESRD PPS bundled payment system for dialysis services in 2008. Specifically, the lawsuit claims that moving XPHOZAH, along with all oral-only drugs, into the ESRD PPS is inconsistent with MIPPA’s statutory provision, and contradicts CMS’s own regulations. XPHOZAH and other oral-only drugs are not administered by dialysis providers and cannot be taken during the delivery of maintenance dialysis.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an initial brief in the appeal on February 4, 2025; Appellees filed an initial brief on March 6, 2025; and Appellants filed a reply brief on March 27, 2025. Both Appellees and Appellants filed a final brief on April 10, 2025. Oral argument in the case was heard on September 25, 2025. On June 26, 2026, the United States Court of Appeals affirmed the District Court’s dismissal. We are not pursuing further litigation on this matter.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16, 2024, a complaint was filed against us in the U.S. District Court of Massachusetts, captioned Yarborough v. Ardelyx, Inc., et al., No. 24-cv-12119 (D. Mass.). The complaint names the Company, Michael Raab, and Justin Renz as defendants and alleges violations of Sections 10(b) and 20(a) of the Exchange Act and Rule 10b-5 promulgated thereunder, related to our announcement on July 2, 2024 that it had chosen not to file an application for Transitional Drug Add-on Payment Adjustment for XPHOZAH (the Yarborough Action). The plaintiffs seek damages and interest, and an award of costs, including attorneys’ fees. The Court appointed Tate Wood as lead plaintiff on October 30, 2024. The lead plaintiff filed an amended complaint on January 13, 2025, in which he added Susan Rodriguez, Laura Williams and Elizabeth Grammer as additional defendants and removed Justin Renz as a defendant. The lead plaintiff purports to bring claims on behalf of all those who acquired Ardelyx common stock between February 22, 2024 and July 1, 2024. Defendants filed a motion to dismiss the amended complaint on March 14, 2025. Plaintiffs filed a response on May 13, 2025. Defendants filed a reply in support of their motion to dismiss on June 23, 2025. A hearing on the motion to dismiss was held on September 25, 2025, and on December 24, 2025, the Court granted defendants’ motion to dismiss and issued an order dismissing the case with prejudice. On January 21, 2026, Plaintiffs appealed the District Court’s decisions to the United States Court of Appeals for the First Circuit. On March 26, 2026, the Court granted the Parties’ stipulated voluntary dismissal of Plaintiffs’ appeal.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6 and 13, 2024, certain Ardelyx shareholders filed two verified derivative complaints purportedly on behalf of the Company in the United States District Court for the District of Massachusetts alleging violations of Sections 10(b)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On April 9, 2026, the Court dismissed the consolidated derivative action pursuant to the parties’ stipulation of dismissal.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business. As of June 30, 2026, there is no litigation pending that would reasonably be expected to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2025 Form 10-K.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an NHE3 inhibitor that was discovered and developed by Ardelyx. NHE3 is an antiporter expressed on the apical surface of the small and large intestines. Tenapanor is a minimally absorbed, small molecule therapy. In addition, we are building a pipeline which is currently focused on expanding the commercial footprint of tenapanor.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our mission of developing and commercializing innovative medicines that address unmet patient needs. Our principal strategy is to continue our commercial momentum with our current products while advancing and expanding a portfolio of important medicines for patients with unmet medical needs.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priorities include (i) driving significant IBSRELA growth, (ii) maintaining XPHOZAH commercial momentum, (iii) further advancing our pipeline and portfolio and (iv) maintaining a solid financial foundation to support our future growth.</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IBS-C. We believe that IBSRELA can bring meaningful benefit to the approximately 13 million Americans who suffer from the symptoms of IBS-C, many of whom continue to experience symptoms despite intervention with other therapies. We are seeking to further expand the IBSRELA eligible patient population to include patients with CIC, and have initiated a Phase 3 clinical trial (ACCEL) evaluating tenapanor in adults with CIC. In January 2026, we dosed the first patient in ACCEL and have initiated all pre-identified sites. We expect to complete enrollment by the end of 2026 and to announce topline data in the second half of 2027. IBSRELA is also being evaluated in multiple pediatric clinical trials which could expand its use and potentially provide six months of additional patent life for tenapanor.</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CKD on dialysis as add-on therapy in patients who have an inadequate response to phosphate binders or who are intolerant of any dose of phosphate binder therapy. We believe XPHOZAH can bring meaningful relief to adult CKD patients on dialysis, the vast majority of whom have elevated levels of serum phosphorus and are unable to achieve target serum phosphorus levels with phosphate binders alone. Continually elevated levels of serum phosphorus can result in severe cardiovascular health complications.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developing a next-generation NHE3 inhibitor, RDX10531, which has demonstrated in preclinical models to have improved solubility and potency compared to tenapanor. RDX10531 is currently being tested in IND-enabling studies. If successful, RDX10531 has potential for broad applications across multiple therapeutic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April 28, 2026, we entered into the Sixth Amendment to our Loan Agreement with SLR as collateral agent and the lenders party thereto, resulting in better overall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26, 2026, the U.S. Court of Appeals for the District of Columbia Circuit affirmed the District Court’s dismissal of our lawsuit against CMS related to CMS reimbursement classification of XPHOZAH. We are not pursuing further litigation on this matter.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29, 2026, we received $50.0 million of funding as a result of our draw down of the Term F Loan. We elected to draw down the Term F Loan for general corporate purposes and to enhance flexibility to support our ongoing strategic initiatives, in line with our capital allocation strategy.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results to be expected for the entire year ending December 31, 2026, or for any other interim period or future year. See Part II, Item 7, “Management’s Discussion and Analysis of Financial Condition and Results of Operations,” of our 2025 Form 10-K to enhance the understanding of our financial metrics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total revenues:</w:t>
      </w:r>
    </w:p>
    <w:tbl>
      <w:tblPr>
        <w:tblW w:w="11240" w:type="dxa"/>
        <w:jc w:val="center"/>
        <w:tblInd w:w="0" w:type="dxa"/>
        <w:tblLayout w:type="fixed"/>
        <w:tblCellMar>
          <w:top w:w="28" w:type="dxa"/>
          <w:left w:w="28" w:type="dxa"/>
          <w:bottom w:w="28" w:type="dxa"/>
          <w:right w:w="28" w:type="dxa"/>
        </w:tblCellMar>
      </w:tblPr>
      <w:tblGrid>
        <w:gridCol w:w="348"/>
        <w:gridCol w:w="306"/>
        <w:gridCol w:w="30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1"/>
        <w:gridCol w:w="235"/>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31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product sales, net by product:</w:t>
      </w:r>
    </w:p>
    <w:tbl>
      <w:tblPr>
        <w:tblW w:w="11180" w:type="dxa"/>
        <w:jc w:val="center"/>
        <w:tblInd w:w="0" w:type="dxa"/>
        <w:tblLayout w:type="fixed"/>
        <w:tblCellMar>
          <w:top w:w="28" w:type="dxa"/>
          <w:left w:w="28" w:type="dxa"/>
          <w:bottom w:w="28" w:type="dxa"/>
          <w:right w:w="28" w:type="dxa"/>
        </w:tblCellMar>
      </w:tblPr>
      <w:tblGrid>
        <w:gridCol w:w="408"/>
        <w:gridCol w:w="306"/>
        <w:gridCol w:w="30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IBSRELA product sales, net in the three and six months ended June 30, 2026 primarily reflected higher demand, driven by continued increase in awareness and prescriber experience, and to a lesser extent, higher net price.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XPHOZAH product sales, net in the three and six months ended June 30, 2026 primarily reflected higher demand and net price. XPHOZAH product sales, net in the six months ended June 30, 2025 included a $3.8 million favorable adjustment driven by a change in previously estimated product returns.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supply revenue is primarily impacted by the timing of product supply shipments to our collaboration partners under our product supply agreements in support of the development and commercialization of our products ex-U.S. by our collaboration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product supply revenue was primarily attributable to Fosun Pharma in the three and six months ended June 30, 2026. In the three and six months ended June 30, 2025, the product supply revenue was primarily attributable to Kyowa Kirin.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Licensing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Licensing revenue is primarily impacted by the timing of regulatory and commercialization milestone achievements as well as sales-based royalties received from our collaboration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licensing revenue was primarily attributable to sales-based royalties received from Fosun Pharma in the three and six months ended June 30, 2026. The licensing revenue in the six months ended June 30, 2025 included a $5.0 million milestone earned in the 2025 first quarter under the terms of the Fosun Agreement, following the NDA approval by China’s Center for Drug Evaluation of the NMPA for tenapanor in the control of serum phosphorus in adult patients with CKD on hemodialysis.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Non-cash royalty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non-cash royalty revenue in the three and six months ended June 30, 2026 reflected lower royalties received from Kyowa Kirin for sales of PHOZEVEL in Japan.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Reconciliation of gross product sales to product sales, net is as follows:</w:t>
      </w:r>
    </w:p>
    <w:tbl>
      <w:tblPr>
        <w:tblW w:w="12008" w:type="dxa"/>
        <w:jc w:val="center"/>
        <w:tblInd w:w="0" w:type="dxa"/>
        <w:tblLayout w:type="fixed"/>
        <w:tblCellMar>
          <w:top w:w="28" w:type="dxa"/>
          <w:left w:w="28" w:type="dxa"/>
          <w:bottom w:w="28" w:type="dxa"/>
          <w:right w:w="28" w:type="dxa"/>
        </w:tblCellMar>
      </w:tblPr>
      <w:tblGrid>
        <w:gridCol w:w="483"/>
        <w:gridCol w:w="306"/>
        <w:gridCol w:w="30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 percentage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GTN adjustment percentage in the three and six months ended June 30, 2026 primarily reflected an unfavorable channel mix as well as Medicare and Medicaid Inflation Rebate charges.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GTN adjustment percentage in the six months ended June 30, 2026 reflected a $3.8 million favorable adjustment recognized in the 2025 first quarter, which was driven by a change in previously estimated XPHOZAH product returns.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0"/>
        <w:gridCol w:w="646"/>
        <w:gridCol w:w="647"/>
        <w:gridCol w:w="430"/>
        <w:gridCol w:w="1259"/>
        <w:gridCol w:w="223"/>
        <w:gridCol w:w="109"/>
        <w:gridCol w:w="109"/>
        <w:gridCol w:w="109"/>
        <w:gridCol w:w="447"/>
        <w:gridCol w:w="1530"/>
        <w:gridCol w:w="231"/>
        <w:gridCol w:w="109"/>
        <w:gridCol w:w="109"/>
        <w:gridCol w:w="109"/>
        <w:gridCol w:w="397"/>
        <w:gridCol w:w="1357"/>
        <w:gridCol w:w="204"/>
        <w:gridCol w:w="109"/>
        <w:gridCol w:w="109"/>
        <w:gridCol w:w="109"/>
        <w:gridCol w:w="211"/>
        <w:gridCol w:w="721"/>
        <w:gridCol w:w="161"/>
      </w:tblGrid>
      <w:tr>
        <w:trPr/>
        <w:tc>
          <w:tcPr>
            <w:tcW w:w="7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Adjustments to prior period provisions recorded in the current period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costs and operating expenses, interest expense, non-cash interest expense related to the sale of future royalties and other income, net:</w:t>
      </w:r>
    </w:p>
    <w:tbl>
      <w:tblPr>
        <w:tblW w:w="11600" w:type="dxa"/>
        <w:jc w:val="center"/>
        <w:tblInd w:w="0" w:type="dxa"/>
        <w:tblLayout w:type="fixed"/>
        <w:tblCellMar>
          <w:top w:w="28" w:type="dxa"/>
          <w:left w:w="28" w:type="dxa"/>
          <w:bottom w:w="28" w:type="dxa"/>
          <w:right w:w="28" w:type="dxa"/>
        </w:tblCellMar>
      </w:tblPr>
      <w:tblGrid>
        <w:gridCol w:w="626"/>
        <w:gridCol w:w="358"/>
        <w:gridCol w:w="3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8"/>
        <w:gridCol w:w="188"/>
        <w:gridCol w:w="271"/>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188"/>
        <w:gridCol w:w="188"/>
        <w:gridCol w:w="316"/>
      </w:tblGrid>
      <w:tr>
        <w:trPr/>
        <w:tc>
          <w:tcPr>
            <w:tcW w:w="6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Sales</w:t>
      </w:r>
    </w:p>
    <w:tbl>
      <w:tblPr>
        <w:tblW w:w="10655" w:type="dxa"/>
        <w:jc w:val="left"/>
        <w:tblInd w:w="0" w:type="dxa"/>
        <w:tblLayout w:type="fixed"/>
        <w:tblCellMar>
          <w:top w:w="28" w:type="dxa"/>
          <w:left w:w="28" w:type="dxa"/>
          <w:bottom w:w="28" w:type="dxa"/>
          <w:right w:w="28" w:type="dxa"/>
        </w:tblCellMar>
      </w:tblPr>
      <w:tblGrid>
        <w:gridCol w:w="348"/>
        <w:gridCol w:w="306"/>
        <w:gridCol w:w="307"/>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187"/>
        <w:gridCol w:w="189"/>
        <w:gridCol w:w="271"/>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7"/>
        <w:gridCol w:w="189"/>
        <w:gridCol w:w="31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increase in cost of product sales in the three and six months ended June 30, 2026 reflected higher product sales. A portion of the costs of IBSRELA and XPHOZAH units recognized as revenue during the three and six months ended June 30, 2026 was expensed as research and development expense in periods prior to the commencement of capitalization of inventory costs for each respective product.</w:t>
      </w:r>
      <w:r>
        <w:rPr>
          <w:color w:val="000000"/>
        </w:rPr>
        <w:t xml:space="preserve"> </w:t>
      </w:r>
      <w:r>
        <w:rPr>
          <w:rFonts w:ascii="Times New Roman;serif" w:hAnsi="Times New Roman;serif"/>
          <w:b w:val="false"/>
          <w:color w:val="000000"/>
          <w:sz w:val="20"/>
        </w:rPr>
        <w:t>The cost associated with inventory sold but previously expensed as research and development was $0.3 million and $0.6 million for the three and six months ended June 30, 2026, and $1.0 million and $1.7 million for the three and six months ended June 30, 2025, respectively. The value of inventory on hand as of June 30, 2026 and December 31, 2025 that was previously expensed as research and development was approximately $8.0 million and $10.9 million,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cost of revenue in the three and six months ended June 30, 2026 primarily reflected the full recognition of the maximum $75.0 million royalty obligation under the AstraZeneca Termination Agreement as of the end of the 2025 second quarter and lower costs associated with product supply revenue. Other cost of revenue related to the AstraZeneca Termination Agreement was $3.8 million and $12.7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research and development expenses:</w:t>
      </w:r>
    </w:p>
    <w:tbl>
      <w:tblPr>
        <w:tblW w:w="11615" w:type="dxa"/>
        <w:jc w:val="center"/>
        <w:tblInd w:w="0" w:type="dxa"/>
        <w:tblLayout w:type="fixed"/>
        <w:tblCellMar>
          <w:top w:w="28" w:type="dxa"/>
          <w:left w:w="28" w:type="dxa"/>
          <w:bottom w:w="28" w:type="dxa"/>
          <w:right w:w="28" w:type="dxa"/>
        </w:tblCellMar>
      </w:tblPr>
      <w:tblGrid>
        <w:gridCol w:w="744"/>
        <w:gridCol w:w="510"/>
        <w:gridCol w:w="3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74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Facility-related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External R&amp;D expenses consist substantially of costs associated with our life cycle management initiatives for tenapanor, with more than half of these costs attributable to our CIC program for the three and six months ended June 30, 2026, respectively. External R&amp;D expenses also include costs associated with early-stage, preclinical programs as well as unallocated program-specific costs, which were individually immaterial for the periods presented. We begin to track program-specific costs for early-stage, preclinical programs once they become material, which generally occurs following IND and when clinical-stage work has commenced. We do not track employee and facility-related expenses by program, as we typically use our employee and infrastructure resources across multiple R&amp;D programs.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external R&amp;D expenses in the three and six months ended June 30, 2026 reflected increased clinical trial activities, including Phase 3 clinical trials evaluating tenapanor in adults with CIC, as well as engagement with medical and scientific communities in the areas of gastroenterology and nephrology related to our marketed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employee-related expenses in the three and six months ended June 30, 2026 was primarily driven by increased headcount in connection with pipeline expansion activities as well as engagement with medical and scientific communities in the areas of gastroenterology and nephrology related to our marketed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in the three and six months ended June 30, 2026 primarily reflected increased commercialization and administrative costs to support net sales growth of IBSRELA, consisting of external spending for disease awareness initiatives, patient affordability, access support and related patient awareness, as well as increased commercial infrastructure costs. The increase was also attributable to increased headcount, including incremental stock-based compensation expenses of $3.1 million and $6.2 million in the three and six months ended June 30, 2026,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in the three and six months ended June 30, 2026 primarily reflected a higher outstanding loan balance resulting from the Term E Loan draw at the end of June 2025, partially offset by the reduced interest rate under the term loans resulting from the Sixth Amendment to our Loan Agreement effective at the end of April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Non-Cash Interest Expense Related to the Sale of Future Royalties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non-cash interest expense related to the sale of future royalties in the three and six months ended June 30, 2026 primarily reflected the imputed interest accrued on the decreasing carrying value of the deferred royalty obligation and royalties received from Kyowa Kirin for sales of PHOZEVEL in Japan which were remitted to HCR.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remained materially unchanged in the three and six months ended June 30, 2026 and primarily consisted of interest income earned on our cash,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cash, cash equivalents and short-term investments:</w:t>
      </w:r>
    </w:p>
    <w:tbl>
      <w:tblPr>
        <w:tblW w:w="8320" w:type="dxa"/>
        <w:jc w:val="left"/>
        <w:tblInd w:w="0" w:type="dxa"/>
        <w:tblLayout w:type="fixed"/>
        <w:tblCellMar>
          <w:top w:w="28" w:type="dxa"/>
          <w:left w:w="28" w:type="dxa"/>
          <w:bottom w:w="28" w:type="dxa"/>
          <w:right w:w="28" w:type="dxa"/>
        </w:tblCellMar>
      </w:tblPr>
      <w:tblGrid>
        <w:gridCol w:w="820"/>
        <w:gridCol w:w="721"/>
        <w:gridCol w:w="724"/>
        <w:gridCol w:w="234"/>
        <w:gridCol w:w="919"/>
        <w:gridCol w:w="121"/>
        <w:gridCol w:w="109"/>
        <w:gridCol w:w="109"/>
        <w:gridCol w:w="109"/>
        <w:gridCol w:w="317"/>
        <w:gridCol w:w="1244"/>
        <w:gridCol w:w="164"/>
        <w:gridCol w:w="109"/>
        <w:gridCol w:w="109"/>
        <w:gridCol w:w="109"/>
        <w:gridCol w:w="211"/>
        <w:gridCol w:w="721"/>
        <w:gridCol w:w="109"/>
        <w:gridCol w:w="109"/>
        <w:gridCol w:w="109"/>
        <w:gridCol w:w="109"/>
        <w:gridCol w:w="210"/>
        <w:gridCol w:w="210"/>
        <w:gridCol w:w="61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 funds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281,830 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assess our cash position and our working capital needs to execute our strategy. We have historically funded our operations primarily from product sales, sales of our common stock, funds from our loan agreements with SLR, funds from our collaboration partnerships, as well as the sale of future royalties and commercialization milestones to HCR. We expect that we will increasingly rely on cash generated from our commercial operations to fund our operating plan while maintaining financial flexibility to source cash from future equity sales and debt financing. Our capital allocation strategy includes (i) accelerating IBSRELA growth, (ii) investing in our current pipeline and (iii) maintaining financial strength.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the 2025 Open Market Sales Agreement, deemed to be “at-the-market offerings.” Pursuant to the 2025 Open Market Sales Agreement, Jefferies, as sales agent, may receive a commission of up to three percent of the gross sales price for shares of our common stock sold under the 2025 Open Market Sales Agreement. As of June 30, 2026, there have been no sales of our common stock under the 2025 Open Market Sales Agreement.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a loan and security agreement with SLR (the Loan Agreement). The Loan Agreement provides a total of $300.0 million, of which $250.0 million has been drawn and is outstanding as of June 30, 2026. The additional borrowing of $50.0 million pursuant to the Term G Loan is available at our election to draw through December 20, 2026. See </w:t>
      </w:r>
      <w:r>
        <w:rPr>
          <w:rFonts w:ascii="Times New Roman;serif" w:hAnsi="Times New Roman;serif"/>
          <w:b w:val="false"/>
          <w:i/>
          <w:color w:val="000000"/>
          <w:sz w:val="20"/>
        </w:rPr>
        <w:t xml:space="preserve">Note 8. Borrowing </w:t>
      </w:r>
      <w:r>
        <w:rPr>
          <w:rFonts w:ascii="Times New Roman;serif" w:hAnsi="Times New Roman;serif"/>
          <w:b w:val="false"/>
          <w:color w:val="000000"/>
          <w:sz w:val="20"/>
        </w:rPr>
        <w:t>for further information on our long-term debt.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8551" w:type="dxa"/>
        <w:jc w:val="left"/>
        <w:tblInd w:w="0" w:type="dxa"/>
        <w:tblLayout w:type="fixed"/>
        <w:tblCellMar>
          <w:top w:w="28" w:type="dxa"/>
          <w:left w:w="28" w:type="dxa"/>
          <w:bottom w:w="28" w:type="dxa"/>
          <w:right w:w="28" w:type="dxa"/>
        </w:tblCellMar>
      </w:tblPr>
      <w:tblGrid>
        <w:gridCol w:w="1255"/>
        <w:gridCol w:w="1103"/>
        <w:gridCol w:w="1107"/>
        <w:gridCol w:w="211"/>
        <w:gridCol w:w="796"/>
        <w:gridCol w:w="109"/>
        <w:gridCol w:w="109"/>
        <w:gridCol w:w="109"/>
        <w:gridCol w:w="109"/>
        <w:gridCol w:w="211"/>
        <w:gridCol w:w="796"/>
        <w:gridCol w:w="109"/>
        <w:gridCol w:w="109"/>
        <w:gridCol w:w="109"/>
        <w:gridCol w:w="109"/>
        <w:gridCol w:w="221"/>
        <w:gridCol w:w="756"/>
        <w:gridCol w:w="114"/>
        <w:gridCol w:w="114"/>
        <w:gridCol w:w="114"/>
        <w:gridCol w:w="114"/>
        <w:gridCol w:w="218"/>
        <w:gridCol w:w="218"/>
        <w:gridCol w:w="331"/>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represent the cash receipts and payments related to all of our activities other than investing and financing activities. Net operating cash flow is derived by adjusting our net loss for non-cash operating items and changes in operating assets and liabilities resulting from timing differences between the cash receipts and payments and when the transactions are recognized in our result of operations. As a result, changes in net operating cash flow reflect, among other things, the timing of (i) cash collections from our Customers and (ii) payments made in the normal course of business such as payments to suppliers, including our CMOs, CROs and government agencies.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decreased in the six months ended June 30, 2026, primarily due to the timing of our payments and inventory purchases, partially offset by the timing of cash collections from our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include cash used for capital expenditures and purchases of short-term investments as well as net proceeds from asset dispositions and maturities of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decreased in the six months ended June 30, 2026, primarily reflecting higher short-term investment purchases.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 include net proceeds associated with our Loan Agreement, sales of our common stock with respect to the “at-the-market offering” programs and issuances of our common stock under our equity incentive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included the receipts of the Term F Loan and the Term E Loan in the six months ended June 30, 2026 and 2025, respectively. Net cash provided by financing activities increased in the six months ended June 30, 2026, primarily due to higher proceeds received from the issuance of common stock under our equity incentive plans.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operating model, we believe our available cash, cash equivalents and short-term investments as of June 30, 2026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as described in Part II, Item 1A, “Risk Factors,” of this Quarterly Report on Form 10-Q.</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Obligations and Commitments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2026, our total future payment obligation related to the outstanding term loans, excluding interest payments, was $260.8 million, which is due on July 1, 2030. See </w:t>
      </w:r>
      <w:r>
        <w:rPr>
          <w:rFonts w:ascii="Times New Roman;serif" w:hAnsi="Times New Roman;serif"/>
          <w:b w:val="false"/>
          <w:i/>
          <w:color w:val="000000"/>
          <w:sz w:val="20"/>
        </w:rPr>
        <w:t>Note 8. Borrowing</w:t>
      </w:r>
      <w:r>
        <w:rPr>
          <w:color w:val="000000"/>
        </w:rPr>
        <w:t xml:space="preserve"> </w:t>
      </w:r>
      <w:r>
        <w:rPr>
          <w:rFonts w:ascii="Times New Roman;serif" w:hAnsi="Times New Roman;serif"/>
          <w:b w:val="false"/>
          <w:color w:val="000000"/>
          <w:sz w:val="20"/>
        </w:rPr>
        <w:t>for further information on our long-term debt.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entered into various operating leases for our offices. As of June 30, 2026, our total undiscounted obligation for operating leases was $4.7 million, with maturities ranging up through July 2029. See </w:t>
      </w:r>
      <w:r>
        <w:rPr>
          <w:rFonts w:ascii="Times New Roman;serif" w:hAnsi="Times New Roman;serif"/>
          <w:b w:val="false"/>
          <w:i/>
          <w:color w:val="000000"/>
          <w:sz w:val="20"/>
        </w:rPr>
        <w:t>Note 9. Leases</w:t>
      </w:r>
      <w:r>
        <w:rPr>
          <w:color w:val="000000"/>
        </w:rPr>
        <w:t xml:space="preserve"> </w:t>
      </w:r>
      <w:r>
        <w:rPr>
          <w:rFonts w:ascii="Times New Roman;serif" w:hAnsi="Times New Roman;serif"/>
          <w:b w:val="false"/>
          <w:color w:val="000000"/>
          <w:sz w:val="20"/>
        </w:rPr>
        <w:t>for further information on our operating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a variety of contracts in the normal course of business. These contracts generally allow us to terminate on notice, reschedule or adjust our requirements based on our business needs prior to the delivery of goods or performance of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preparation of financial statements in accordance with U.S. GAAP requires management to make estimates and assumptions that affect reported amounts and related disclosures. We have discussed those policies and estimates that we believe are critical and require the use of significant judgment in their application in our 2025 Form 10-K. We have made no material changes to our critical accounting policies or the methodologies or assumptions that we apply under them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short-term investments of $281.8 million, which consisted of bank deposits and money market funds, as well as high quality fixed income instruments, including commercial paper, U.S. government-sponsored agency bonds, U.S. treasury securities, corporate bonds and Yankee bonds. The credit rating of our short-term investments must be rated A-1/P-1, or better by Standard and Poor’s and Moody’s Investors Service.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outstanding principal under our Loan Agreement is subject to a variable interest rate, which fluctuates with changes in the one-month SOFR reference rate as published by the CME Term SOFR Administrator on the CME Term SOFR Administrator’s Website. A hypothetical increase in the one-month SOFR of 100 basis points above the current one-month SOFR rate would not have had a material effect on our result of operations for the six months ended June 30, 2026. As of June 30, 2026, we had an aggregate principal amount of $250.0 million outstanding pursuant to our Loan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transactions are denominated in U.S. dollars. However, we do have certain transactions that are denominated in currencies other than the U.S. dollar, primarily Swiss francs, Japanese yen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As of June 30, 2026,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June 30, 2026.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have concluded that, as of June 30, 2026, our disclosure controls and procedures were effective at a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See information in </w:t>
      </w:r>
      <w:r>
        <w:rPr>
          <w:rFonts w:ascii="Times New Roman;serif" w:hAnsi="Times New Roman;serif"/>
          <w:b w:val="false"/>
          <w:i/>
          <w:color w:val="000000"/>
          <w:sz w:val="20"/>
        </w:rPr>
        <w:t>Note 14. Commitments and Contingencies</w:t>
      </w:r>
      <w:r>
        <w:rPr>
          <w:color w:val="000000"/>
        </w:rPr>
        <w:t xml:space="preserve"> </w:t>
      </w:r>
      <w:r>
        <w:rPr>
          <w:rFonts w:ascii="Times New Roman;serif" w:hAnsi="Times New Roman;serif"/>
          <w:b w:val="false"/>
          <w:color w:val="000000"/>
          <w:sz w:val="20"/>
        </w:rPr>
        <w:t>which we incorporated here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losses in each year since our inception, and if we are unable to continue to increase revenue and/or, if we pursue future business opportunities, we may not achieve cash flow positivity when expected or at all, and even if we do, we may not be able to sustain cash flow positivity quarter over quarter and year over year.</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March 2022, we commenced the commercialization of our first product,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for the treatment of IBS-C in adult patients. In November 2023, we commenced the commercialization of XPHOZAH</w:t>
      </w:r>
      <w:r>
        <w:rPr>
          <w:rFonts w:ascii="Times New Roman;serif" w:hAnsi="Times New Roman;serif"/>
          <w:b w:val="false"/>
          <w:color w:val="000000"/>
          <w:sz w:val="13"/>
        </w:rPr>
        <w:t xml:space="preserve">® </w:t>
      </w:r>
      <w:r>
        <w:rPr>
          <w:rFonts w:ascii="Times New Roman;serif" w:hAnsi="Times New Roman;serif"/>
          <w:b w:val="false"/>
          <w:color w:val="000000"/>
          <w:sz w:val="20"/>
        </w:rPr>
        <w:t>(tenapanor) for the reduction of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losses in each year since our inception in October 2007. We continue to incur commercialization, development and additional expenses related to our ongoing operations and pursuit of future business opportunities. As of June 30, 2026, we had an accumulated deficit of $1.0 billion. Our prior losses, combined with any future losses, have had and will continue to have an adverse effect on our stockholders’ equity and working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increase revenue for IBSRELA and XPHOZAH, and/or if we elect to pursue future business opportunities to strengthen our pipeline, we may not achieve cash flow positivity when expected or at all, and even if we do, we may not be able to sustain cash flow positivity quarter over quarter and year over year.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and sustain cash flow positivity quarter over quarter and year over year depends heavily on our ability to successfully commercialize IBSRELA and XPHOZAH and on the decisions we may make to expand our pipeline through internal investment and/or acquiring external assets. In addition, our cash flow positivity may be impacted by the costs of our ongoing development efforts, including our Phase 3 clinical trial evaluating tenapanor in CIC and our RDX10531 development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IBSRELA and XPHOZAH and continue to grow revenue received for both products depends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maintaining sufficient market acceptance of IBSRELA as a viable treatment option for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obtaining market acceptance of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addressing any competing technological and market developments, including competing therapies that currently exist or that could be successfully developed and approved;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0" w:after="180"/>
        <w:ind w:left="0" w:right="0" w:firstLine="360"/>
        <w:jc w:val="left"/>
        <w:rPr/>
      </w:pPr>
      <w:r>
        <w:rPr>
          <w:rFonts w:ascii="Times New Roman;serif" w:hAnsi="Times New Roman;serif"/>
          <w:b w:val="false"/>
          <w:color w:val="000000"/>
          <w:sz w:val="20"/>
        </w:rPr>
        <w:t>With respect to our commercialization of IBSRELA and XPHOZAH, our revenue, and therefore, our ability to achieve and sustain cash flow positivity will be dependent, in part, upon the size of the markets in the U.S., the label for which approval was granted, accepted price for the product, and the ability to secure and maintain adequate reimbursement. On January 1, 2025, XPHOZAH, along with other oral drugs for ESRD patients on dialysis without injectable or intravenous equivalents, became part of the ESRD PPS and coverage for XPHOZAH and these other oral drugs under Medicare Part D was eliminated. The inclusion of XPHOZAH in the ESRD PPS creates additional uncertainty as to the commercial opportunity for XPHOZAH. In addition, CMS’ March 27, 2026 operational guidance reiterating that ESRD facilities are expected by CMS to furnish XPHOZAH under the ESRD PPS bundled payment regardless of manufacturer distribution preferences could adversely affect XPHOZAH revenue.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current cash, cash equivalents and short-term investments as well as our plans to meet our operating cash flow requirements are not sufficient to fund investments we may elect to make in building our pipeline, we will not be able to achieve or, if achieved, to sustain cash flow positivity, and our liquidity, financial condition, and business prospects may be materially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and certain other tax attributes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substantial NOL and tax credit carryforwards for Federal and California income tax purposes. Such NOLs and tax credits carryforwards may be reduced as a result of certain intercompany restructuring transactions. In addition, the future utilization of such NOL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will continue to expend substantial resources for the foreseeable future, including costs associated with our efforts to commercialize IBSRELA and XPHOZAH; conducting pediatric clinical trials for IBSRELA; our ongoing efforts to evaluate and seek approval of tenapanor for the treatment of CIC, including our ongoing Phase 3 clinical trial in this indication; manufacturing for IBSRELA and XPHOZAH; investments to build a pipeline; and research and development related to potential new product candidates, including development costs related to RDX10531, an NHE3 inhibitor. The inability to access necessary capital when needed on acceptable terms, or at all, could force us to delay or limit our development of potential new products, or our pursuit of future business opportunities. Our future funding requirements will depend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we are able to continue to generate and increase product revenue from sales of IBSRELA and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adequate third-party reimbursement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manufacturing, selling and marketing costs associated with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receipt and amount of milestones or royalties from our collaboration partners,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necessary to expand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for our ongoing efforts to evaluate and seek approval of tenapanor for the treatment of CIC, including our ongoing Phase 3 clinical trial in this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for the discovery and/or development of other potential product candidates, including RDX10531;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time and cost necessary to respond to technological and market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payment of interest and principal related to our loan and security agreement entered into with SLR, as amended to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funds may not be available when we need them on terms that are acceptable to us, or at all. If adequate funds are not available to us on a timely basis, we may be required to delay or limit additional clinical trials for tenapanor, or delay or limit our pursuit of other future business opportunities.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IBSRELA in the U.S. in March 2022. The overall commercial success of IBSRELA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sustain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IBSRELA as a treatment for adult patients with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IBSRELA will be subject to price negotiations under the IRA, and the timing and impact of those price negotiations on the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the treatable patient population;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expand the IBSRELA eligible patient population, including with respect to our ongoing efforts to evaluate and seek approval of tenapanor for the treatment of CIC;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continue to increase the market share of IBSRELA;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our sales, market access and marketing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physicians view IBSRELA as a safe and effective treatment for adult patients with IBS-C, which will impact the adoption of IBSRELA by physicians for the treatment of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IBSRELA following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if we are not able to continue to secure and maintain physician and patient acceptance of IBSRELA or adequate coverage and reimbursement for IBSRELA, or if we are not successful in our efforts to develop and obtain regulatory approval for IBSRELA for CIC patients in the time frame we expect, or at all, we may not generate sufficient revenue from sales of IBSRELA to achieve our business goals. Any failure of IBSRELA to maintain market acceptance, continue to increase market share, obtain and maintain sufficient third-party coverage or reimbursement, or achieve commercial success would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XPHOZAH in the U.S. in November 2023. The overall commercial success of XPHOZAH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or not the content and breadth of the label that has been approved by the FDA for XPHOZAH will materially and adversely impact our ability to commercialize the product for the approved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acceptance of XPHOZAH as safe, effective and well-tolerated by patients and the medical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obtaining and sustaining an adequate level of coverage and reimbursement for XPHOZAH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XPHOZAH following approval.</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In addition, CMS’ March 27, 2026 operational guidance reiterating that ESRD facilities are expected by CMS to furnish XPHOZAH under the ESRD PPS bundled payment regardless of manufacturer distribution preferences could adversely affect XPHOZAH revenue.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January 2011,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eliminating coverage for XPHOZAH for Medicare beneficiaries under Medicare Part D. The change in Medicare reimbursement coverage had a negative and material impact on our XPHOZAH revenue in 2025 and may have a material adverse impact on our XPHOZAH revenue in future periods. We anticipate the continued lack of Medicare Part D coverage for XPHOZAH will result in a materially lower pace of revenue growth as compared to expectations before XPHOZAH became part of the ESRD PPS. On June 26, 2026, the U.S. Court of Appeals for the District of Columbia Circuit affirmed dismissal of our lawsuit against CMS regarding the inclusion of XPHOZAH in the ESRD PPS. See </w:t>
      </w:r>
      <w:r>
        <w:rPr>
          <w:rFonts w:ascii="Times New Roman;serif" w:hAnsi="Times New Roman;serif"/>
          <w:b w:val="false"/>
          <w:i/>
          <w:color w:val="000000"/>
          <w:sz w:val="20"/>
        </w:rPr>
        <w:t>Note 14. Commitments and Contingencies</w:t>
      </w:r>
      <w:r>
        <w:rPr>
          <w:color w:val="000000"/>
        </w:rPr>
        <w:t xml:space="preserve"> </w:t>
      </w:r>
      <w:r>
        <w:rPr>
          <w:rFonts w:ascii="Times New Roman;serif" w:hAnsi="Times New Roman;serif"/>
          <w:b w:val="false"/>
          <w:color w:val="000000"/>
          <w:sz w:val="20"/>
        </w:rPr>
        <w:t>for more information. In addition, on March 27, 2026, CMS issued operational guidance reiterating that ESRD facilities are expected by CMS to furnish XPHOZAH under the bundled payment, which may limit our ability to effectively pursue alternative distribution approaches for XPHOZAH and negatively impact our XPHOZAH revenue and pace of revenue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extent to which the inclusion of XPHOZAH in the ESRD PPS will continue to materially and adversely impact our XPHOZAH business is dependent on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extent to which this change, the March 2026 CMS operational guidance, the status of our lawsuit against CMS and any other regulatory action will interfere with the shared decision-making between healthcare professionals and their patients, regardless of insurance coverage;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withdraw their approval of the product or seize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required to recall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subject to fines, 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require the addition of new labeling statements, such as a “black box” warning or a contraindication;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product may become less competitive;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or maintain adequate coverage and reimbursement for IBSRELA and XPHOZAH could limit our ability to market those products and decrease our ability to generate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the U.S., CMS decides whether and to what extent a new drug will be covered and reimbursed under Medicare. Private payors tend to follow the coverage reimbursement policies established by CMS to a substantial degree. On January 1, 2025, XPHOZAH, along with other oral drugs for ESRD patients on dialysis without injectable or intravenous equivalents, became part of the ESRD PPS and coverage for XPHOZAH and these other oral drugs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U.S., international operations are generally subject to extensive governmental price controls and other market regulations, and we believe the increasing emphasis on cost-containment initiatives in other countries has and will continue to put pressure on the pricing and usage of IBSRELA and XPHOZAH.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products. Accordingly, in markets outside the U.S., the reimbursement for our products may be reduced compared with the U.S. and may be insufficient to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commercially reasonable revenue and profits.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third-party payors in the U.S. and abroad to cap or reduce healthcare costs may cause such organizations to limit both coverage and the level of reimbursement for our products and, as a result, they may not cover or provide adequate payment for our product candidates. We expect to continue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and the continued commercial success of established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CMOs to manufacture our drug supply are subject to inspection by the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cGMP requirements, for manufacture of both active drug substances and finished drug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rely on foreign CROs and CMOs, which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Veterans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business prospects may depend on our ability, alone or through our current or future collaborations, to successfully develop, gain regulatory approval of and commercialize our current and future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including new uses for currently approved products, we must conduct extensive clinical studies to demonstrate the safety and efficacy of the product candidates in humans. The drug development process, including obtaining regulatory approval for a product, is a long, expensive and uncertain process, involving a high degree of risk. We cannot be certain that we will be able to complete ongoing clinical trials or to announce results of such trials with respect to any of our product candidates, on the timelines we expect or at all, or that the results of our clinical trials or other activities under our development programs will be positive. We cannot be certain that we will be able to advance such product candidates into additional trials or to successfully develop, obtain regulatory approval for, or successfully commercialize any of our product candidates, if approved.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in October 2025, we announced the initiation of a development program for RDX10531, an NHE3 inhibitor with potential application across multiple therapeutic areas. In January 2026, we initiated ACCEL (TEN-03-301), a Phase 3 clinical trial designed to assess the safety and efficacy of tenapanor for the treatment of CIC. Enrollment in ACCEL is expected throughout 2026, with topline data read out in the second half of 2027. We may not be able to demonstrate the efficacy and safety of these or any future product candidates, or we may encounter other issues with any clinical trials or non-clinical studies required for regulatory submissions of our product candidates. The results of clinical trials or non-clinical studies of our product candidates at any stage may not support further development or may not be sufficient to file for and obtain regulatory approval on the timelines we expect or at all. The FDA or other regulatory authorities may not agree with our interpretation of the results of clinical trials or non-clinical studies. Other decisions or actions of the FDA or other regulatory authorities may affect our plans, progress, results, timing or next steps, including whether to proceed with further development. Some or all of our current or future non-clinical studies or clinical trials may fail to meet their primary or key secondary endpoints, raise safety issues or generate mixed results, resulting in delays to or discontinuation of certain development efforts and/or additional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conduct of clinical trials, we could encounter delays in our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ongoing and planned development activities may be negatively impacted by a number of factors. Widespread healthcare and vendor staffing shortages and increased competition for patients and clinical sites may make it difficult to enroll patients in our non-clinical studies and/or clinical trials and/or identify and activate participating clinical sites for our trials, may cause other delays at clinical trial sites and/or vendors, and may increase the rates of patients withdrawing from our clinical trials following enrollment. Some clinical sites may decline or delay participation in our trials due to capacity and resource constraints. These or other factors may substantially slow clinical site identification and activation and enrollment in our clinical trials, or cause us to pause trials, which may, in each case, significantly impact our ability to meet our expected timelines, budgets, or other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limitations or modifications to study procedures, study visits or data collection, restrictions on key clinical trial activities such as monitoring or auditing, or other restrictions that may affect data analysis activities may require additional assessment and evaluation from IRBs, negatively impact the integrity or completeness of our trial data, the powering of a trial, the integrity or relevance of clinical study endpoints, or impact the timing of availability of results. Any of these factors could delay or increase the expense of our ongoing or future development programs.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Accordingly, even if we have the requisite financial resources, when needed, to continue to fund our development efforts, our current or future product candidates may never be successfully developed or commercialized. Even if we conduct the trials required by the FDA, the FDA may ultimately decide that the design, number and type of trials, number of patients studied or results, even if positive, are not sufficient to file for or gain regulatory approval of any of our product candidates in the indications we study, or do not support the safety or efficacy or our intended profile for the product. Any of these negative outcomes could materially impact our ongoing or future development programs and adversely affect our business, results of operations, financial condition and prospects and could lead us to make significant further changes to the scope and nature of our development efforts.</w:t>
      </w:r>
    </w:p>
    <w:p>
      <w:pPr>
        <w:pStyle w:val="TextBody"/>
        <w:bidi w:val="0"/>
        <w:spacing w:lineRule="auto" w:line="288" w:before="0" w:after="180"/>
        <w:jc w:val="left"/>
        <w:rPr/>
      </w:pPr>
      <w:r>
        <w:rPr>
          <w:rFonts w:ascii="Times New Roman;serif" w:hAnsi="Times New Roman;serif"/>
          <w:b/>
          <w:i/>
          <w:color w:val="000000"/>
          <w:sz w:val="20"/>
        </w:rPr>
        <w:t>Our future results depend on CMOs, many of whom are our single source manufacturers.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tariffs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currently and may in the future rely on foreign CMOs and CROs. Such foreign CMOs and CROs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would be time consuming and costly. Furthermore, any new CMO would need to complete validation batches and be approved by regulatory authorities as our manufacturer, including passing any required inspections, before we would be able to utilize the drug product or drug substance they manufacture for commercial purposes, which could result in significant costs and delays in product availability.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23, 2022, we entered into a loan and security agreement (the Loan Agreement) with SLR as collateral agent and the lenders listed in the Loan Agreement (collectively, the Lenders). The Loan Agreement was subsequently amended in August 2022 (the First Amendment), February 2023 (the Second Amendment), October 2023 (the Third Amendment), October 2024 (Fourth Amendment), June 2025 (Fifth Amendment) and April 2026 (Sixth Amendment). The loan was funded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 of $27.5 million on February 23, 2022. An additional amount of $22.5 million was drawn on October 19, 2023, and an additional $50.0 million was drawn on each of March 1, 2024, October 29, 2024, June 30, 2025 and June 29, 2026, respectively. These are referred to as the Terms A, B, C, D, E and F Loans, respectively. In connection with the Sixth Amendment, a portion of the $200.0 million in outstanding principal previously allocated among the Term A through C Loans was refinanced with a new Term H Loan, and the interest rate was collectively reduced under all term loans, including the undrawn term loans. As of June 30, 2026, we have the option to draw up to an additional $50.0 million pursuant to the Term G Loan, which is available at the Company’s election through December 20, 2026. Until we have repaid all funded indebtedness, the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repay the outstanding indebtedness under the loan facility if an event of default occurs under the Loan Agreement. An event of default will occur if, among other things, we fail to make payments under the Loan Agreement; we breach any of our covenants under the Loan Agreement, subject to specified cure periods with respect to certain breaches; a Lender determines that a material adverse change has occurred; we or our assets become subject to certain legal proceedings, such as bankruptcy proceedings; we are unable to pay our debts as they become due; or we default on contracts with third parties which would permit a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competition, and our competitors may discover, develop or commercialize products faster or more successfully than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 In addition, if successfully developed and approved for the treatment of CIC, we believe IBSRELA will also face competition from branded products Linzess (linaclotide) and Trulance (plecanatide) as well as generic lubiprostone and prucalopride.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currently available phosphate binders, we are aware of at least four phosphate binders in development, including AP-301, developed by Alebund Pharmaceutical (Hong Kong) Limited and currently in Phase 3; VS-505, developed by Vidasym and currently in Phase 2; and TS-172, developed by Taisho Pharmaceutical and currently in Phase 3. On June 30, 2026, Unicycive Therapeutics, which is developing OLC, announced the receipt of a Complete Response Letter from the FDA citing manufacturing deficiencies. Additionally, Alebund is developing AP-306, an inhibitor of phosphate transporters NaPi-2b, PiT-1, and PiT-2, thus far studied in a Phase 2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experience difficulties in managing our current activities and growth given our level of managerial, operational, financial and other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commercialization activities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clinical trials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improve our operational, financial and management controls, reporting systems and procedures;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retain and motivate our remaining employees and potentially identify, recruit and integrate additional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engage in strategic transactions that could impact our liquidity, increase our expenses and present significant distractions to our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exposure to unknown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incurrence of substantial debt or dilutive issuances of equity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higher-than-expected acquisition and integration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write-downs of assets or goodwill or impairment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amortization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difficulty and cost in combining the operations and personnel of any acquired businesses with our operations and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inability to retain key employees of any acquired businesses.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our commercialization of IBSRELA and XPHOZAH.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decreased demand for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investigations, product recalls or withdrawals, or labeling, marketing or promotional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loss of revenue;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inability to commercialize or co-promote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attract, retain and motivate our executives, senior management and key personnel, our business will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biopharmaceutical companies for similar personnel, particularly in our geographic regions. If we are unable to continue to attract and retain high quality personnel, our ability to grow and pursue our business strategy will be limited.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data protection landscape continues to rapidly evolve,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operations and business continue to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number of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or may become subject to rapidly evolving data protection laws, rules and regulations in foreign jurisdictions. For example, in Europe, we may be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processing the personal data of individuals within the EEA and UK. Companies that must comply with the GDPR face increased compliance obligations and risk, including more robust regulatory enforcement of data protection requirements and potential fines for noncompliance of up to €20 million/£17.5 million or four percent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may be affected by the evolving regulatory framework for AI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our investments in such technologies will always enhance our products or services or be beneficial to our business, including our efficiency or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 over time without further human intervention to correct such decay.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our ongoing development and maintenance of these technologies in the face of novel and evolving technical, reputational and market factors. Our efforts to develop proprietary AI models may increase our operating costs. Our ability to develop proprietary AI models may be limited by our access to processing infrastructure or training data, and we may be dependent on third-party providers for such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use of AI Technologies in research and development could introduce unique intellectual property risks. Shifting legal standards creates substantial uncertainty regarding whether AI-generated inventions, chemical structures, or therapies are eligible for patent protection. If we are unable to obtain or maintain strong patent exclusivity for product candidates developed with the assistance of AI, our competitive position and long-term profitability could be materially harmed. We also face the risk that the AI tools we utilize could inadvertently ingest third-party proprietary data, exposing us to infringement claims, or that deploying our own proprietary data into these models could compromise our trade secrets.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landscape may result in reputational, competitive and business harm as well as litigation and regulatory action and fines, penalties and expenses related thereto.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diverse threat vectors, such as computer viruses, malware (e.g.,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Additionally, any integration of artificial intelligence in our or any third party’s operations, products or services is expected to pose new or unknown cybersecurity risks and challenges.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and with METiS for the development and commercialization of a portfolio of TGR5 agonist compounds for all therapeutic areas. Our previous collaboration partnership in Canada with Knight for commercialization of tenapanor for IBS-C and hyperphosphatemia was terminated in March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may pursue future collaborations, we face significant competition in seeking appropriate collaboration partners, and the process to identify an appropriate partner and negotiate appropriate terms is time-consuming and complex. Delays in identifying suitable additional collaboration partners and entering into agreements to commercialize our products in ex-U.S. territories and/or develop our product candidates will delay commercialization thereof, which may reduce their competitiveness even if they reach the market. In addition, current or future collaborations or partnerships with ex-U.S. parties and the expected benefits therefrom could be materially and adversely impacted by current or future healthcare reform legislation and initiatives (including evolving “most favored nation” pricing proposals) that may require U.S. pricing for our products to be tied to, or otherwise impacted by, ex-U.S. prices obtained by collaborators or partners.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third parties does not relieve us of our regulatory responsibilities. We, and these third parties, are required to comply with current GLPs for nonclinical studies and GCPs for clinical studies. GLPs and GCPs are regulations and guidelines enforced by the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collaboration partners have sought and obtained and may continue to seek and obtain marketing approval for tenapanor outside of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into these international business markets and relationships,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regulatory requirements for drug approvals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differing U.S. and foreign drug import and export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protection for intellectual property rights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reimbursement systems, and different competitive drugs;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liability resulting from development work conducted by these distributors;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 or natural disasters.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U.S. and international trade policies may adversely impact our business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rely on both U.S. and foreign third-party manufacturers. The U.S. government and persons involved in the current administration have made statements and taken certain actions that may lead to potential changes to U.S. and international trade policies. The extent and duration of any tariffs and the resulting impact on general economic conditions and on our business are uncertain and depend on various factors, such as negotiations between the United States and other countries, the response of such countries, exemptions or exclusions that may be granted, and the availability and cost of alternative sources of supply of materials we purchase from companies in other countries targeted with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export controls, capital controls or tariffs, may increase the cost of manufacturing our product candidates and platform materials, affect the demand for IBSRELA and XPHOZAH, and import or export of API and finished product. If any new tariffs, export controls, legislation and/or regulations are implemented, or if existing trade agreements are renegotiated or, in particular, if the U.S. government takes retaliatory trade actions due to the recent trade tension, such changes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involves the use of hazardous materials and we and third parties with whom we contract must comply with environmental laws and regulations, which can be expensive and restrict how we do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severe weather, public health emergencies and other catastrophic events, and our business continuity and disaster recovery plans may not adequately protect us from a serious disaster.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Events outside of our control, including natural disasters, severe or inclement weather (such as extreme snow and ice, extreme heat, tornados and flooding), public health emergencies, power outages, cyber or telecommunications disruptions, transportation incidents or other catastrophic events, could severely disrupt our operations and have a material adverse effect on our business, operating results, prospects or financial condition. Such events could disrupt our sales efforts, ongoing clinical trials and/or other operations by damaging or limiting access to critical infrastructure and facilities, including those operated by third parties on whom we rely, such as contract research organizations, contract manufacturing organizations, suppliers, specialty pharmacies and logistics and distribution providers, or by restricting travel, staffing availability or site access. If any such event prevents or materially impairs our ability, or the ability of these third parties, to manufacture or ship product or product candidates, conduct clinical trial activities, perform quality testing and release, or otherwise operate in the ordinary course, it may be difficult or, in certain cases, impossible for us to continue our business as currently planned.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shipment of product and product candidates, active pharmaceutical ingredients and other materials may be delayed, diverted or disrupted by severe weather or other events in any location where our third-party service providers operate or through which shipments must travel, including as a result of extreme snow or ice, extreme heat, tornados, flooding, transportation accidents or carrier interruptions. These disruptions could result in missed or delayed patient deliveries, delayed site resupply, inventory constraints, product loss or spoilage (including due to temperature excursions), increased shipping and handling costs, and delays in manufacturing, release or crucial business timelines, any of which could materially impact our sales, financial results, patient fulfillment efforts and reputation.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disaster recovery and business continuity plans we have in place may prove inadequate in the event of a serious disaster or similar event, including because we may not have sufficient redundancies, alternative suppliers, alternative distribution channels, backup manufacturing capacity or additional inventory to mitigate the impact of such disruptions. We may incur substantial expenses in connection with responding to and recovering from these events, and any of the foregoing could have a material adverse effect on our business, operating results, prospects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a number of legislative and regulatory changes and proposed changes regarding the healthcare system that could, among other things, restrict or regulate post approval activities with respect to our approved products and affect our ability to profitably sell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ACA was enacted in 2010 with a goal of reducing the cost of healthcare and substantially changing the way healthcare is financed by both government and private insurers. The ACA, among other things, increased the minimum Medicaid rebates owed by manufacturers under the MDRP, extended manufacturer rebate liability from fee-for-service Medicaid utilization to include the utilization of Medicaid managed care organizations and established annual fees and taxes on manufacturers of certain branded prescription drugs. Since its enactment, certain provisions of the ACA have been subject to judicial, executive, and legislative challenges. For example, on June 17, 2021, the U.S. Supreme Court dismissed the most recent judicial challenge to the ACA brought by several states without specifically ruling on the constitutionality of the ACA. There have also been ongoing changes to the implementation of the ACA since its adoption. For example, the availability of enhanced premium tax credits and other subsidies under the ACA expired as of December 31, 2025, and absent legislative action to reinstate or replace them, many individuals may experience higher out-of-pocket premium costs. These changes could result in an increase in uninsured or underinsured patients, which could negatively affect patients’ ability or willingness to start or continue treatment with our products or future product candidates, if successfully developed and approved, or may otherwise increase prescription abandonment rates or place greater downward pressure on drug pricing generally.</w:t>
      </w:r>
    </w:p>
    <w:p>
      <w:pPr>
        <w:pStyle w:val="TextBody"/>
        <w:bidi w:val="0"/>
        <w:spacing w:lineRule="auto" w:line="288" w:before="0" w:after="180"/>
        <w:ind w:left="0" w:right="0" w:firstLine="360"/>
        <w:jc w:val="left"/>
        <w:rPr/>
      </w:pPr>
      <w:r>
        <w:rPr>
          <w:rFonts w:ascii="Times New Roman;serif" w:hAnsi="Times New Roman;serif"/>
          <w:b w:val="false"/>
          <w:color w:val="000000"/>
          <w:sz w:val="20"/>
        </w:rPr>
        <w:t>Moreover, on January 1, 2025, XPHOZAH, along with other oral drugs for ESRD patients on dialysis without injectable or intravenous equivalents, became part of the ESRD PPS and coverage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in the U.S. since the ACA was enacted. These laws, among other things, included aggregate reductions of Medicare payments to providers that will remain in effect through 2032,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AMP.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2022, the IRA was signed into law in August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redesigns the Medicare Part D benefit; and replaces the Part D coverage gap discount program with a new manufacturer discount program. CMS has published the negotiated prices for the initial ten drugs, which went into effect in January 2026, and the subsequent 15 drugs, which will first be effective in 2027. CMS has also published the next set of 15 drugs that will be subject to negotiation. The IRA permits the Secretary of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us and the pharmaceutical industry cannot yet be fully determined, it is likely to be significant.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our partner’s products or of any product candidate that we commercialize.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administration is pursuing a two-fold strategy to reduce drug costs in the U.S. While it is unclear whether and how these proposals will be implemented, the current administration’s policies are likely to have a negative impact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pharmaceutical industry and on our ability to receive adequate revenues for IBSRELA and XPHOZAH.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entered into confidential pricing agreements with the federal government. On the other hand, the current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after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agency or other requirements, may result in,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warning or untitled letters or fines;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or revocation of existing regulatory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of any of our ongoing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refusal to approve pending applications or supplements to approved applications submitted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our or our CMOs’ operations;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FDA’s ability to perform routine functions. For example, over the last several years, the U.S. government has shut down several times, including October 2025 and November 2025 and a subsequent partial government shutdown in January and February 2026, and certain regulatory agencies, such as the FDA, have had to furlough FDA employees and suspend certain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drugs to be reviewed and/or approved by necessary government agencies, which would adversely affect our business. If a prolonged government shutdown occurs or continues,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FDA and other regulatory agencies through their facilities inspection programs. In addition, before approving an NDA, the facilities and quality systems of some, or all, of the relevant CMOs must pass a pre-approval inspection for compliance with the applicable regulations as a condition of regulatory approval of our product candidates. The FDA will not approve a product candidate unless it determines that the manufacturing processes and facilities are in compliance with cGMP requirements and are adequate to assure consistent production of the product within required specifications. In addition, the regulatory authorities may, at any time, audit or inspect a manufacturing facility involved with the manufacture of our product or the associated quality systems for compliance with the regulations applicable to the activities being conducted. We enter into quality agreements with our CMOs, pursuant to which we expect our CMOs to comply with cGMPs and applicable regulatory requirements. Although we oversee the CMOs, we cannot control the manufacturing process of, and are completely 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direct control over the ability of our CMOs to maintain adequate quality control, quality assurance and qualified personnel. If our CMOs cannot successfully manufacture material that conforms to our specifications and the strict requirements of relevant regulatory authorities, and pass regulatory inspections, on the timelines we expect or at all, they will not be able to secure and/or maintain regulatory approval for their manufacturing facilities with respect to our products, which could materially impact our ability to supply product and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may result in delays to our desired clinical and commercial timelines.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or are found to have failed to comply with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regulations relating to the promotion of products for unapproved uses and the design and implementation of patient assistance programs are complex and subject to substantial interpretation by the FDA and other government agencies. With respect to the commercialization of IBSRELA and/or XPHOZAH, we are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brought by current or former employees. In a qui tam suit, the government must decide whether to intervene and prosecute the case. If it declines, the individual may pursue the case alone.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FDA or any other governmental agency initiates an enforcement action against us or if we are the subject of a qui tam suit and it is determined that we violated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regulatory approvals in foreign jurisdictions would prevent us from marketing our products internationally.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European and other foreign law equivalents of each of the laws, including reporting requirements detailing interactions with and payments to healthcare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clinical trials to be conducted prior to obtaining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manufacturing methods;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recall, replacement, or discontinuance of one or more of our products;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record keeping.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HHS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and Medicare Part B. Failure to make necessary disclosures and/or to identify overpayments could result in allegations against us under the Federal False Claims Act and other laws and regulations.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IRA imposes rebates under Medicare Part B and Medicare Part D that are triggered by price increases that outpace inflation, as described under “—</w:t>
      </w:r>
      <w:r>
        <w:rPr>
          <w:rFonts w:ascii="Times New Roman;serif" w:hAnsi="Times New Roman;serif"/>
          <w:b w:val="false"/>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r>
        <w:rPr>
          <w:color w:val="000000"/>
        </w:rPr>
        <w:t xml:space="preserve">” </w:t>
      </w:r>
      <w:r>
        <w:rPr>
          <w:rFonts w:ascii="Times New Roman;serif" w:hAnsi="Times New Roman;serif"/>
          <w:b w:val="false"/>
          <w:color w:val="000000"/>
          <w:sz w:val="20"/>
        </w:rPr>
        <w:t>The Medicare Part D rebate, if applicable, will be calculated on the basis of the AMP figures we report pursuant to the MDRP.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Federal law requires that a manufacturer that participates in the MDRP also participate in the 340B program in order for federal funds to be available for the manufacturer’s covered outpatient drugs under Medicaid and Medicare Part B. We participate in the 340B program, which is administered by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pursue claims against participating manufacturers for overcharges, and through which manufacturers may pursue claims against 340B covered entities for engaging in unlawful diversion or duplicate discounting of 340B drugs.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be eligible to have drug products paid for with federal funds under Medicaid and Medicare Part B and purchased by certain federal agencies and grantees, we also participate in the U.S. VA/FSS pricing program. Under the VA/FSS program, we are obligated to report the Non-FAMP for our covered drugs to the VA and charge certain federal agencies no more than the Federal Ceiling Price (FCP), which is calculated based on Non-FAMP using a statutory formula. These four agencies are the VA, the U.S. Department of Defense, the U.S. Coast Guard and the U.S. Public Health Service (including the Indian Health Service).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If we fail to provide timely information or are found to have knowingly submitted false information, we may be subject to civil monetary penalties.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XPHOZAH. We cannot offer any assurances that our submissions will not be found to be incomplete or incorrect.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will depend on our ability to obtain, maintain and protect our intellectual property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U.S.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challenged patents will ultimately be found to be valid and enforceable;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develop additional proprietary technologies or products that are separately patentable;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infringement claims against us, third parties may also raise similar claims before administrative bodies in the U.S. or abroad. Such mechanisms include reexamination, post grant review, inter partes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composition and use of IBSRELA and XPHOZAH are currently claimed by patents that are listed in the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XPHOZAH or any of our future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Hatch-Waxman Act provides non-patent regulatory exclusivity for five years from the date of the first FDA approval of a drug containing an NCE. The FDA is prohibited during those five years from approving an ANDA or 505(b)(2) NDA that references the NDA that has been granted NCE exclusivity. However, if any patents are listed in the FDA Orange Book for such NCE-containing drug, a follow-on product manufacturer may file an ANDA or 505(b)(2) NDA that references an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FDA from approving, another full 505(b)(1) NDA for an already-approved drug where the third party has conducted its own pre-clinical and clinical trials to independently demonstrate safety and effectiveness without reliance on the original NDA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cases where NCE exclusivity has been granted for an NDA, as in the case of IBSRELA and XPHOZAH, if an ANDA or 505(b)(2) sponsor has provided a Paragraph IV certification to the FDA when filing its application, the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FDA from approving the ANDA or 505(b)(2) NDA until the earlier of 30 months after the NCE NDA owner’s receipt of the Paragraph IV certification notice, a final decision in the infringement case in favor of the ANDA or 505(b)(2) sponsor, or another date established by the court. There can be no assurances that an ANDA or 505(b)(2) NDA that references our IBSRELA or XPHOZAH NDAs and includes a Paragraph IV certification will not be filed, or that we will be successful in enforcing our Orange Book listed patents against such ANDA or 505(b)(2) sponsor. Furthermore, any Paragraph IV litigation, whether settled or litigated to resolution, could involve substantial expense, result in patent invalidation, trigger earlier-than-expected generic entry, or expose us to legal and regulatory challenges under federal and state antitrust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third parties, we will not be able to establish or maintain a competitive advantage in our market, which could materially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 Patent No. 8,541,448 covering tenapanor was subject to patent term adjustment under the American Inventors Protection Act for delays by the USPTO in granting the patent. Additionally, following the approval by the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There could also be delays at the USPTO caused by staffing cuts and other U.S. government actions as a result of the U.S. Department of Government Efficiency or other executive actions to reduce the size of the U.S. government. In such an event, competitors might be able to enter the market earlier than would otherwise have been the case.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enforce our intellectual property rights throughout the world.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European Union’s (EU) new Unified Patent Court (UPC), which took effect on June 1, 2023, may, in particular, present uncertainties for our ability to protect and enforce our patent rights against competitors in Europe, including those based on European patent applications filed after introduction of the new system. Under the new system, the proprietor of a European patent can opt for that patent to become a unitary patent which will cover all of the EU states that have ratified the Agreement on the Unified Patent Court at that point in time (hereinafter referred to as UPC Countries), and the European patent will then be subject to the jurisdiction of the UPC. During a transition period of the first seven years of the UPC's existence (which under the current legislation could potentially be extended by the Administrative Committee of the UPC for up to seven additional years), European patent applications can be opted out of the jurisdiction of the UPC, and validated as exclusively national patents in any one or more of the UPC Countries, even if those patents grant after the end of the transition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decide to opt out future European patents from the UPC, but doing so may preclude us from realizing some benefits of the UPC. If we do opt a European patent out of the jurisdiction of the UPC, we may decide to opt that European patent back into the jurisdiction of the UPC in the future if we do wish to take advantage of certain benefits of the UPC, but we will only be able to do this if no actions have been brought before a national court in relation to the European patent concerned. In addition, if we do not meet all of the formalities and requirements for opt-out under the UPC, our future European patents could remain under the jurisdiction of the UPC.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decide not to opt out of future European Patents from the UPC, but not opting out will put our European patent under the jurisdiction of the UPC for all UPC Countries and we will still be required to validate the European patent in countries that are not signatories to the unitary patent system, such as Spain, Switzerland and the United Kingdom, and failure to validate would prevent us from securing patent rights in those countries. European patents that are under the jurisdiction of the UPC may be challenged in a single UPC-based revocation proceeding that could invalidate the patent in all UPC countries.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UPC will also provide our competitors with a new forum to centrally revoke our European patents, and allow for the possibility of a competitor to obtain pan-European injunction against us in infringement proceedings, in at least all countries which are signatories to the UPC. Further, because the UPC is a new court system having little established precedent for the court's decisions, there is increased uncertainty regarding the outcome of any patent litigation. We are unable to predict what impact the new patent regime may have on our ability to exclude competitors in the European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would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Unauthorized parties may also attempt to copy or reverse engineer certain aspects of our products that we consider proprietary. We may not be able to obtain adequate remedies in the event of such unauthorized use. Enforcing a claim that a 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If any of these events occurs or if we otherwise lose protection for our trade secrets, the value of such information may be greatly reduced and our competitive position, business, financial condition, results of operations and prospects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or future registered or unregistered trademarks or trade names may be challenged, infringed, circumvented or declared generic or descriptive, cancelled or determined to be infringing on other marks. We may not be able to protect or 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 price may continue to be volatile and our stockholders may not be able to resell shares of our common stock at or above the price they paid.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or lack of success with regards to our commercialization of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regarding coverage and reimbursement for XPHOZAH alone or with other oral ESRD-related drugs without injectable or intravenous equivalents;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regarding the results of clinical trials we may run evaluating tenapanor for CIC, RDX10531 or any other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relating to our current or future collaboration partnerships;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of therapeutic innovations or new products or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or developments in laws or regulations applicable to our approved products 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meet any of our projected timelines or goals with regard to the commercialization of IBSRELA and XPHOZAH, or the clinical development and commercialization of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acquire or license or discover additional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intellectual property infringement actions in which we may become involved;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obtain adequate intellectual property protection for our products and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concerning our competitors or the pharmaceutical industry in general;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achievement of expected product sales and profitability;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manufacture, supply or distribution shortages;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FDA or other U.S. or foreign regulatory actions affecting us or our industry or other healthcare reform measures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our common stock by us, our executive officers and directors or our stockholders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debt securities and sales or licensing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market conditions and overall fluctuations in the U.S. equity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loss of any of our key scientific or management personnel.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sell shares of our common stock in future financings, stockholders may experience immediate dilution and, as a result, our stock price may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adversely affected by the global economic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geopolitical tensions,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alter our bylaws without obtaining stockholder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these provisions would apply even if we were to receive an offer that some stockholders may consider beneficial.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intend to pay any cash dividends on our common stock for the foreseeable future. We currently intend to invest our future earnings, if any, to fund our future business opportunities. Additionally, the terms of our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Section 16 officer or director adopted or terminated any contracts, instructions or written plans for the purchase or sale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1830"/>
        <w:gridCol w:w="1511"/>
        <w:gridCol w:w="1516"/>
        <w:gridCol w:w="109"/>
        <w:gridCol w:w="109"/>
        <w:gridCol w:w="109"/>
        <w:gridCol w:w="195"/>
        <w:gridCol w:w="195"/>
        <w:gridCol w:w="196"/>
        <w:gridCol w:w="112"/>
        <w:gridCol w:w="112"/>
        <w:gridCol w:w="112"/>
        <w:gridCol w:w="187"/>
        <w:gridCol w:w="187"/>
        <w:gridCol w:w="191"/>
        <w:gridCol w:w="112"/>
        <w:gridCol w:w="112"/>
        <w:gridCol w:w="112"/>
        <w:gridCol w:w="265"/>
        <w:gridCol w:w="265"/>
        <w:gridCol w:w="266"/>
        <w:gridCol w:w="109"/>
        <w:gridCol w:w="109"/>
        <w:gridCol w:w="109"/>
        <w:gridCol w:w="271"/>
        <w:gridCol w:w="271"/>
        <w:gridCol w:w="39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06/24/2014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06/20/2023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08/04/2025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630xex101.htm">
              <w:r>
                <w:rPr>
                  <w:rStyle w:val="InternetLink"/>
                  <w:rFonts w:ascii="Times New Roman;serif" w:hAnsi="Times New Roman;serif"/>
                  <w:b w:val="false"/>
                  <w:color w:val="0000FF"/>
                  <w:sz w:val="20"/>
                  <w:u w:val="single"/>
                </w:rPr>
                <w:t>First Amendment to the Commercial Supply Agreement, dated May 11, 2026, by and between the Company and Catalent Pharma Solutions,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630xex102.htm">
              <w:r>
                <w:rPr>
                  <w:rStyle w:val="InternetLink"/>
                  <w:rFonts w:ascii="Times New Roman;serif" w:hAnsi="Times New Roman;serif"/>
                  <w:b w:val="false"/>
                  <w:color w:val="0000FF"/>
                  <w:sz w:val="20"/>
                  <w:u w:val="single"/>
                </w:rPr>
                <w:t>Second Amendment to the Manufacturing Services Agreement, dated May 15, 2026, by and between the Company and Patheon Pharmaceuticals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Second Amendment to the Ardelyx, Inc.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06/17/2026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630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630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630xex321.htm">
              <w:r>
                <w:rPr>
                  <w:rStyle w:val="InternetLink"/>
                  <w:rFonts w:ascii="Times New Roman;serif" w:hAnsi="Times New Roman;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formatted in Inline Extensible Business Reporting Language (XBRL): (i) Condensed Balance Sheets as of June 30, 2026 and December 31, 2025, (ii) Condensed Statements of Operations and Comprehensive Loss for the three and six months ended June 30, 2026 and 2025, (iii) Condensed Statements of Changes in Stockholders’ Equity for the three and six months ended June 30, 2026 and 2025, (iv) Condensed Statements of Cash Flows for the six months ended June 30, 2026 and 2025, and (v)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20"/>
        </w:rPr>
        <w:t>Certain portions of this exhibit have been redacted pursuant to Item 601(b)(10) of Regulation S-K. A copy of the omitted portions will be furnished supplementally to the SEC upon request.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that accompany this Quarterly Report on Form 10-Q are deemed furnished and not filed with the SEC and are not to be incorporated by reference into any filing of Ardelyx,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20" w:type="dxa"/>
        <w:jc w:val="left"/>
        <w:tblInd w:w="0" w:type="dxa"/>
        <w:tblLayout w:type="fixed"/>
        <w:tblCellMar>
          <w:top w:w="28" w:type="dxa"/>
          <w:left w:w="28" w:type="dxa"/>
          <w:bottom w:w="28" w:type="dxa"/>
          <w:right w:w="28" w:type="dxa"/>
        </w:tblCellMar>
      </w:tblPr>
      <w:tblGrid>
        <w:gridCol w:w="667"/>
        <w:gridCol w:w="587"/>
        <w:gridCol w:w="590"/>
        <w:gridCol w:w="199"/>
        <w:gridCol w:w="199"/>
        <w:gridCol w:w="199"/>
        <w:gridCol w:w="1466"/>
        <w:gridCol w:w="1466"/>
        <w:gridCol w:w="1493"/>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Ardelyx, Inc.</w:t>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Joseph Reilly</w:t>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Joseph Reilly</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Vice President and Chief Accounting Officer</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(Principal Accounting Officer)</w:t>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283"/>
        <w:jc w:val="both"/>
        <w:rPr/>
      </w:pPr>
      <w:hyperlink w:anchor="i9d67f18782a747c1bc46268c0f599179_10">
        <w:r>
          <w:rPr>
            <w:rStyle w:val="InternetLink"/>
          </w:rPr>
          <w:t>Table of Content</w:t>
        </w:r>
      </w:hyperlink>
      <w:hyperlink w:anchor="i9d67f18782a747c1bc46268c0f599179_10">
        <w:r>
          <w:rPr>
            <w:rStyle w:val="InternetLink"/>
          </w:rPr>
          <w: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SUMMARY OF ABBREVIATED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we have used terms which are defined below:</w:t>
      </w:r>
    </w:p>
    <w:tbl>
      <w:tblPr>
        <w:tblW w:w="10205" w:type="dxa"/>
        <w:jc w:val="center"/>
        <w:tblInd w:w="0" w:type="dxa"/>
        <w:tblLayout w:type="fixed"/>
        <w:tblCellMar>
          <w:top w:w="28" w:type="dxa"/>
          <w:left w:w="28" w:type="dxa"/>
          <w:bottom w:w="28" w:type="dxa"/>
          <w:right w:w="28" w:type="dxa"/>
        </w:tblCellMar>
      </w:tblPr>
      <w:tblGrid>
        <w:gridCol w:w="501"/>
        <w:gridCol w:w="436"/>
        <w:gridCol w:w="277"/>
        <w:gridCol w:w="1430"/>
        <w:gridCol w:w="1317"/>
        <w:gridCol w:w="1321"/>
        <w:gridCol w:w="411"/>
        <w:gridCol w:w="345"/>
        <w:gridCol w:w="350"/>
        <w:gridCol w:w="1236"/>
        <w:gridCol w:w="1066"/>
        <w:gridCol w:w="1515"/>
      </w:tblGrid>
      <w:tr>
        <w:trPr/>
        <w:tc>
          <w:tcPr>
            <w:tcW w:w="50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2025 Form 10-K</w:t>
            </w:r>
          </w:p>
        </w:tc>
        <w:tc>
          <w:tcPr>
            <w:tcW w:w="4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Annual Report on Form 10-K for the year ended December 31, 2025 filed with the SEC on February 19, 2026</w:t>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HCR</w:t>
            </w:r>
          </w:p>
        </w:tc>
        <w:tc>
          <w:tcPr>
            <w:tcW w:w="3817"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HealthCare Royalty Partners IV, L.P.</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340B Program</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Health Service’s 340B Drug Pricing Program</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HCR Agreement</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and Sales Milestone Interest Acquisition Agreement</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AAKP</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Association of Kidney Patients</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HHS</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Health and Human Services</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ACA</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Affordable Care Act</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HIPAA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Insurance Portability and Accountability Act of 1996, as amended, and regulations promulgated thereunder</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Technologies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Artificial intelligence (AI), machine learning, and automated decision-making technologies, (collectively, AI Technologies) </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HRSA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Resources and Services Administration</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manufacturer price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IBS-C</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irritable bowel syndrome with constipation</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abbreviated New Drug Application</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Investigational New Drug</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API</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pharmaceutical ingredient</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Reduction Act of 2022</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 AB</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IRB</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Review Board</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CCPA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California Consumer Privacy Act, as amended by the California Privacy Rights Act</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Jefferies LLC</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cGMP</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Good Manufacturing Practice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 Therapeutics, Inc.</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CIC</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chronic idiopathic constipation</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 Co., Ltd.</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CKD</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chronic kidney disease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MDRP</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Medicaid Drug Rebate Program</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CME</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Mercantile Exchange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MIPPA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Improvements for Patients and</w:t>
              <w:br/>
              <w:t>Providers Act</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CMO</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 organization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 Therapeutics, Inc.</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Centers for Medicare &amp; Medicaid Services</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MHLW</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Ministry of Health, Labour and Welfare</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research organization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NCE</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chemical entity</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collectively, major wholesalers, specialty pharmacies and GPOs (IBSRELA) and specialty wholesaler (XPHOZAH)</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NDA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Drug Application</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DPF</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EU-US Data Privacy Framework</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NHE3</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sodium hydrogen exchange 3</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EEA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Economic Area</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NMPA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Medical Products Administration</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NMQF</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Minority Quality Forum</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NOL</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 PPS</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 Prospective Payment System</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Non-FAMP</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Non-Federal Average Manufacturer Price</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Patent Package</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Patent Package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OLC</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Oxylanthanum Carbonate</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Securities Exchange Act of 1934, as amended</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REMS</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Evaluation and Mitigation Strategy</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FDA</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Drug Administration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FFDCA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Food, Drug, and Cosmetic Act</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Fosun Pharma</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Shanghai Fosun Pharmaceutical Industrial Development Co. Ltd.</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SLR</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SLR Investment Corp.</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FSS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Supply Schedule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FTC</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Trade Commission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TDAPA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Transitional Drug Add-on Payment Adjustment</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GCP</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Clinical Practice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UPC</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Unified Patent Court</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GDPR</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Union General Data Protection Regulation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GLP</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Laboratory Practice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USPTO</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Patent and Trademark Office</w:t>
            </w:r>
          </w:p>
        </w:tc>
      </w:tr>
      <w:tr>
        <w:trP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GPO</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purchasing organization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Veterans Affairs</w:t>
            </w:r>
          </w:p>
        </w:tc>
      </w:tr>
      <w:tr>
        <w:trPr/>
        <w:tc>
          <w:tcPr>
            <w:tcW w:w="1214"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GTN</w:t>
            </w:r>
          </w:p>
        </w:tc>
        <w:tc>
          <w:tcPr>
            <w:tcW w:w="406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gross-to-net</w:t>
            </w:r>
          </w:p>
        </w:tc>
        <w:tc>
          <w:tcPr>
            <w:tcW w:w="11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929292"/>
          <w:sz w:val="24"/>
        </w:rPr>
      </w:pPr>
      <w:r>
        <w:rPr>
          <w:rFonts w:ascii="Times New Roman;serif" w:hAnsi="Times New Roman;serif"/>
          <w:b/>
          <w:color w:val="929292"/>
          <w:sz w:val="24"/>
        </w:rPr>
        <w:t>CERTAIN IDENTIFIED INFORMATION, MARKED BY [***], HAS BEEN EXCLUDED FROM THE EXHIBIT BECAUSE IT IS BOTH (I) NOT MATERIAL AND (II) IS THE TYPE THAT THE COMPANY TREATS AS PRIVATE OR CONFIDENTIAL.</w:t>
      </w:r>
    </w:p>
    <w:p>
      <w:pPr>
        <w:pStyle w:val="TextBody"/>
        <w:bidi w:val="0"/>
        <w:spacing w:lineRule="auto" w:line="288" w:before="0" w:after="0"/>
        <w:ind w:left="0" w:right="0" w:hanging="26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AMENDMENT No. 1 TO COMMERCIAL SUPPLY AGREEMENT </w:t>
      </w:r>
    </w:p>
    <w:p>
      <w:pPr>
        <w:pStyle w:val="TextBody"/>
        <w:bidi w:val="0"/>
        <w:spacing w:lineRule="auto" w:line="288" w:before="0" w:after="240"/>
        <w:jc w:val="both"/>
        <w:rPr/>
      </w:pPr>
      <w:r>
        <w:rPr>
          <w:rFonts w:ascii="Times New Roman;serif" w:hAnsi="Times New Roman;serif"/>
          <w:b w:val="false"/>
          <w:color w:val="000000"/>
          <w:sz w:val="24"/>
        </w:rPr>
        <w:t>This Amendment No. 1 to the Commercial</w:t>
      </w:r>
      <w:r>
        <w:rPr>
          <w:color w:val="000000"/>
        </w:rPr>
        <w:t xml:space="preserve"> </w:t>
      </w:r>
      <w:r>
        <w:rPr>
          <w:rFonts w:ascii="Times New Roman;serif" w:hAnsi="Times New Roman;serif"/>
          <w:b w:val="false"/>
          <w:color w:val="000000"/>
          <w:sz w:val="24"/>
        </w:rPr>
        <w:t>Supply Agreement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effective as of May 11</w:t>
      </w:r>
      <w:r>
        <w:rPr>
          <w:rFonts w:ascii="Times New Roman;serif" w:hAnsi="Times New Roman;serif"/>
          <w:b w:val="false"/>
          <w:color w:val="000000"/>
          <w:sz w:val="16"/>
        </w:rPr>
        <w:t>th</w:t>
      </w:r>
      <w:r>
        <w:rPr>
          <w:rFonts w:ascii="Times New Roman;serif" w:hAnsi="Times New Roman;serif"/>
          <w:b w:val="false"/>
          <w:color w:val="000000"/>
          <w:sz w:val="24"/>
        </w:rPr>
        <w:t>, 2026 (“</w:t>
      </w:r>
      <w:r>
        <w:rPr>
          <w:rFonts w:ascii="Times New Roman;serif" w:hAnsi="Times New Roman;serif"/>
          <w:b/>
          <w:color w:val="000000"/>
          <w:sz w:val="24"/>
        </w:rPr>
        <w:t>Amendment No. 1 Effective Date</w:t>
      </w:r>
      <w:r>
        <w:rPr>
          <w:color w:val="000000"/>
        </w:rPr>
        <w:t>”</w:t>
      </w:r>
      <w:r>
        <w:rPr>
          <w:rFonts w:ascii="Times New Roman;serif" w:hAnsi="Times New Roman;serif"/>
          <w:b w:val="false"/>
          <w:color w:val="000000"/>
          <w:sz w:val="24"/>
        </w:rPr>
        <w:t>) by and between</w:t>
      </w:r>
      <w:r>
        <w:rPr>
          <w:color w:val="000000"/>
        </w:rPr>
        <w:t xml:space="preserve"> </w:t>
      </w:r>
      <w:r>
        <w:rPr>
          <w:rFonts w:ascii="Times New Roman;serif" w:hAnsi="Times New Roman;serif"/>
          <w:b w:val="false"/>
          <w:color w:val="000000"/>
          <w:sz w:val="24"/>
        </w:rPr>
        <w:t>Ardelyx, Inc., a Delaware corporation, having a place of business at 400 Fifth Avenue, Suite 210, Waltham, Massachusetts 02451, U.S.A. (“</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and Catalent Pharma Solutions, LLC, a Delaware limited liability company, having a place of business at 200 Crossing Blvd., Floor 7, Bridgewater, New Jersey 08807, U.S.A. (“</w:t>
      </w:r>
      <w:r>
        <w:rPr>
          <w:rFonts w:ascii="Times New Roman;serif" w:hAnsi="Times New Roman;serif"/>
          <w:b/>
          <w:color w:val="000000"/>
          <w:sz w:val="24"/>
        </w:rPr>
        <w:t>Catalent</w:t>
      </w:r>
      <w:r>
        <w:rPr>
          <w:color w:val="000000"/>
        </w:rPr>
        <w:t>”</w:t>
      </w:r>
      <w:r>
        <w:rPr>
          <w:rFonts w:ascii="Times New Roman;serif" w:hAnsi="Times New Roman;serif"/>
          <w:b w:val="false"/>
          <w:color w:val="000000"/>
          <w:sz w:val="24"/>
        </w:rPr>
        <w:t>). This Amendment refers to Catalent and Client individually as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0" w:after="240"/>
        <w:jc w:val="both"/>
        <w:rPr/>
      </w:pPr>
      <w:r>
        <w:rPr>
          <w:rFonts w:ascii="Times New Roman;serif" w:hAnsi="Times New Roman;serif"/>
          <w:b/>
          <w:color w:val="000000"/>
          <w:sz w:val="24"/>
        </w:rPr>
        <w:t>WHEREAS</w:t>
      </w:r>
      <w:r>
        <w:rPr>
          <w:rFonts w:ascii="Times New Roman;serif" w:hAnsi="Times New Roman;serif"/>
          <w:b w:val="false"/>
          <w:color w:val="000000"/>
          <w:sz w:val="24"/>
        </w:rPr>
        <w:t>, Client and Catalent are Parties to the Commercial Supply Agreement dated July 23</w:t>
      </w:r>
      <w:r>
        <w:rPr>
          <w:rFonts w:ascii="Times New Roman;serif" w:hAnsi="Times New Roman;serif"/>
          <w:b w:val="false"/>
          <w:color w:val="000000"/>
          <w:sz w:val="16"/>
        </w:rPr>
        <w:t>rd</w:t>
      </w:r>
      <w:r>
        <w:rPr>
          <w:rFonts w:ascii="Times New Roman;serif" w:hAnsi="Times New Roman;serif"/>
          <w:b w:val="false"/>
          <w:color w:val="000000"/>
          <w:sz w:val="24"/>
        </w:rPr>
        <w:t>, 2024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jc w:val="both"/>
        <w:rPr/>
      </w:pPr>
      <w:r>
        <w:rPr>
          <w:rFonts w:ascii="Times New Roman;serif" w:hAnsi="Times New Roman;serif"/>
          <w:b/>
          <w:color w:val="000000"/>
          <w:sz w:val="24"/>
        </w:rPr>
        <w:t>WHEREAS</w:t>
      </w:r>
      <w:r>
        <w:rPr>
          <w:rFonts w:ascii="Times New Roman;serif" w:hAnsi="Times New Roman;serif"/>
          <w:b w:val="false"/>
          <w:color w:val="000000"/>
          <w:sz w:val="24"/>
        </w:rPr>
        <w:t>, Catalent and Client wish to amend certain terms of the Agreement, and include new Product strengths to the Agreement.</w:t>
      </w:r>
    </w:p>
    <w:p>
      <w:pPr>
        <w:pStyle w:val="TextBody"/>
        <w:bidi w:val="0"/>
        <w:spacing w:lineRule="auto" w:line="288" w:before="0" w:after="24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terms, and conditions set forth below, the Parties agree as follows:</w:t>
      </w:r>
    </w:p>
    <w:p>
      <w:pPr>
        <w:pStyle w:val="TextBody"/>
        <w:bidi w:val="0"/>
        <w:spacing w:lineRule="auto" w:line="288" w:before="0" w:after="240"/>
        <w:ind w:left="0" w:right="0" w:hanging="36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Capitalized Terms</w:t>
      </w:r>
      <w:r>
        <w:rPr>
          <w:rFonts w:ascii="Times New Roman;serif" w:hAnsi="Times New Roman;serif"/>
          <w:b w:val="false"/>
          <w:color w:val="000000"/>
          <w:sz w:val="24"/>
        </w:rPr>
        <w:t>. Capitalized terms used in this Amendment and not otherwise defined herein shall have the meanings ascribed to such terms in the Agreement. For clarity, the term “Agreement” as used in the Agreement and herein shall mean the Agreement as amended hereby.</w:t>
      </w:r>
    </w:p>
    <w:p>
      <w:pPr>
        <w:pStyle w:val="TextBody"/>
        <w:bidi w:val="0"/>
        <w:spacing w:lineRule="auto" w:line="288" w:before="0" w:after="240"/>
        <w:ind w:left="0" w:right="0" w:hanging="36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Amendment to Agreement</w:t>
      </w:r>
      <w:r>
        <w:rPr>
          <w:rFonts w:ascii="Times New Roman;serif" w:hAnsi="Times New Roman;serif"/>
          <w:b w:val="false"/>
          <w:color w:val="000000"/>
          <w:sz w:val="24"/>
        </w:rPr>
        <w:t xml:space="preserve">. </w:t>
      </w:r>
    </w:p>
    <w:p>
      <w:pPr>
        <w:pStyle w:val="TextBody"/>
        <w:bidi w:val="0"/>
        <w:spacing w:lineRule="auto" w:line="288" w:before="0" w:after="24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2.1.    Section 1.20 of the Agreement is hereby deleted in its entirety and replaced with the following:</w:t>
      </w:r>
    </w:p>
    <w:p>
      <w:pPr>
        <w:pStyle w:val="TextBody"/>
        <w:bidi w:val="0"/>
        <w:spacing w:lineRule="auto" w:line="288" w:before="0" w:after="240"/>
        <w:jc w:val="left"/>
        <w:rPr/>
      </w:pPr>
      <w:r>
        <w:rPr>
          <w:rFonts w:ascii="Times New Roman;serif" w:hAnsi="Times New Roman;serif"/>
          <w:b w:val="false"/>
          <w:i/>
          <w:color w:val="000000"/>
          <w:sz w:val="24"/>
        </w:rPr>
        <w:t>1.20    “</w:t>
      </w:r>
      <w:r>
        <w:rPr>
          <w:rFonts w:ascii="Times New Roman;serif" w:hAnsi="Times New Roman;serif"/>
          <w:b/>
          <w:i/>
          <w:color w:val="000000"/>
          <w:sz w:val="24"/>
        </w:rPr>
        <w:t>Commencement Date</w:t>
      </w:r>
      <w:r>
        <w:rPr>
          <w:color w:val="000000"/>
        </w:rPr>
        <w:t xml:space="preserve">” </w:t>
      </w:r>
      <w:r>
        <w:rPr>
          <w:rFonts w:ascii="Times New Roman;serif" w:hAnsi="Times New Roman;serif"/>
          <w:b w:val="false"/>
          <w:i/>
          <w:color w:val="000000"/>
          <w:sz w:val="24"/>
        </w:rPr>
        <w:t xml:space="preserve">means, with respect to each Product Brand separately, the first date upon which Client receives all Regulatory Approvals required for sale in the first market in the Territory of each Product Processed by Catalent at the Facility. For the avoidance of doubt, the Commencement Date shall be recorded by way of written document (substantially in the form of Attachment A1 and Attachment A2) within 3 months after the occurrence of the first relevant Regulatory Authority approval for each Product Brand, signed by both Parties, and attached as </w:t>
      </w:r>
      <w:r>
        <w:rPr>
          <w:rFonts w:ascii="Times New Roman;serif" w:hAnsi="Times New Roman;serif"/>
          <w:b w:val="false"/>
          <w:i/>
          <w:color w:val="000000"/>
          <w:sz w:val="24"/>
          <w:u w:val="single"/>
        </w:rPr>
        <w:t>Attachment A1</w:t>
      </w:r>
      <w:r>
        <w:rPr>
          <w:color w:val="000000"/>
        </w:rPr>
        <w:t xml:space="preserve"> </w:t>
      </w:r>
      <w:r>
        <w:rPr>
          <w:rFonts w:ascii="Times New Roman;serif" w:hAnsi="Times New Roman;serif"/>
          <w:b w:val="false"/>
          <w:i/>
          <w:color w:val="008080"/>
          <w:sz w:val="24"/>
        </w:rPr>
        <w:t>f</w:t>
      </w:r>
      <w:r>
        <w:rPr>
          <w:rFonts w:ascii="Times New Roman;serif" w:hAnsi="Times New Roman;serif"/>
          <w:b w:val="false"/>
          <w:i/>
          <w:color w:val="000000"/>
          <w:sz w:val="24"/>
        </w:rPr>
        <w:t xml:space="preserve">or the Ibsrela® Product Brand and as </w:t>
      </w:r>
      <w:r>
        <w:rPr>
          <w:rFonts w:ascii="Times New Roman;serif" w:hAnsi="Times New Roman;serif"/>
          <w:b w:val="false"/>
          <w:i/>
          <w:color w:val="000000"/>
          <w:sz w:val="24"/>
          <w:u w:val="single"/>
        </w:rPr>
        <w:t>Attachment A2</w:t>
      </w:r>
      <w:r>
        <w:rPr>
          <w:color w:val="000000"/>
        </w:rPr>
        <w:t xml:space="preserve"> </w:t>
      </w:r>
      <w:r>
        <w:rPr>
          <w:rFonts w:ascii="Times New Roman;serif" w:hAnsi="Times New Roman;serif"/>
          <w:b w:val="false"/>
          <w:i/>
          <w:color w:val="000000"/>
          <w:sz w:val="24"/>
        </w:rPr>
        <w:t>for the Xphozah® Product Brand.</w:t>
      </w:r>
    </w:p>
    <w:p>
      <w:pPr>
        <w:pStyle w:val="TextBody"/>
        <w:bidi w:val="0"/>
        <w:spacing w:lineRule="auto" w:line="288" w:before="240" w:after="283"/>
        <w:ind w:left="0" w:right="0" w:hanging="432"/>
        <w:jc w:val="both"/>
        <w:rPr/>
      </w:pPr>
      <w:r>
        <w:rPr>
          <w:rFonts w:ascii="Times New Roman;serif" w:hAnsi="Times New Roman;serif"/>
          <w:b w:val="false"/>
          <w:color w:val="000000"/>
          <w:sz w:val="24"/>
        </w:rPr>
        <w:t xml:space="preserve">2.2.    Attachment A of the Agreement is hereby deleted in its entirety and replaced with the </w:t>
      </w:r>
      <w:r>
        <w:rPr>
          <w:rFonts w:ascii="Times New Roman;serif" w:hAnsi="Times New Roman;serif"/>
          <w:b w:val="false"/>
          <w:color w:val="000000"/>
          <w:sz w:val="24"/>
          <w:u w:val="single"/>
        </w:rPr>
        <w:t>Attachment A1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Attachment A2</w:t>
      </w:r>
      <w:r>
        <w:rPr>
          <w:color w:val="000000"/>
        </w:rPr>
        <w:t xml:space="preserve"> </w:t>
      </w:r>
      <w:r>
        <w:rPr>
          <w:rFonts w:ascii="Times New Roman;serif" w:hAnsi="Times New Roman;serif"/>
          <w:b w:val="false"/>
          <w:color w:val="000000"/>
          <w:sz w:val="24"/>
        </w:rPr>
        <w:t>attached hereto.</w:t>
      </w:r>
    </w:p>
    <w:p>
      <w:pPr>
        <w:pStyle w:val="TextBody"/>
        <w:bidi w:val="0"/>
        <w:spacing w:before="0" w:after="16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2.3.    Section 1.22 of the Agreement is hereby deleted in its entirety and replaced with the following:</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i/>
          <w:color w:val="000000"/>
          <w:sz w:val="24"/>
        </w:rPr>
        <w:t>1.22    “</w:t>
      </w:r>
      <w:r>
        <w:rPr>
          <w:rFonts w:ascii="Times New Roman;serif" w:hAnsi="Times New Roman;serif"/>
          <w:b/>
          <w:i/>
          <w:color w:val="000000"/>
          <w:sz w:val="24"/>
        </w:rPr>
        <w:t>Contract Year</w:t>
      </w:r>
      <w:r>
        <w:rPr>
          <w:color w:val="000000"/>
        </w:rPr>
        <w:t xml:space="preserve">” </w:t>
      </w:r>
      <w:r>
        <w:rPr>
          <w:rFonts w:ascii="Times New Roman;serif" w:hAnsi="Times New Roman;serif"/>
          <w:b w:val="false"/>
          <w:i/>
          <w:color w:val="000000"/>
          <w:sz w:val="24"/>
        </w:rPr>
        <w:t>means for each Product Brand separately, (i) for the first Contract Year, the partial 12-month period beginning on the Commencement Date for such Product and ending on December 31 thereafter (“</w:t>
      </w:r>
      <w:r>
        <w:rPr>
          <w:rFonts w:ascii="Times New Roman;serif" w:hAnsi="Times New Roman;serif"/>
          <w:b/>
          <w:i/>
          <w:color w:val="000000"/>
          <w:sz w:val="24"/>
        </w:rPr>
        <w:t>Contract Year 1</w:t>
      </w:r>
      <w:r>
        <w:rPr>
          <w:color w:val="000000"/>
        </w:rPr>
        <w:t>”</w:t>
      </w:r>
      <w:r>
        <w:rPr>
          <w:rFonts w:ascii="Times New Roman;serif" w:hAnsi="Times New Roman;serif"/>
          <w:b w:val="false"/>
          <w:i/>
          <w:color w:val="000000"/>
          <w:sz w:val="24"/>
        </w:rPr>
        <w:t>) and (ii) following Contract Year 1, each consecutive 12-month period beginning on January 1 and ending on December 31 (“</w:t>
      </w:r>
      <w:r>
        <w:rPr>
          <w:rFonts w:ascii="Times New Roman;serif" w:hAnsi="Times New Roman;serif"/>
          <w:b/>
          <w:i/>
          <w:color w:val="000000"/>
          <w:sz w:val="24"/>
        </w:rPr>
        <w:t>Contract Year 2</w:t>
      </w:r>
      <w:r>
        <w:rPr>
          <w:color w:val="000000"/>
        </w:rPr>
        <w:t>”</w:t>
      </w:r>
      <w:r>
        <w:rPr>
          <w:rFonts w:ascii="Times New Roman;serif" w:hAnsi="Times New Roman;serif"/>
          <w:b w:val="false"/>
          <w:i/>
          <w:color w:val="000000"/>
          <w:sz w:val="24"/>
        </w:rPr>
        <w:t>, “</w:t>
      </w:r>
      <w:r>
        <w:rPr>
          <w:rFonts w:ascii="Times New Roman;serif" w:hAnsi="Times New Roman;serif"/>
          <w:b/>
          <w:i/>
          <w:color w:val="000000"/>
          <w:sz w:val="24"/>
        </w:rPr>
        <w:t>Contract Year 3</w:t>
      </w:r>
      <w:r>
        <w:rPr>
          <w:color w:val="000000"/>
        </w:rPr>
        <w:t>”</w:t>
      </w:r>
      <w:r>
        <w:rPr>
          <w:rFonts w:ascii="Times New Roman;serif" w:hAnsi="Times New Roman;serif"/>
          <w:b w:val="false"/>
          <w:i/>
          <w:color w:val="000000"/>
          <w:sz w:val="24"/>
        </w:rPr>
        <w:t xml:space="preserve">, etc.). </w:t>
      </w:r>
    </w:p>
    <w:p>
      <w:pPr>
        <w:pStyle w:val="TextBody"/>
        <w:bidi w:val="0"/>
        <w:spacing w:lineRule="auto" w:line="288" w:before="240" w:after="16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2.4.    Section 1.45 of the Agreement is hereby deleted in its entirety and replaced with the following:</w:t>
      </w:r>
    </w:p>
    <w:p>
      <w:pPr>
        <w:pStyle w:val="TextBody"/>
        <w:bidi w:val="0"/>
        <w:spacing w:lineRule="auto" w:line="288" w:before="0" w:after="240"/>
        <w:jc w:val="both"/>
        <w:rPr/>
      </w:pPr>
      <w:r>
        <w:rPr>
          <w:color w:val="000000"/>
        </w:rPr>
        <w:t>“</w:t>
      </w:r>
      <w:r>
        <w:rPr>
          <w:rFonts w:ascii="Times New Roman;serif" w:hAnsi="Times New Roman;serif"/>
          <w:b/>
          <w:i/>
          <w:color w:val="000000"/>
          <w:sz w:val="24"/>
        </w:rPr>
        <w:t>Product</w:t>
      </w:r>
      <w:r>
        <w:rPr>
          <w:color w:val="000000"/>
        </w:rPr>
        <w:t xml:space="preserve">” </w:t>
      </w:r>
      <w:r>
        <w:rPr>
          <w:rFonts w:ascii="Times New Roman;serif" w:hAnsi="Times New Roman;serif"/>
          <w:b w:val="false"/>
          <w:i/>
          <w:color w:val="000000"/>
          <w:sz w:val="24"/>
        </w:rPr>
        <w:t>means the bulk pharmaceutical products containing the API (including different strengths), Processed in accordance with the Specifications. The 50 mg Product will be under the Ibsrela® brand, and the 20 mg and 30 mg Products will be under the Xphozah® brand, which will be referred to as “</w:t>
      </w:r>
      <w:r>
        <w:rPr>
          <w:rFonts w:ascii="Times New Roman;serif" w:hAnsi="Times New Roman;serif"/>
          <w:b/>
          <w:i/>
          <w:color w:val="000000"/>
          <w:sz w:val="24"/>
        </w:rPr>
        <w:t>Product Brand(s)</w:t>
      </w:r>
      <w:r>
        <w:rPr>
          <w:color w:val="000000"/>
        </w:rPr>
        <w:t>”</w:t>
      </w:r>
      <w:r>
        <w:rPr>
          <w:rFonts w:ascii="Times New Roman;serif" w:hAnsi="Times New Roman;serif"/>
          <w:b w:val="false"/>
          <w:i/>
          <w:color w:val="000000"/>
          <w:sz w:val="24"/>
        </w:rPr>
        <w:t>.</w:t>
      </w:r>
    </w:p>
    <w:p>
      <w:pPr>
        <w:pStyle w:val="TextBody"/>
        <w:bidi w:val="0"/>
        <w:spacing w:lineRule="auto" w:line="288" w:before="240" w:after="240"/>
        <w:ind w:left="0" w:right="0" w:hanging="432"/>
        <w:jc w:val="both"/>
        <w:rPr/>
      </w:pPr>
      <w:r>
        <w:rPr>
          <w:rFonts w:ascii="Times New Roman;serif" w:hAnsi="Times New Roman;serif"/>
          <w:b w:val="false"/>
          <w:color w:val="000000"/>
          <w:sz w:val="24"/>
        </w:rPr>
        <w:t xml:space="preserve">2.5.    Attachment C of the Agreement is hereby deleted in its entirety and replaced with the revised </w:t>
      </w:r>
      <w:r>
        <w:rPr>
          <w:rFonts w:ascii="Times New Roman;serif" w:hAnsi="Times New Roman;serif"/>
          <w:b w:val="false"/>
          <w:color w:val="000000"/>
          <w:sz w:val="24"/>
          <w:u w:val="single"/>
        </w:rPr>
        <w:t>Attachment C</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240" w:after="283"/>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2.6.    Section 7.1(C) of the Agreement is hereby deleted in its entirety and replaced with the following:</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7.1(C)    Client shall pay Catalent (i) the Annual Product Maintenance Fees for Product Maintenance Services, and (ii) [***]. </w:t>
      </w:r>
    </w:p>
    <w:p>
      <w:pPr>
        <w:pStyle w:val="TextBody"/>
        <w:bidi w:val="0"/>
        <w:spacing w:lineRule="auto" w:line="288" w:before="240" w:after="283"/>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2.7.    Section 16.1 of the Agreement is hereby deleted in its entirety and replaced with the following:</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i/>
          <w:color w:val="000000"/>
          <w:sz w:val="24"/>
        </w:rPr>
        <w:t>16.1    </w:t>
      </w:r>
      <w:r>
        <w:rPr>
          <w:rFonts w:ascii="Times New Roman;serif" w:hAnsi="Times New Roman;serif"/>
          <w:b w:val="false"/>
          <w:i/>
          <w:color w:val="000000"/>
          <w:sz w:val="24"/>
          <w:u w:val="single"/>
        </w:rPr>
        <w:t>Term</w:t>
      </w:r>
      <w:r>
        <w:rPr>
          <w:rFonts w:ascii="Times New Roman;serif" w:hAnsi="Times New Roman;serif"/>
          <w:b w:val="false"/>
          <w:i/>
          <w:color w:val="000000"/>
          <w:sz w:val="24"/>
        </w:rPr>
        <w:t>. This Agreement shall commence on the Effective Date and shall continue until the end of the 5th Contract Year of the Product Brand with the last Commencement Date, unless earlier terminated in accordance with Section 16.2 (such term, including any extension in accordance with this Section 16.1, the “</w:t>
      </w:r>
      <w:r>
        <w:rPr>
          <w:rFonts w:ascii="Times New Roman;serif" w:hAnsi="Times New Roman;serif"/>
          <w:b/>
          <w:i/>
          <w:color w:val="000000"/>
          <w:sz w:val="24"/>
        </w:rPr>
        <w:t>Term</w:t>
      </w:r>
      <w:r>
        <w:rPr>
          <w:color w:val="000000"/>
        </w:rPr>
        <w:t>”</w:t>
      </w:r>
      <w:r>
        <w:rPr>
          <w:rFonts w:ascii="Times New Roman;serif" w:hAnsi="Times New Roman;serif"/>
          <w:b w:val="false"/>
          <w:i/>
          <w:color w:val="000000"/>
          <w:sz w:val="24"/>
        </w:rPr>
        <w:t>). Unless this Agreement is terminated in accordance with Section 16.2, the Term shall automatically extend for successive 2-year periods unless and until one Party gives the other Party at least 24 months’ prior written notice of its desire to terminate as of the end of the then-current Term</w:t>
      </w:r>
      <w:r>
        <w:rPr>
          <w:rFonts w:ascii="Times New Roman;serif" w:hAnsi="Times New Roman;serif"/>
          <w:b w:val="false"/>
          <w:color w:val="000000"/>
          <w:sz w:val="24"/>
        </w:rPr>
        <w:t xml:space="preserve">. </w:t>
      </w:r>
    </w:p>
    <w:p>
      <w:pPr>
        <w:pStyle w:val="TextBody"/>
        <w:bidi w:val="0"/>
        <w:spacing w:lineRule="auto" w:line="288" w:before="0" w:after="24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2.8.    Section 3(d) shall be incorporated to Attachment D of the Agreement as follows:</w:t>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w:t>
      </w:r>
    </w:p>
    <w:p>
      <w:pPr>
        <w:pStyle w:val="TextBody"/>
        <w:bidi w:val="0"/>
        <w:spacing w:lineRule="auto" w:line="288" w:before="0" w:after="240"/>
        <w:ind w:left="0" w:right="0" w:hanging="36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Amendment and the Agreement constitute the entire agreement between the Parties relating to the subject matter hereof and thereof and may not be varied except in writing signed by a duly authorized representative of each Party. </w:t>
      </w:r>
    </w:p>
    <w:p>
      <w:pPr>
        <w:pStyle w:val="TextBody"/>
        <w:bidi w:val="0"/>
        <w:spacing w:before="0" w:after="16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73"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Reference to Agreement</w:t>
      </w:r>
      <w:r>
        <w:rPr>
          <w:rFonts w:ascii="Times New Roman;serif" w:hAnsi="Times New Roman;serif"/>
          <w:b w:val="false"/>
          <w:color w:val="000000"/>
          <w:sz w:val="24"/>
        </w:rPr>
        <w:t xml:space="preserve">. From and after the Amendment No. 1 Effective Date, each reference in the Agreement to “this Agreement”, “hereof”, or “hereunder” or words of like import, and all references to the Agreement in any and all agreements, instruments, documents, notes, certificates and other writings of every kind and nature shall be deemed to mean the Agreement, as amended by this Amendment. </w:t>
      </w:r>
    </w:p>
    <w:p>
      <w:pPr>
        <w:pStyle w:val="TextBody"/>
        <w:bidi w:val="0"/>
        <w:spacing w:lineRule="auto" w:line="288" w:before="0" w:after="240"/>
        <w:ind w:left="0" w:right="0" w:hanging="36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Ratification</w:t>
      </w:r>
      <w:r>
        <w:rPr>
          <w:rFonts w:ascii="Times New Roman;serif" w:hAnsi="Times New Roman;serif"/>
          <w:b w:val="false"/>
          <w:color w:val="000000"/>
          <w:sz w:val="24"/>
        </w:rPr>
        <w:t>. The Agreement shall remain in full force and effect and is hereby ratified, approved, and confirmed in all respects. There shall be no changes to the Agreement except as expressly set forth herein.</w:t>
      </w:r>
    </w:p>
    <w:p>
      <w:pPr>
        <w:pStyle w:val="TextBody"/>
        <w:bidi w:val="0"/>
        <w:spacing w:lineRule="auto" w:line="288" w:before="0" w:after="240"/>
        <w:ind w:left="0" w:right="0" w:hanging="36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governed by, and construed in accordance with, the laws of the internal laws of the State of Delaware, U.S.A., without giving effect to any laws, rules, or provisions of State of Delaware that would cause the application of the laws, rules or provisions of any other jurisdiction other than State of Delaware. The United Nations Convention on Contracts for the International Sale of Goods shall not apply to this Amendment.</w:t>
      </w:r>
    </w:p>
    <w:p>
      <w:pPr>
        <w:pStyle w:val="TextBody"/>
        <w:bidi w:val="0"/>
        <w:spacing w:lineRule="auto" w:line="288" w:before="0" w:after="160"/>
        <w:ind w:left="0" w:right="0" w:hanging="36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Amendment may be executed in counterparts, each of which when executed and delivered shall be deemed to be an original, and all of which when taken together shall constitute one and the same instrument. Any photocopy, facsimile, or electronic reproduction of this Amendment shall constitute an original. </w:t>
      </w:r>
    </w:p>
    <w:p>
      <w:pPr>
        <w:pStyle w:val="TextBody"/>
        <w:bidi w:val="0"/>
        <w:spacing w:before="0" w:after="160"/>
        <w:jc w:val="left"/>
        <w:rPr/>
      </w:pPr>
      <w:r>
        <w:rPr/>
      </w:r>
    </w:p>
    <w:p>
      <w:pPr>
        <w:pStyle w:val="TextBody"/>
        <w:bidi w:val="0"/>
        <w:spacing w:lineRule="auto" w:line="288" w:before="0" w:after="24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their respective duly authorized representatives to execute this Amendment effective as of the Amendment No. 1 Effective Date.</w:t>
      </w:r>
    </w:p>
    <w:tbl>
      <w:tblPr>
        <w:tblW w:w="9400" w:type="dxa"/>
        <w:jc w:val="left"/>
        <w:tblInd w:w="0" w:type="dxa"/>
        <w:tblLayout w:type="fixed"/>
        <w:tblCellMar>
          <w:top w:w="28" w:type="dxa"/>
          <w:left w:w="28" w:type="dxa"/>
          <w:bottom w:w="28" w:type="dxa"/>
          <w:right w:w="28" w:type="dxa"/>
        </w:tblCellMar>
      </w:tblPr>
      <w:tblGrid>
        <w:gridCol w:w="1822"/>
        <w:gridCol w:w="1601"/>
        <w:gridCol w:w="1601"/>
        <w:gridCol w:w="109"/>
        <w:gridCol w:w="109"/>
        <w:gridCol w:w="109"/>
        <w:gridCol w:w="1186"/>
        <w:gridCol w:w="1186"/>
        <w:gridCol w:w="1677"/>
      </w:tblGrid>
      <w:tr>
        <w:trPr/>
        <w:tc>
          <w:tcPr>
            <w:tcW w:w="18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5040"/>
              <w:jc w:val="left"/>
              <w:rPr>
                <w:rFonts w:ascii="Times New Roman;serif" w:hAnsi="Times New Roman;serif"/>
                <w:b/>
                <w:color w:val="000000"/>
                <w:sz w:val="24"/>
              </w:rPr>
            </w:pPr>
            <w:r>
              <w:rPr>
                <w:rFonts w:ascii="Times New Roman;serif" w:hAnsi="Times New Roman;serif"/>
                <w:b/>
                <w:color w:val="000000"/>
                <w:sz w:val="24"/>
              </w:rPr>
              <w:t>CATALENT PHARMA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88" w:before="0" w:after="240"/>
              <w:ind w:left="0" w:right="0" w:hanging="5040"/>
              <w:jc w:val="left"/>
              <w:rPr>
                <w:rFonts w:ascii="Times New Roman;serif" w:hAnsi="Times New Roman;serif"/>
                <w:b/>
                <w:color w:val="000000"/>
                <w:sz w:val="24"/>
              </w:rPr>
            </w:pPr>
            <w:r>
              <w:rPr>
                <w:rFonts w:ascii="Times New Roman;serif" w:hAnsi="Times New Roman;serif"/>
                <w:b/>
                <w:color w:val="000000"/>
                <w:sz w:val="24"/>
              </w:rPr>
              <w:t>ARDELYX, INC.</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/s/ Aris Gennadios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/s/ John E. Bishop</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Aris Gennadios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John E. Bishop</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Title: Group President, Pharma &amp; Consumer Health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Title: Chief Technical Operations Officer</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74"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ATTACHMENT A1</w:t>
      </w:r>
    </w:p>
    <w:p>
      <w:pPr>
        <w:pStyle w:val="TextBody"/>
        <w:bidi w:val="0"/>
        <w:spacing w:lineRule="auto" w:line="288" w:before="0" w:after="160"/>
        <w:jc w:val="center"/>
        <w:rPr>
          <w:rFonts w:ascii="Times New Roman;serif" w:hAnsi="Times New Roman;serif"/>
          <w:b w:val="false"/>
          <w:i/>
          <w:color w:val="000000"/>
          <w:sz w:val="24"/>
        </w:rPr>
      </w:pPr>
      <w:r>
        <w:rPr>
          <w:rFonts w:ascii="Times New Roman;serif" w:hAnsi="Times New Roman;serif"/>
          <w:b w:val="false"/>
          <w:i/>
          <w:color w:val="000000"/>
          <w:sz w:val="24"/>
        </w:rPr>
        <w:t xml:space="preserve">[To be completed and signed by both Parties and to be attached as Attachment A1 within three (3) months of the Commencement Date] </w:t>
      </w:r>
    </w:p>
    <w:p>
      <w:pPr>
        <w:pStyle w:val="TextBody"/>
        <w:bidi w:val="0"/>
        <w:spacing w:before="0" w:after="160"/>
        <w:jc w:val="center"/>
        <w:rPr/>
      </w:pPr>
      <w:r>
        <w:rPr/>
      </w:r>
    </w:p>
    <w:p>
      <w:pPr>
        <w:pStyle w:val="TextBody"/>
        <w:bidi w:val="0"/>
        <w:spacing w:lineRule="auto" w:line="288" w:before="0" w:after="160"/>
        <w:jc w:val="both"/>
        <w:rPr/>
      </w:pPr>
      <w:r>
        <w:rPr>
          <w:rFonts w:ascii="Times New Roman;serif" w:hAnsi="Times New Roman;serif"/>
          <w:b w:val="false"/>
          <w:color w:val="000000"/>
          <w:sz w:val="24"/>
        </w:rPr>
        <w:t>The Parties hereby acknowledge and agree that the Commencement Date, as defined in Section 1.20 of the Agreement, is [insert date], which is the date upon which the [insert Regulatory Authority] approved the Ibsrela</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Product Brand for sale in the market in [insert country/region]. </w:t>
      </w:r>
    </w:p>
    <w:p>
      <w:pPr>
        <w:pStyle w:val="TextBody"/>
        <w:bidi w:val="0"/>
        <w:spacing w:before="0" w:after="0"/>
        <w:jc w:val="center"/>
        <w:rPr/>
      </w:pPr>
      <w:r>
        <w:rPr/>
      </w:r>
    </w:p>
    <w:tbl>
      <w:tblPr>
        <w:tblW w:w="5663" w:type="dxa"/>
        <w:jc w:val="left"/>
        <w:tblInd w:w="0" w:type="dxa"/>
        <w:tblLayout w:type="fixed"/>
        <w:tblCellMar>
          <w:top w:w="28" w:type="dxa"/>
          <w:left w:w="28" w:type="dxa"/>
          <w:bottom w:w="28" w:type="dxa"/>
          <w:right w:w="28" w:type="dxa"/>
        </w:tblCellMar>
      </w:tblPr>
      <w:tblGrid>
        <w:gridCol w:w="1264"/>
        <w:gridCol w:w="1113"/>
        <w:gridCol w:w="1117"/>
        <w:gridCol w:w="109"/>
        <w:gridCol w:w="109"/>
        <w:gridCol w:w="109"/>
        <w:gridCol w:w="109"/>
        <w:gridCol w:w="109"/>
        <w:gridCol w:w="109"/>
        <w:gridCol w:w="443"/>
        <w:gridCol w:w="443"/>
        <w:gridCol w:w="629"/>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Catalent Pharma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Ardelyx, Inc.</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Printed 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Printed Name </w:t>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75"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ATTACHMENT A2</w:t>
      </w:r>
    </w:p>
    <w:p>
      <w:pPr>
        <w:pStyle w:val="TextBody"/>
        <w:bidi w:val="0"/>
        <w:spacing w:lineRule="auto" w:line="288" w:before="0" w:after="160"/>
        <w:jc w:val="center"/>
        <w:rPr>
          <w:rFonts w:ascii="Times New Roman;serif" w:hAnsi="Times New Roman;serif"/>
          <w:b w:val="false"/>
          <w:i/>
          <w:color w:val="000000"/>
          <w:sz w:val="24"/>
        </w:rPr>
      </w:pPr>
      <w:r>
        <w:rPr>
          <w:rFonts w:ascii="Times New Roman;serif" w:hAnsi="Times New Roman;serif"/>
          <w:b w:val="false"/>
          <w:i/>
          <w:color w:val="000000"/>
          <w:sz w:val="24"/>
        </w:rPr>
        <w:t xml:space="preserve">[To be completed and signed by both Parties and to be attached as Attachment A2 within three (3) months of the Commencement Date] </w:t>
      </w:r>
    </w:p>
    <w:p>
      <w:pPr>
        <w:pStyle w:val="TextBody"/>
        <w:bidi w:val="0"/>
        <w:spacing w:before="0" w:after="160"/>
        <w:jc w:val="left"/>
        <w:rPr/>
      </w:pPr>
      <w:r>
        <w:rPr/>
      </w:r>
    </w:p>
    <w:p>
      <w:pPr>
        <w:pStyle w:val="TextBody"/>
        <w:bidi w:val="0"/>
        <w:spacing w:lineRule="auto" w:line="288" w:before="0" w:after="160"/>
        <w:jc w:val="both"/>
        <w:rPr/>
      </w:pPr>
      <w:r>
        <w:rPr>
          <w:rFonts w:ascii="Times New Roman;serif" w:hAnsi="Times New Roman;serif"/>
          <w:b w:val="false"/>
          <w:color w:val="000000"/>
          <w:sz w:val="24"/>
        </w:rPr>
        <w:t>The Parties hereby acknowledge and agree that the Commencement Date, as defined in Section 1.20 of the Agreement, is [insert date], which is the date upon which the [insert Regulatory Authority] approved the Xphozah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4"/>
        </w:rPr>
        <w:t>Product Brand for sale in the market in [insert country/region].</w:t>
      </w:r>
    </w:p>
    <w:p>
      <w:pPr>
        <w:pStyle w:val="TextBody"/>
        <w:bidi w:val="0"/>
        <w:spacing w:before="0" w:after="0"/>
        <w:jc w:val="center"/>
        <w:rPr/>
      </w:pPr>
      <w:r>
        <w:rPr/>
      </w:r>
    </w:p>
    <w:tbl>
      <w:tblPr>
        <w:tblW w:w="5663" w:type="dxa"/>
        <w:jc w:val="left"/>
        <w:tblInd w:w="0" w:type="dxa"/>
        <w:tblLayout w:type="fixed"/>
        <w:tblCellMar>
          <w:top w:w="28" w:type="dxa"/>
          <w:left w:w="28" w:type="dxa"/>
          <w:bottom w:w="28" w:type="dxa"/>
          <w:right w:w="28" w:type="dxa"/>
        </w:tblCellMar>
      </w:tblPr>
      <w:tblGrid>
        <w:gridCol w:w="1264"/>
        <w:gridCol w:w="1113"/>
        <w:gridCol w:w="1117"/>
        <w:gridCol w:w="109"/>
        <w:gridCol w:w="109"/>
        <w:gridCol w:w="109"/>
        <w:gridCol w:w="109"/>
        <w:gridCol w:w="109"/>
        <w:gridCol w:w="109"/>
        <w:gridCol w:w="443"/>
        <w:gridCol w:w="443"/>
        <w:gridCol w:w="629"/>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Catalent Pharma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Ardelyx, Inc.</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Printed 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Printed Name </w:t>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76"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ATTACHMENT C</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UNIT PRICING AND FEES</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77"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929292"/>
          <w:sz w:val="24"/>
        </w:rPr>
      </w:pPr>
      <w:r>
        <w:rPr>
          <w:rFonts w:ascii="Times New Roman;serif" w:hAnsi="Times New Roman;serif"/>
          <w:b/>
          <w:color w:val="929292"/>
          <w:sz w:val="24"/>
        </w:rPr>
        <w:t>CERTAIN IDENTIFIED INFORMATION, MARKED BY [***], HAS BEEN EXCLUDED FROM THE EXHIBIT BECAUSE IT IS BOTH (I) NOT MATERIAL AND (II) IS THE TYPE THAT THE COMPANY TREATS AS PRIVATE OR CONFIDENTIAL.</w:t>
      </w:r>
    </w:p>
    <w:p>
      <w:pPr>
        <w:pStyle w:val="TextBody"/>
        <w:bidi w:val="0"/>
        <w:spacing w:before="0" w:after="0"/>
        <w:jc w:val="right"/>
        <w:rPr/>
      </w:pPr>
      <w:r>
        <w:rPr/>
      </w:r>
    </w:p>
    <w:p>
      <w:pPr>
        <w:pStyle w:val="TextBody"/>
        <w:bidi w:val="0"/>
        <w:spacing w:lineRule="auto" w:line="288" w:before="0" w:after="0"/>
        <w:ind w:left="0" w:right="0" w:hanging="26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lineRule="auto" w:line="288" w:before="0" w:after="0"/>
        <w:ind w:left="0" w:right="0" w:hanging="260"/>
        <w:jc w:val="center"/>
        <w:rPr>
          <w:rFonts w:ascii="Arial;sans-serif" w:hAnsi="Arial;sans-serif"/>
          <w:b/>
          <w:color w:val="000000"/>
          <w:sz w:val="20"/>
        </w:rPr>
      </w:pPr>
      <w:r>
        <w:rPr>
          <w:rFonts w:ascii="Arial;sans-serif" w:hAnsi="Arial;sans-serif"/>
          <w:b/>
          <w:color w:val="000000"/>
          <w:sz w:val="20"/>
        </w:rPr>
        <w:t>SECOND AMENDMENT TO MANUFACTURING SERVICES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0"/>
        </w:rPr>
        <w:t xml:space="preserve">This </w:t>
      </w:r>
      <w:r>
        <w:rPr>
          <w:rFonts w:ascii="Arial;sans-serif" w:hAnsi="Arial;sans-serif"/>
          <w:b/>
          <w:color w:val="000000"/>
          <w:sz w:val="20"/>
        </w:rPr>
        <w:t>AMENDMENT #2 TO THE MANUFACTURING SERVICES AGREEMENT</w:t>
      </w:r>
      <w:r>
        <w:rPr>
          <w:color w:val="000000"/>
        </w:rPr>
        <w:t xml:space="preserve"> </w:t>
      </w:r>
      <w:r>
        <w:rPr>
          <w:rFonts w:ascii="Arial;sans-serif" w:hAnsi="Arial;sans-serif"/>
          <w:b w:val="false"/>
          <w:color w:val="000000"/>
          <w:sz w:val="20"/>
        </w:rPr>
        <w:t>(the “</w:t>
      </w:r>
      <w:r>
        <w:rPr>
          <w:rFonts w:ascii="Arial;sans-serif" w:hAnsi="Arial;sans-serif"/>
          <w:b/>
          <w:color w:val="000000"/>
          <w:sz w:val="20"/>
        </w:rPr>
        <w:t>Second Amendment</w:t>
      </w:r>
      <w:r>
        <w:rPr>
          <w:color w:val="000000"/>
        </w:rPr>
        <w:t>”</w:t>
      </w:r>
      <w:r>
        <w:rPr>
          <w:rFonts w:ascii="Arial;sans-serif" w:hAnsi="Arial;sans-serif"/>
          <w:b w:val="false"/>
          <w:color w:val="000000"/>
          <w:sz w:val="20"/>
        </w:rPr>
        <w:t>) effective as of May 15, 2026 (“</w:t>
      </w:r>
      <w:r>
        <w:rPr>
          <w:rFonts w:ascii="Arial;sans-serif" w:hAnsi="Arial;sans-serif"/>
          <w:b/>
          <w:color w:val="000000"/>
          <w:sz w:val="20"/>
        </w:rPr>
        <w:t>Amendment Effective Date</w:t>
      </w:r>
      <w:r>
        <w:rPr>
          <w:color w:val="000000"/>
        </w:rPr>
        <w:t>”</w:t>
      </w:r>
      <w:r>
        <w:rPr>
          <w:rFonts w:ascii="Arial;sans-serif" w:hAnsi="Arial;sans-serif"/>
          <w:b w:val="false"/>
          <w:color w:val="000000"/>
          <w:sz w:val="20"/>
        </w:rPr>
        <w:t xml:space="preserve">), is by and between </w:t>
      </w:r>
      <w:r>
        <w:rPr>
          <w:rFonts w:ascii="Arial;sans-serif" w:hAnsi="Arial;sans-serif"/>
          <w:b/>
          <w:color w:val="000000"/>
          <w:sz w:val="20"/>
        </w:rPr>
        <w:t>Ardelyx Inc.</w:t>
      </w:r>
      <w:r>
        <w:rPr>
          <w:rFonts w:ascii="Arial;sans-serif" w:hAnsi="Arial;sans-serif"/>
          <w:b w:val="false"/>
          <w:color w:val="000000"/>
          <w:sz w:val="20"/>
        </w:rPr>
        <w:t>, a Delaware corporation with its principal place of business at 400 Fifth Avenue, Suite 210, Waltham, MA 02451 (“</w:t>
      </w:r>
      <w:r>
        <w:rPr>
          <w:rFonts w:ascii="Arial;sans-serif" w:hAnsi="Arial;sans-serif"/>
          <w:b/>
          <w:color w:val="000000"/>
          <w:sz w:val="20"/>
        </w:rPr>
        <w:t>Client</w:t>
      </w:r>
      <w:r>
        <w:rPr>
          <w:color w:val="000000"/>
        </w:rPr>
        <w:t>”</w:t>
      </w:r>
      <w:r>
        <w:rPr>
          <w:rFonts w:ascii="Arial;sans-serif" w:hAnsi="Arial;sans-serif"/>
          <w:b w:val="false"/>
          <w:color w:val="000000"/>
          <w:sz w:val="20"/>
        </w:rPr>
        <w:t xml:space="preserve">), and </w:t>
      </w:r>
      <w:r>
        <w:rPr>
          <w:rFonts w:ascii="Arial;sans-serif" w:hAnsi="Arial;sans-serif"/>
          <w:b/>
          <w:color w:val="000000"/>
          <w:sz w:val="20"/>
        </w:rPr>
        <w:t>Patheon Pharmaceuticals Inc.</w:t>
      </w:r>
      <w:r>
        <w:rPr>
          <w:rFonts w:ascii="Arial;sans-serif" w:hAnsi="Arial;sans-serif"/>
          <w:b w:val="false"/>
          <w:color w:val="000000"/>
          <w:sz w:val="20"/>
        </w:rPr>
        <w:t>, a Delaware corporation with its principal place of business at 2110 East Galbraith Road, Cincinnati, OH 45237 (“</w:t>
      </w:r>
      <w:r>
        <w:rPr>
          <w:rFonts w:ascii="Arial;sans-serif" w:hAnsi="Arial;sans-serif"/>
          <w:b/>
          <w:color w:val="000000"/>
          <w:sz w:val="20"/>
        </w:rPr>
        <w:t>Patheon</w:t>
      </w:r>
      <w:r>
        <w:rPr>
          <w:color w:val="000000"/>
        </w:rPr>
        <w:t>”</w:t>
      </w:r>
      <w:r>
        <w:rPr>
          <w:rFonts w:ascii="Arial;sans-serif" w:hAnsi="Arial;sans-serif"/>
          <w:b w:val="false"/>
          <w:color w:val="000000"/>
          <w:sz w:val="20"/>
        </w:rPr>
        <w:t>). Client and Patheon may be referred to herein individually as a “Party” and collectively as the “Parties.”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0"/>
        </w:rPr>
        <w:t>WHEREAS</w:t>
      </w:r>
      <w:r>
        <w:rPr>
          <w:rFonts w:ascii="Arial;sans-serif" w:hAnsi="Arial;sans-serif"/>
          <w:b w:val="false"/>
          <w:color w:val="000000"/>
          <w:sz w:val="20"/>
        </w:rPr>
        <w:t>, Patheon and Client entered into that certain Manufacturing Services Agreement dated May 18, 2020, as amended February 27, 2023 (the “</w:t>
      </w:r>
      <w:r>
        <w:rPr>
          <w:rFonts w:ascii="Arial;sans-serif" w:hAnsi="Arial;sans-serif"/>
          <w:b/>
          <w:color w:val="000000"/>
          <w:sz w:val="20"/>
        </w:rPr>
        <w:t>Agreement</w:t>
      </w:r>
      <w:r>
        <w:rPr>
          <w:color w:val="000000"/>
        </w:rPr>
        <w:t>”</w:t>
      </w:r>
      <w:r>
        <w:rPr>
          <w:rFonts w:ascii="Arial;sans-serif" w:hAnsi="Arial;sans-serif"/>
          <w:b w:val="false"/>
          <w:color w:val="000000"/>
          <w:sz w:val="20"/>
        </w:rPr>
        <w:t>);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0"/>
        </w:rPr>
        <w:t>WHEREAS</w:t>
      </w:r>
      <w:r>
        <w:rPr>
          <w:rFonts w:ascii="Arial;sans-serif" w:hAnsi="Arial;sans-serif"/>
          <w:b w:val="false"/>
          <w:color w:val="000000"/>
          <w:sz w:val="20"/>
        </w:rPr>
        <w:t>, the Parties desire to further amend the Agreement to supplement and clarify the terms applicable to packaging, labeling, and related services, when Client orders Finished Packaged Product, and to incorporate additional pricing for agreed upon configurations through the addition of Exhibit A to this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0"/>
        </w:rPr>
        <w:t xml:space="preserve">NOW, THEREFORE, </w:t>
      </w:r>
      <w:r>
        <w:rPr>
          <w:rFonts w:ascii="Arial;sans-serif" w:hAnsi="Arial;sans-serif"/>
          <w:b w:val="false"/>
          <w:color w:val="000000"/>
          <w:sz w:val="20"/>
        </w:rPr>
        <w:t>in consideration of the mutual covenants contained herein, the Parties hereby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1.    </w:t>
      </w:r>
      <w:r>
        <w:rPr>
          <w:rFonts w:ascii="Arial;sans-serif" w:hAnsi="Arial;sans-serif"/>
          <w:b/>
          <w:color w:val="000000"/>
          <w:sz w:val="20"/>
          <w:u w:val="single"/>
        </w:rPr>
        <w:t>Capitalized Term</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Capitalized terms used but not otherwise defined herein shall have the meanings ascribed to such terms in the Agreement, as applicable.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2.    </w:t>
      </w:r>
      <w:r>
        <w:rPr>
          <w:rFonts w:ascii="Arial;sans-serif" w:hAnsi="Arial;sans-serif"/>
          <w:b/>
          <w:color w:val="000000"/>
          <w:sz w:val="20"/>
          <w:u w:val="single"/>
        </w:rPr>
        <w:t>Amendments</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The Agreement shall be revised or expanded in accordance with the terms set forth below.</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a.    Section 1.1 (Definitions) of the Agreement is hereby revised to include the following definitions: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color w:val="000000"/>
          <w:sz w:val="20"/>
        </w:rPr>
        <w:t>Bulk Product</w:t>
      </w:r>
      <w:r>
        <w:rPr>
          <w:color w:val="000000"/>
        </w:rPr>
        <w:t xml:space="preserve">” </w:t>
      </w:r>
      <w:r>
        <w:rPr>
          <w:rFonts w:ascii="Arial;sans-serif" w:hAnsi="Arial;sans-serif"/>
          <w:b w:val="false"/>
          <w:color w:val="000000"/>
          <w:sz w:val="20"/>
        </w:rPr>
        <w:t>means Product in bulk, unpackaged form (i.e., prior to packaging and labeling).</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color w:val="000000"/>
          <w:sz w:val="20"/>
        </w:rPr>
        <w:t>Finished Packaged Product</w:t>
      </w:r>
      <w:r>
        <w:rPr>
          <w:color w:val="000000"/>
        </w:rPr>
        <w:t xml:space="preserve">” </w:t>
      </w:r>
      <w:r>
        <w:rPr>
          <w:rFonts w:ascii="Arial;sans-serif" w:hAnsi="Arial;sans-serif"/>
          <w:b w:val="false"/>
          <w:color w:val="000000"/>
          <w:sz w:val="20"/>
        </w:rPr>
        <w:t>means Product that (i) has undergone packaging and labeling in accordance with the applicable Processing Instructions and Packaging Instructions, and (ii) has been released by Patheon in accordance with the Quality Agreement.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color w:val="000000"/>
          <w:sz w:val="20"/>
        </w:rPr>
        <w:t>Long Lead Packaging Components</w:t>
      </w:r>
      <w:r>
        <w:rPr>
          <w:color w:val="000000"/>
        </w:rPr>
        <w:t xml:space="preserve">” </w:t>
      </w:r>
      <w:r>
        <w:rPr>
          <w:rFonts w:ascii="Arial;sans-serif" w:hAnsi="Arial;sans-serif"/>
          <w:b w:val="false"/>
          <w:color w:val="000000"/>
          <w:sz w:val="20"/>
        </w:rPr>
        <w:t>means components (including packaging components) that require procurement lead times longer than standard components as determined by Patheon based on supplier timeline and designated as such in the applicable Firm Order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Section 3.3 (Change Control Requests) of the Agreement is hereby amended by adding the following sentence at the end thereof:</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For clarity, changes to Processing Instructions, packaging configuration, Components (including labels, inserts, and other packaging components), or serialization/aggregation mechanics are subject to the change control process under the Quality Agreement and, where applicable, a mutually agreed change order addressing cost and schedule impacts.”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    Section 3.5 of the Agreement is hereby deleted in its entirety and replaced with the following:</w:t>
      </w:r>
    </w:p>
    <w:p>
      <w:pPr>
        <w:pStyle w:val="TextBody"/>
        <w:bidi w:val="0"/>
        <w:spacing w:before="0" w:after="0"/>
        <w:jc w:val="both"/>
        <w:rPr/>
      </w:pPr>
      <w:r>
        <w:rPr/>
      </w:r>
    </w:p>
    <w:p>
      <w:pPr>
        <w:pStyle w:val="TextBody"/>
        <w:bidi w:val="0"/>
        <w:spacing w:lineRule="auto" w:line="288"/>
        <w:jc w:val="both"/>
        <w:rPr/>
      </w:pPr>
      <w:r>
        <w:rPr>
          <w:color w:val="000000"/>
        </w:rPr>
        <w:t>“</w:t>
      </w:r>
      <w:r>
        <w:rPr>
          <w:rFonts w:ascii="Arial;sans-serif" w:hAnsi="Arial;sans-serif"/>
          <w:b w:val="false"/>
          <w:color w:val="000000"/>
          <w:sz w:val="20"/>
        </w:rPr>
        <w:t>3.5 Packaging, Artwork, and Serialization (when Finished Packaged Product is ordered).</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929292"/>
                                <w:sz w:val="20"/>
                              </w:rPr>
                            </w:pPr>
                            <w:r>
                              <w:rPr>
                                <w:rFonts w:ascii="Arial;sans-serif" w:hAnsi="Arial;sans-serif"/>
                                <w:b w:val="false"/>
                                <w:color w:val="929292"/>
                                <w:sz w:val="20"/>
                              </w:rPr>
                              <w:t>Page 1 of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929292"/>
                          <w:sz w:val="20"/>
                        </w:rPr>
                      </w:pPr>
                      <w:r>
                        <w:rPr>
                          <w:rFonts w:ascii="Arial;sans-serif" w:hAnsi="Arial;sans-serif"/>
                          <w:b w:val="false"/>
                          <w:color w:val="929292"/>
                          <w:sz w:val="20"/>
                        </w:rPr>
                        <w:t>Page 1 of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929292"/>
          <w:sz w:val="24"/>
        </w:rPr>
      </w:pPr>
      <w:r>
        <w:rPr>
          <w:rFonts w:ascii="Times New Roman;serif" w:hAnsi="Times New Roman;serif"/>
          <w:b/>
          <w:color w:val="929292"/>
          <w:sz w:val="24"/>
        </w:rPr>
        <w:t>CERTAIN IDENTIFIED INFORMATION, MARKED BY [***], HAS BEEN EXCLUDED FROM THE EXHIBIT BECAUSE IT IS BOTH (I) NOT MATERIAL AND (II) IS THE TYPE THAT THE COMPANY TREATS AS PRIVATE OR CONFIDENTIAL.</w: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 </w:t>
      </w:r>
      <w:r>
        <w:rPr>
          <w:rFonts w:ascii="Arial;sans-serif" w:hAnsi="Arial;sans-serif"/>
          <w:b/>
          <w:color w:val="000000"/>
          <w:sz w:val="20"/>
        </w:rPr>
        <w:t>Scope.</w:t>
      </w:r>
      <w:r>
        <w:rPr>
          <w:color w:val="000000"/>
        </w:rPr>
        <w:t xml:space="preserve"> </w:t>
      </w:r>
      <w:r>
        <w:rPr>
          <w:rFonts w:ascii="Arial;sans-serif" w:hAnsi="Arial;sans-serif"/>
          <w:b w:val="false"/>
          <w:color w:val="000000"/>
          <w:sz w:val="20"/>
        </w:rPr>
        <w:t>When a Firm Order specifies Finished Packaged Product, Patheon will perform [***] in accordance with (i) the Agreement, (ii) the applicable Processing Instructions, (iii) cGMPs and Applicable Laws, and (iv) the Quality Agreement.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(b) </w:t>
      </w:r>
      <w:r>
        <w:rPr>
          <w:rFonts w:ascii="Arial;sans-serif" w:hAnsi="Arial;sans-serif"/>
          <w:b/>
          <w:color w:val="000000"/>
          <w:sz w:val="20"/>
        </w:rPr>
        <w:t>Artwork.</w:t>
      </w:r>
      <w:r>
        <w:rPr>
          <w:color w:val="000000"/>
        </w:rPr>
        <w:t xml:space="preserve"> </w:t>
      </w:r>
      <w:r>
        <w:rPr>
          <w:rFonts w:ascii="Arial;sans-serif" w:hAnsi="Arial;sans-serif"/>
          <w:b w:val="false"/>
          <w:color w:val="000000"/>
          <w:sz w:val="20"/>
        </w:rPr>
        <w:t>Client is responsible for artwork development and content accuracy and for obtaining required approvals. Patheon will not implement new or revised artwork without Client’s prior written approval. Client will provide final, approved artwork in electronic format by [***] and, in any event, no later than [***] days prior to the applicable Delivery</w:t>
      </w:r>
      <w:r>
        <w:rPr>
          <w:color w:val="000000"/>
        </w:rPr>
        <w:t xml:space="preserve"> </w:t>
      </w:r>
      <w:r>
        <w:rPr>
          <w:rFonts w:ascii="Arial;sans-serif" w:hAnsi="Arial;sans-serif"/>
          <w:b w:val="false"/>
          <w:color w:val="000000"/>
          <w:sz w:val="20"/>
        </w:rPr>
        <w:t>Date (unless the Parties agree otherwise in writing).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(c) </w:t>
      </w:r>
      <w:r>
        <w:rPr>
          <w:rFonts w:ascii="Arial;sans-serif" w:hAnsi="Arial;sans-serif"/>
          <w:b/>
          <w:color w:val="000000"/>
          <w:sz w:val="20"/>
        </w:rPr>
        <w:t>Printing/marking; lot/expiry.</w:t>
      </w:r>
      <w:r>
        <w:rPr>
          <w:color w:val="000000"/>
        </w:rPr>
        <w:t xml:space="preserve"> </w:t>
      </w:r>
      <w:r>
        <w:rPr>
          <w:rFonts w:ascii="Arial;sans-serif" w:hAnsi="Arial;sans-serif"/>
          <w:b w:val="false"/>
          <w:color w:val="000000"/>
          <w:sz w:val="20"/>
        </w:rPr>
        <w:t>Patheon will implement [***] consistent with cGMPs, Applicable Laws, the Specifications, and the Packaging Instructions.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 </w:t>
      </w:r>
      <w:r>
        <w:rPr>
          <w:rFonts w:ascii="Arial;sans-serif" w:hAnsi="Arial;sans-serif"/>
          <w:b/>
          <w:color w:val="000000"/>
          <w:sz w:val="20"/>
        </w:rPr>
        <w:t>Serialization/data carriers (if required).</w:t>
      </w:r>
      <w:r>
        <w:rPr>
          <w:color w:val="000000"/>
        </w:rPr>
        <w:t xml:space="preserve"> </w:t>
      </w:r>
      <w:r>
        <w:rPr>
          <w:rFonts w:ascii="Arial;sans-serif" w:hAnsi="Arial;sans-serif"/>
          <w:b w:val="false"/>
          <w:color w:val="000000"/>
          <w:sz w:val="20"/>
        </w:rPr>
        <w:t>If [***] apply to the Finished Packaged Product, the [***] will be specified in the Packaging Instructions and subject to change control under the Quality Agreement and Section 3.3.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(e) </w:t>
      </w:r>
      <w:r>
        <w:rPr>
          <w:rFonts w:ascii="Arial;sans-serif" w:hAnsi="Arial;sans-serif"/>
          <w:b/>
          <w:color w:val="000000"/>
          <w:sz w:val="20"/>
        </w:rPr>
        <w:t>No changes without approval.</w:t>
      </w:r>
      <w:r>
        <w:rPr>
          <w:color w:val="000000"/>
        </w:rPr>
        <w:t xml:space="preserve"> </w:t>
      </w:r>
      <w:r>
        <w:rPr>
          <w:rFonts w:ascii="Arial;sans-serif" w:hAnsi="Arial;sans-serif"/>
          <w:b w:val="false"/>
          <w:color w:val="000000"/>
          <w:sz w:val="20"/>
        </w:rPr>
        <w:t>Patheon will not make material changes to [***] without Client’s prior written approval, and any change with a material cost or schedule impact will be documented via a mutually agreed change order.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 </w:t>
      </w:r>
      <w:r>
        <w:rPr>
          <w:rFonts w:ascii="Arial;sans-serif" w:hAnsi="Arial;sans-serif"/>
          <w:b/>
          <w:color w:val="000000"/>
          <w:sz w:val="20"/>
        </w:rPr>
        <w:t>Long-lead components.</w:t>
      </w:r>
      <w:r>
        <w:rPr>
          <w:color w:val="000000"/>
        </w:rPr>
        <w:t xml:space="preserve"> </w:t>
      </w:r>
      <w:r>
        <w:rPr>
          <w:rFonts w:ascii="Arial;sans-serif" w:hAnsi="Arial;sans-serif"/>
          <w:b w:val="false"/>
          <w:color w:val="000000"/>
          <w:sz w:val="20"/>
        </w:rPr>
        <w:t>Patheon will notify Client in writing of any [***] identified for an applicable Firm Order, including procurement lead time and any Client dependencies (e.g., artwork approval deadlines).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(g) </w:t>
      </w:r>
      <w:r>
        <w:rPr>
          <w:rFonts w:ascii="Arial;sans-serif" w:hAnsi="Arial;sans-serif"/>
          <w:b/>
          <w:color w:val="000000"/>
          <w:sz w:val="20"/>
        </w:rPr>
        <w:t>Reconciliation; packaging batch documentation</w:t>
      </w:r>
      <w:r>
        <w:rPr>
          <w:rFonts w:ascii="Arial;sans-serif" w:hAnsi="Arial;sans-serif"/>
          <w:b w:val="false"/>
          <w:color w:val="000000"/>
          <w:sz w:val="20"/>
        </w:rPr>
        <w:t>: Patheon shall provide [***] and [***] sufficient to evidence conformance, including [***], in accordance with the Quality Agreement and Processing Instructions.”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    Section 5.1 (Orders and Forecasts) of the Agreement is hereby revised to include the following:</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0"/>
        </w:rPr>
        <w:t xml:space="preserve">(g) </w:t>
      </w:r>
      <w:r>
        <w:rPr>
          <w:rFonts w:ascii="Arial;sans-serif" w:hAnsi="Arial;sans-serif"/>
          <w:b/>
          <w:color w:val="000000"/>
          <w:sz w:val="20"/>
        </w:rPr>
        <w:t>Deliverable Type</w:t>
      </w:r>
      <w:r>
        <w:rPr>
          <w:rFonts w:ascii="Arial;sans-serif" w:hAnsi="Arial;sans-serif"/>
          <w:b w:val="false"/>
          <w:color w:val="000000"/>
          <w:sz w:val="20"/>
        </w:rPr>
        <w:t>. Each purchase order/Firm Order shall specify whether the deliverable is (i) Bulk Product or (ii) Finished Packaged Product. For clarity, Patheon will [***] as part of Manufacturing Services only when Finished Packaged Product is ordered.”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e.    Section 6.1(d) (Supply Failure) of the Agreement is hereby amended by adding the following sentence at the end thereof:</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For purposes of Section 6.1(d), when a Firm Order specifies Finished Packaged Product,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f.    The Parties acknowledge that Appendix 1 [***]. Effective as of the Amendment Effective Date, and solely for the configurations expressly listed in Exhibit A, [***] shall apply and shall supersede any [***] in Appendix 1 or elsewhere in the Agreement.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3.    </w:t>
      </w:r>
      <w:r>
        <w:rPr>
          <w:rFonts w:ascii="Arial;sans-serif" w:hAnsi="Arial;sans-serif"/>
          <w:b/>
          <w:color w:val="000000"/>
          <w:sz w:val="20"/>
          <w:u w:val="single"/>
        </w:rPr>
        <w:t>Amendment Effective Date</w:t>
      </w:r>
      <w:r>
        <w:rPr>
          <w:rFonts w:ascii="Arial;sans-serif" w:hAnsi="Arial;sans-serif"/>
          <w:b w:val="false"/>
          <w:color w:val="000000"/>
          <w:sz w:val="20"/>
        </w:rPr>
        <w:t>. This Amendment shall be effective as of the Amendment Effective Date and shall apply to all Firm Orders issued on or after the Amendment Effective Date.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4.    </w:t>
      </w:r>
      <w:r>
        <w:rPr>
          <w:rFonts w:ascii="Arial;sans-serif" w:hAnsi="Arial;sans-serif"/>
          <w:b/>
          <w:color w:val="000000"/>
          <w:sz w:val="20"/>
          <w:u w:val="single"/>
        </w:rPr>
        <w:t>No Other Amendments</w:t>
      </w:r>
      <w:r>
        <w:rPr>
          <w:rFonts w:ascii="Arial;sans-serif" w:hAnsi="Arial;sans-serif"/>
          <w:b w:val="false"/>
          <w:color w:val="000000"/>
          <w:sz w:val="20"/>
        </w:rPr>
        <w:t>. Except as herein set forth, the Agreement has not been modified, and as amended by this Amendment, remains in full force and effect. To the extent there are any inconsistencies or ambiguities between the specific subject matter of this Amendment and the Agreement, the terms of this Amendment shall supersede the Agreement.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929292"/>
                                <w:sz w:val="20"/>
                              </w:rPr>
                            </w:pPr>
                            <w:r>
                              <w:rPr>
                                <w:rFonts w:ascii="Arial;sans-serif" w:hAnsi="Arial;sans-serif"/>
                                <w:b w:val="false"/>
                                <w:color w:val="929292"/>
                                <w:sz w:val="20"/>
                              </w:rPr>
                              <w:t>Page 2 of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929292"/>
                          <w:sz w:val="20"/>
                        </w:rPr>
                      </w:pPr>
                      <w:r>
                        <w:rPr>
                          <w:rFonts w:ascii="Arial;sans-serif" w:hAnsi="Arial;sans-serif"/>
                          <w:b w:val="false"/>
                          <w:color w:val="929292"/>
                          <w:sz w:val="20"/>
                        </w:rPr>
                        <w:t>Page 2 of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929292"/>
          <w:sz w:val="24"/>
        </w:rPr>
      </w:pPr>
      <w:r>
        <w:rPr>
          <w:rFonts w:ascii="Times New Roman;serif" w:hAnsi="Times New Roman;serif"/>
          <w:b/>
          <w:color w:val="929292"/>
          <w:sz w:val="24"/>
        </w:rPr>
        <w:t>CERTAIN IDENTIFIED INFORMATION, MARKED BY [***], HAS BEEN EXCLUDED FROM THE EXHIBIT BECAUSE IT IS BOTH (I) NOT MATERIAL AND (II) IS THE TYPE THAT THE COMPANY TREATS AS PRIVATE OR CONFIDENTIAL.</w:t>
      </w:r>
    </w:p>
    <w:p>
      <w:pPr>
        <w:pStyle w:val="TextBody"/>
        <w:bidi w:val="0"/>
        <w:spacing w:before="0" w:after="0"/>
        <w:jc w:val="right"/>
        <w:rPr/>
      </w:pPr>
      <w:r>
        <w:rPr/>
      </w:r>
    </w:p>
    <w:p>
      <w:pPr>
        <w:pStyle w:val="TextBody"/>
        <w:bidi w:val="0"/>
        <w:spacing w:lineRule="auto" w:line="288" w:before="0" w:after="0"/>
        <w:ind w:left="0" w:right="0" w:hanging="360"/>
        <w:jc w:val="both"/>
        <w:rPr/>
      </w:pPr>
      <w:r>
        <w:rPr>
          <w:rFonts w:ascii="Arial;sans-serif" w:hAnsi="Arial;sans-serif"/>
          <w:b w:val="false"/>
          <w:color w:val="000000"/>
          <w:sz w:val="20"/>
        </w:rPr>
        <w:t>5.    </w:t>
      </w:r>
      <w:r>
        <w:rPr>
          <w:rFonts w:ascii="Arial;sans-serif" w:hAnsi="Arial;sans-serif"/>
          <w:b/>
          <w:color w:val="000000"/>
          <w:sz w:val="20"/>
          <w:u w:val="single"/>
        </w:rPr>
        <w:t>Counterparts</w:t>
      </w:r>
      <w:r>
        <w:rPr>
          <w:rFonts w:ascii="Arial;sans-serif" w:hAnsi="Arial;sans-serif"/>
          <w:b w:val="false"/>
          <w:color w:val="000000"/>
          <w:sz w:val="20"/>
        </w:rPr>
        <w:t>. This Amendment may be executed in one or more counterparts (including by .pdf or electronic signature), each of which shall be an original and all of which together shall constitute one instrument.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color w:val="000000"/>
          <w:sz w:val="20"/>
        </w:rPr>
        <w:t>IN WITNESS WHEREOF</w:t>
      </w:r>
      <w:r>
        <w:rPr>
          <w:rFonts w:ascii="Arial;sans-serif" w:hAnsi="Arial;sans-serif"/>
          <w:b w:val="false"/>
          <w:color w:val="000000"/>
          <w:sz w:val="20"/>
        </w:rPr>
        <w:t>, the Parties have hereunto signed this Amendment effective as of the day and year first written above.</w:t>
      </w:r>
    </w:p>
    <w:p>
      <w:pPr>
        <w:pStyle w:val="TextBody"/>
        <w:bidi w:val="0"/>
        <w:spacing w:before="0" w:after="0"/>
        <w:ind w:left="0" w:right="0" w:firstLine="720"/>
        <w:jc w:val="left"/>
        <w:rPr/>
      </w:pPr>
      <w:r>
        <w:rPr/>
      </w:r>
    </w:p>
    <w:tbl>
      <w:tblPr>
        <w:tblW w:w="7046" w:type="dxa"/>
        <w:jc w:val="left"/>
        <w:tblInd w:w="0" w:type="dxa"/>
        <w:tblLayout w:type="fixed"/>
        <w:tblCellMar>
          <w:top w:w="28" w:type="dxa"/>
          <w:left w:w="28" w:type="dxa"/>
          <w:bottom w:w="28" w:type="dxa"/>
          <w:right w:w="28" w:type="dxa"/>
        </w:tblCellMar>
      </w:tblPr>
      <w:tblGrid>
        <w:gridCol w:w="1276"/>
        <w:gridCol w:w="1123"/>
        <w:gridCol w:w="1125"/>
        <w:gridCol w:w="109"/>
        <w:gridCol w:w="109"/>
        <w:gridCol w:w="109"/>
        <w:gridCol w:w="935"/>
        <w:gridCol w:w="935"/>
        <w:gridCol w:w="1325"/>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PATHEON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ARDELYX, INC.</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 /s/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 /s/ Paul Sainsbury</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Paul Sainsbury</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(Print Name)</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General Manager, Cincinnati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Vice President, Supply Chain</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6/1/2026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5/26/2026</w:t>
            </w:r>
          </w:p>
        </w:tc>
      </w:tr>
    </w:tbl>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929292"/>
                                <w:sz w:val="20"/>
                              </w:rPr>
                            </w:pPr>
                            <w:r>
                              <w:rPr>
                                <w:rFonts w:ascii="Arial;sans-serif" w:hAnsi="Arial;sans-serif"/>
                                <w:b w:val="false"/>
                                <w:color w:val="929292"/>
                                <w:sz w:val="20"/>
                              </w:rPr>
                              <w:t>Page 3 of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929292"/>
                          <w:sz w:val="20"/>
                        </w:rPr>
                      </w:pPr>
                      <w:r>
                        <w:rPr>
                          <w:rFonts w:ascii="Arial;sans-serif" w:hAnsi="Arial;sans-serif"/>
                          <w:b w:val="false"/>
                          <w:color w:val="929292"/>
                          <w:sz w:val="20"/>
                        </w:rPr>
                        <w:t>Page 3 of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Patheon Pricing Schedule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Bulk Product and Finished Packaged Product</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Raab,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71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210"/>
        <w:gridCol w:w="1210"/>
        <w:gridCol w:w="17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Susan Hohenleitner,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39"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50"/>
        <w:gridCol w:w="750"/>
        <w:gridCol w:w="106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Ardelyx, Inc. (the “Company”) on Form 10-Q for the period ended June 30, 2026, as filed with the Securities and Exchange Commission on the date hereof (the “Report”), Michael Raab, President and Chief Executive Officer of the Company, and Susan Hohenleitner, Chief Financial Officer of the Company, respectively, do each hereby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71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210"/>
        <w:gridCol w:w="1210"/>
        <w:gridCol w:w="17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tbl>
      <w:tblPr>
        <w:tblW w:w="513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50"/>
        <w:gridCol w:w="750"/>
        <w:gridCol w:w="106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19312514247380/d748616dex31.htm" TargetMode="External"/><Relationship Id="rId4" Type="http://schemas.openxmlformats.org/officeDocument/2006/relationships/hyperlink" Target="https://www.sec.gov/Archives/edgar/data/1437402/000162828023022681/certificateofamendment6-16.htm" TargetMode="External"/><Relationship Id="rId5" Type="http://schemas.openxmlformats.org/officeDocument/2006/relationships/hyperlink" Target="https://www.sec.gov/Archives/edgar/data/1437402/000162828025037441/ardx-20250630xexhibit31.htm" TargetMode="External"/><Relationship Id="rId6" Type="http://schemas.openxmlformats.org/officeDocument/2006/relationships/hyperlink" Target="https://www.sec.gov/Archives/edgar/data/1437402/000143740226000029/ardx-20260616xex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49505</Words>
  <Characters>274066</Characters>
  <CharactersWithSpaces>321379</CharactersWithSpaces>
  <Paragraphs>3543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