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20"/>
          <w:szCs w:val="20"/>
          <w:b w:val="1"/>
          <w:bCs w:val="1"/>
          <w:color w:val="auto"/>
        </w:rPr>
        <w:t>SECURITIES AND EXCHANGE COMMISSION</w:t>
      </w:r>
    </w:p>
    <w:p>
      <w:pPr>
        <w:spacing w:after="0" w:line="22" w:lineRule="exact"/>
        <w:rPr>
          <w:sz w:val="24"/>
          <w:szCs w:val="24"/>
          <w:color w:val="auto"/>
        </w:rPr>
      </w:pPr>
    </w:p>
    <w:p>
      <w:pPr>
        <w:jc w:val="center"/>
        <w:ind w:right="-219"/>
        <w:spacing w:after="0"/>
        <w:rPr>
          <w:sz w:val="20"/>
          <w:szCs w:val="20"/>
          <w:color w:val="auto"/>
        </w:rPr>
      </w:pPr>
      <w:r>
        <w:rPr>
          <w:rFonts w:ascii="Arial" w:cs="Arial" w:eastAsia="Arial" w:hAnsi="Arial"/>
          <w:sz w:val="20"/>
          <w:szCs w:val="20"/>
          <w:b w:val="1"/>
          <w:bCs w:val="1"/>
          <w:color w:val="auto"/>
        </w:rPr>
        <w:t>WASHINGTON, DC 20549</w:t>
      </w:r>
    </w:p>
    <w:p>
      <w:pPr>
        <w:spacing w:after="0" w:line="194" w:lineRule="exact"/>
        <w:rPr>
          <w:sz w:val="24"/>
          <w:szCs w:val="24"/>
          <w:color w:val="auto"/>
        </w:rPr>
      </w:pPr>
    </w:p>
    <w:p>
      <w:pPr>
        <w:jc w:val="center"/>
        <w:ind w:right="-219"/>
        <w:spacing w:after="0"/>
        <w:rPr>
          <w:sz w:val="20"/>
          <w:szCs w:val="20"/>
          <w:color w:val="auto"/>
        </w:rPr>
      </w:pPr>
      <w:r>
        <w:rPr>
          <w:rFonts w:ascii="Arial" w:cs="Arial" w:eastAsia="Arial" w:hAnsi="Arial"/>
          <w:sz w:val="25"/>
          <w:szCs w:val="25"/>
          <w:b w:val="1"/>
          <w:bCs w:val="1"/>
          <w:color w:val="auto"/>
        </w:rPr>
        <w:t>SCHEDULE 13G</w:t>
      </w:r>
    </w:p>
    <w:p>
      <w:pPr>
        <w:spacing w:after="0" w:line="34"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(Rule 13d-102)</w:t>
      </w:r>
    </w:p>
    <w:p>
      <w:pPr>
        <w:spacing w:after="0" w:line="209" w:lineRule="exact"/>
        <w:rPr>
          <w:sz w:val="24"/>
          <w:szCs w:val="24"/>
          <w:color w:val="auto"/>
        </w:rPr>
      </w:pPr>
    </w:p>
    <w:p>
      <w:pPr>
        <w:jc w:val="center"/>
        <w:ind w:left="460" w:right="2640"/>
        <w:spacing w:after="0" w:line="264" w:lineRule="auto"/>
        <w:rPr>
          <w:sz w:val="20"/>
          <w:szCs w:val="20"/>
          <w:color w:val="auto"/>
        </w:rPr>
      </w:pPr>
      <w:r>
        <w:rPr>
          <w:rFonts w:ascii="Arial" w:cs="Arial" w:eastAsia="Arial" w:hAnsi="Arial"/>
          <w:sz w:val="18"/>
          <w:szCs w:val="18"/>
          <w:color w:val="auto"/>
        </w:rPr>
        <w:t>INFORMATION TO BE INCLUDED IN STATEMENTS FILED PURSUANT TO RULES 13d-1(b)(c), AND (d) AND AMENDMENTS THERETO FILED PURSUANT TO RULE 13d-2(b)</w:t>
      </w:r>
    </w:p>
    <w:p>
      <w:pPr>
        <w:spacing w:after="0" w:line="181"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(Amendment No. 1) *</w:t>
      </w:r>
    </w:p>
    <w:p>
      <w:pPr>
        <w:spacing w:after="0" w:line="206" w:lineRule="exact"/>
        <w:rPr>
          <w:sz w:val="24"/>
          <w:szCs w:val="24"/>
          <w:color w:val="auto"/>
        </w:rPr>
      </w:pPr>
    </w:p>
    <w:p>
      <w:pPr>
        <w:jc w:val="center"/>
        <w:ind w:right="-219"/>
        <w:spacing w:after="0"/>
        <w:rPr>
          <w:sz w:val="20"/>
          <w:szCs w:val="20"/>
          <w:color w:val="auto"/>
        </w:rPr>
      </w:pPr>
      <w:r>
        <w:rPr>
          <w:rFonts w:ascii="Arial" w:cs="Arial" w:eastAsia="Arial" w:hAnsi="Arial"/>
          <w:sz w:val="32"/>
          <w:szCs w:val="32"/>
          <w:color w:val="auto"/>
        </w:rPr>
        <w:t>Ardelyx,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(Name of Issuer)</w:t>
      </w:r>
    </w:p>
    <w:p>
      <w:pPr>
        <w:spacing w:after="0" w:line="209"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Common Stock</w:t>
      </w:r>
    </w:p>
    <w:p>
      <w:pPr>
        <w:spacing w:after="0" w:line="36"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039697107</w:t>
      </w:r>
    </w:p>
    <w:p>
      <w:pPr>
        <w:spacing w:after="0" w:line="23"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December 31, 2019</w:t>
      </w:r>
    </w:p>
    <w:p>
      <w:pPr>
        <w:spacing w:after="0" w:line="23"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900" w:hanging="244"/>
        <w:spacing w:after="0"/>
        <w:tabs>
          <w:tab w:leader="none" w:pos="9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900" w:hanging="244"/>
        <w:spacing w:after="0"/>
        <w:tabs>
          <w:tab w:leader="none" w:pos="9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25"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(Page 1 of 10 Pages)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4"/>
          <w:szCs w:val="24"/>
          <w:color w:val="auto"/>
        </w:rPr>
      </w:pPr>
    </w:p>
    <w:p>
      <w:pPr>
        <w:ind w:right="20" w:firstLine="8"/>
        <w:spacing w:after="0" w:line="261" w:lineRule="auto"/>
        <w:tabs>
          <w:tab w:leader="none" w:pos="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4" w:lineRule="exact"/>
        <w:rPr>
          <w:sz w:val="24"/>
          <w:szCs w:val="24"/>
          <w:color w:val="auto"/>
        </w:rPr>
      </w:pPr>
    </w:p>
    <w:p>
      <w:pPr>
        <w:ind w:firstLine="324"/>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468" w:right="439" w:bottom="1440" w:gutter="0" w:footer="0" w:header="0"/>
        </w:sectPr>
      </w:pPr>
    </w:p>
    <w:bookmarkStart w:id="1" w:name="page2"/>
    <w:bookmarkEnd w:id="1"/>
    <w:p>
      <w:pPr>
        <w:spacing w:after="0"/>
        <w:tabs>
          <w:tab w:leader="none" w:pos="1200" w:val="left"/>
          <w:tab w:leader="none" w:pos="5540" w:val="left"/>
          <w:tab w:leader="none" w:pos="1004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039697107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2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56515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5651500"/>
                    </a:xfrm>
                    <a:prstGeom prst="rect">
                      <a:avLst/>
                    </a:prstGeom>
                    <a:noFill/>
                  </pic:spPr>
                </pic:pic>
              </a:graphicData>
            </a:graphic>
          </wp:anchor>
        </w:drawing>
      </w:r>
    </w:p>
    <w:p>
      <w:pPr>
        <w:spacing w:after="0" w:line="313" w:lineRule="exact"/>
        <w:rPr>
          <w:sz w:val="20"/>
          <w:szCs w:val="20"/>
          <w:color w:val="auto"/>
        </w:rPr>
      </w:pPr>
    </w:p>
    <w:p>
      <w:pPr>
        <w:ind w:left="2360" w:hanging="1238"/>
        <w:spacing w:after="0"/>
        <w:tabs>
          <w:tab w:leader="none" w:pos="2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2360" w:right="3580"/>
        <w:spacing w:after="0" w:line="387" w:lineRule="auto"/>
        <w:rPr>
          <w:rFonts w:ascii="Arial" w:cs="Arial" w:eastAsia="Arial" w:hAnsi="Arial"/>
          <w:sz w:val="18"/>
          <w:szCs w:val="18"/>
          <w:color w:val="auto"/>
        </w:rPr>
      </w:pPr>
      <w:r>
        <w:rPr>
          <w:rFonts w:ascii="Arial" w:cs="Arial" w:eastAsia="Arial" w:hAnsi="Arial"/>
          <w:sz w:val="18"/>
          <w:szCs w:val="18"/>
          <w:color w:val="auto"/>
        </w:rPr>
        <w:t>I.R.S. IDENTIFICATION NO. OF ABOVE PERSONS (ENTITIES ONLY) Deerfield Mgmt, L.P.</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1300" w:type="dxa"/>
            <w:vAlign w:val="bottom"/>
          </w:tcPr>
          <w:p>
            <w:pPr>
              <w:ind w:left="5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300" w:type="dxa"/>
            <w:vAlign w:val="bottom"/>
          </w:tcPr>
          <w:p>
            <w:pPr>
              <w:ind w:left="5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2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54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230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54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8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gridSpan w:val="2"/>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CITIZENSHIP OR PLACE OF ORGANIZATION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Delaware</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230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5.</w:t>
            </w:r>
          </w:p>
        </w:tc>
        <w:tc>
          <w:tcPr>
            <w:tcW w:w="546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28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2300" w:type="dxa"/>
            <w:vAlign w:val="bottom"/>
            <w:tcBorders>
              <w:right w:val="single" w:sz="8" w:color="auto"/>
            </w:tcBorders>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2300" w:type="dxa"/>
            <w:vAlign w:val="bottom"/>
            <w:tcBorders>
              <w:bottom w:val="single" w:sz="8" w:color="auto"/>
              <w:right w:val="single" w:sz="8" w:color="auto"/>
            </w:tcBorders>
          </w:tcPr>
          <w:p>
            <w:pPr>
              <w:spacing w:after="0"/>
              <w:rPr>
                <w:sz w:val="3"/>
                <w:szCs w:val="3"/>
                <w:color w:val="auto"/>
              </w:rPr>
            </w:pPr>
          </w:p>
        </w:tc>
        <w:tc>
          <w:tcPr>
            <w:tcW w:w="54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280" w:type="dxa"/>
            <w:vAlign w:val="bottom"/>
            <w:vMerge w:val="continue"/>
          </w:tcPr>
          <w:p>
            <w:pPr>
              <w:spacing w:after="0"/>
              <w:rPr>
                <w:sz w:val="13"/>
                <w:szCs w:val="13"/>
                <w:color w:val="auto"/>
              </w:rPr>
            </w:pPr>
          </w:p>
        </w:tc>
        <w:tc>
          <w:tcPr>
            <w:tcW w:w="230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8"/>
                <w:szCs w:val="18"/>
                <w:color w:val="auto"/>
              </w:rPr>
              <w:t>6.</w:t>
            </w: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2300" w:type="dxa"/>
            <w:vAlign w:val="bottom"/>
            <w:tcBorders>
              <w:right w:val="single" w:sz="8" w:color="auto"/>
            </w:tcBorders>
            <w:vMerge w:val="continue"/>
          </w:tcPr>
          <w:p>
            <w:pPr>
              <w:spacing w:after="0"/>
              <w:rPr>
                <w:sz w:val="7"/>
                <w:szCs w:val="7"/>
                <w:color w:val="auto"/>
              </w:rPr>
            </w:pPr>
          </w:p>
        </w:tc>
        <w:tc>
          <w:tcPr>
            <w:tcW w:w="54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280" w:type="dxa"/>
            <w:vAlign w:val="bottom"/>
            <w:vMerge w:val="continue"/>
          </w:tcPr>
          <w:p>
            <w:pPr>
              <w:spacing w:after="0"/>
              <w:rPr>
                <w:sz w:val="11"/>
                <w:szCs w:val="11"/>
                <w:color w:val="auto"/>
              </w:rPr>
            </w:pPr>
          </w:p>
        </w:tc>
        <w:tc>
          <w:tcPr>
            <w:tcW w:w="2300" w:type="dxa"/>
            <w:vAlign w:val="bottom"/>
            <w:tcBorders>
              <w:right w:val="single" w:sz="8" w:color="auto"/>
            </w:tcBorders>
          </w:tcPr>
          <w:p>
            <w:pPr>
              <w:spacing w:after="0"/>
              <w:rPr>
                <w:sz w:val="11"/>
                <w:szCs w:val="11"/>
                <w:color w:val="auto"/>
              </w:rPr>
            </w:pPr>
          </w:p>
        </w:tc>
        <w:tc>
          <w:tcPr>
            <w:tcW w:w="54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2300" w:type="dxa"/>
            <w:vAlign w:val="bottom"/>
            <w:tcBorders>
              <w:right w:val="single" w:sz="8" w:color="auto"/>
            </w:tcBorders>
          </w:tcPr>
          <w:p>
            <w:pPr>
              <w:spacing w:after="0"/>
              <w:rPr>
                <w:sz w:val="18"/>
                <w:szCs w:val="18"/>
                <w:color w:val="auto"/>
              </w:rPr>
            </w:pP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7,004,253 (1)</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2300" w:type="dxa"/>
            <w:vAlign w:val="bottom"/>
            <w:tcBorders>
              <w:right w:val="single" w:sz="8" w:color="auto"/>
            </w:tcBorders>
          </w:tcPr>
          <w:p>
            <w:pPr>
              <w:spacing w:after="0"/>
              <w:rPr>
                <w:sz w:val="7"/>
                <w:szCs w:val="7"/>
                <w:color w:val="auto"/>
              </w:rPr>
            </w:pPr>
          </w:p>
        </w:tc>
        <w:tc>
          <w:tcPr>
            <w:tcW w:w="54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80" w:type="dxa"/>
            <w:vAlign w:val="bottom"/>
            <w:vMerge w:val="continue"/>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2280" w:type="dxa"/>
            <w:vAlign w:val="bottom"/>
            <w:vMerge w:val="continue"/>
          </w:tcPr>
          <w:p>
            <w:pPr>
              <w:spacing w:after="0"/>
              <w:rPr>
                <w:sz w:val="7"/>
                <w:szCs w:val="7"/>
                <w:color w:val="auto"/>
              </w:rPr>
            </w:pPr>
          </w:p>
        </w:tc>
        <w:tc>
          <w:tcPr>
            <w:tcW w:w="230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8"/>
                <w:szCs w:val="18"/>
                <w:color w:val="auto"/>
              </w:rPr>
              <w:t>7.</w:t>
            </w: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2300" w:type="dxa"/>
            <w:vAlign w:val="bottom"/>
            <w:tcBorders>
              <w:right w:val="single" w:sz="8" w:color="auto"/>
            </w:tcBorders>
            <w:vMerge w:val="continue"/>
          </w:tcPr>
          <w:p>
            <w:pPr>
              <w:spacing w:after="0"/>
              <w:rPr>
                <w:sz w:val="12"/>
                <w:szCs w:val="12"/>
                <w:color w:val="auto"/>
              </w:rPr>
            </w:pPr>
          </w:p>
        </w:tc>
        <w:tc>
          <w:tcPr>
            <w:tcW w:w="546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280" w:type="dxa"/>
            <w:vAlign w:val="bottom"/>
            <w:vMerge w:val="continue"/>
          </w:tcPr>
          <w:p>
            <w:pPr>
              <w:spacing w:after="0"/>
              <w:rPr>
                <w:sz w:val="5"/>
                <w:szCs w:val="5"/>
                <w:color w:val="auto"/>
              </w:rPr>
            </w:pPr>
          </w:p>
        </w:tc>
        <w:tc>
          <w:tcPr>
            <w:tcW w:w="2300" w:type="dxa"/>
            <w:vAlign w:val="bottom"/>
            <w:tcBorders>
              <w:right w:val="single" w:sz="8" w:color="auto"/>
            </w:tcBorders>
          </w:tcPr>
          <w:p>
            <w:pPr>
              <w:spacing w:after="0"/>
              <w:rPr>
                <w:sz w:val="5"/>
                <w:szCs w:val="5"/>
                <w:color w:val="auto"/>
              </w:rPr>
            </w:pPr>
          </w:p>
        </w:tc>
        <w:tc>
          <w:tcPr>
            <w:tcW w:w="54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2300" w:type="dxa"/>
            <w:vAlign w:val="bottom"/>
            <w:tcBorders>
              <w:right w:val="single" w:sz="8" w:color="auto"/>
            </w:tcBorders>
          </w:tcPr>
          <w:p>
            <w:pPr>
              <w:spacing w:after="0"/>
              <w:rPr>
                <w:sz w:val="18"/>
                <w:szCs w:val="18"/>
                <w:color w:val="auto"/>
              </w:rPr>
            </w:pP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280" w:type="dxa"/>
            <w:vAlign w:val="bottom"/>
            <w:vMerge w:val="restart"/>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2300" w:type="dxa"/>
            <w:vAlign w:val="bottom"/>
            <w:tcBorders>
              <w:right w:val="single" w:sz="8" w:color="auto"/>
            </w:tcBorders>
          </w:tcPr>
          <w:p>
            <w:pPr>
              <w:spacing w:after="0"/>
              <w:rPr>
                <w:sz w:val="12"/>
                <w:szCs w:val="12"/>
                <w:color w:val="auto"/>
              </w:rPr>
            </w:pPr>
          </w:p>
        </w:tc>
        <w:tc>
          <w:tcPr>
            <w:tcW w:w="546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280" w:type="dxa"/>
            <w:vAlign w:val="bottom"/>
            <w:vMerge w:val="continue"/>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230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8.</w:t>
            </w:r>
          </w:p>
        </w:tc>
        <w:tc>
          <w:tcPr>
            <w:tcW w:w="546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7,004,253 (1)</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7,004,253 (1)</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28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300" w:type="dxa"/>
            <w:vAlign w:val="bottom"/>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2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8.45%</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2360" w:hanging="1283"/>
        <w:spacing w:after="0"/>
        <w:tabs>
          <w:tab w:leader="none" w:pos="2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PN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23" w:lineRule="exact"/>
        <w:rPr>
          <w:sz w:val="20"/>
          <w:szCs w:val="20"/>
          <w:color w:val="auto"/>
        </w:rPr>
      </w:pPr>
    </w:p>
    <w:p>
      <w:pPr>
        <w:ind w:right="180" w:firstLine="8"/>
        <w:spacing w:after="0" w:line="261" w:lineRule="auto"/>
        <w:tabs>
          <w:tab w:leader="none" w:pos="255"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Comprised of shares of common stock held by Deerfield Partners, L.P. and Deerfield Special Situations Fund, L.P., of which Deerfield Mgmt, L.P. is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p>
      <w:pPr>
        <w:spacing w:after="0"/>
        <w:tabs>
          <w:tab w:leader="none" w:pos="1200" w:val="left"/>
          <w:tab w:leader="none" w:pos="5540" w:val="left"/>
          <w:tab w:leader="none" w:pos="1004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039697107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3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56515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5651500"/>
                    </a:xfrm>
                    <a:prstGeom prst="rect">
                      <a:avLst/>
                    </a:prstGeom>
                    <a:noFill/>
                  </pic:spPr>
                </pic:pic>
              </a:graphicData>
            </a:graphic>
          </wp:anchor>
        </w:drawing>
      </w:r>
    </w:p>
    <w:p>
      <w:pPr>
        <w:spacing w:after="0" w:line="313" w:lineRule="exact"/>
        <w:rPr>
          <w:sz w:val="20"/>
          <w:szCs w:val="20"/>
          <w:color w:val="auto"/>
        </w:rPr>
      </w:pPr>
    </w:p>
    <w:p>
      <w:pPr>
        <w:ind w:left="2360" w:hanging="1238"/>
        <w:spacing w:after="0"/>
        <w:tabs>
          <w:tab w:leader="none" w:pos="2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2360" w:right="3580"/>
        <w:spacing w:after="0" w:line="387" w:lineRule="auto"/>
        <w:rPr>
          <w:rFonts w:ascii="Arial" w:cs="Arial" w:eastAsia="Arial" w:hAnsi="Arial"/>
          <w:sz w:val="18"/>
          <w:szCs w:val="18"/>
          <w:color w:val="auto"/>
        </w:rPr>
      </w:pPr>
      <w:r>
        <w:rPr>
          <w:rFonts w:ascii="Arial" w:cs="Arial" w:eastAsia="Arial" w:hAnsi="Arial"/>
          <w:sz w:val="18"/>
          <w:szCs w:val="18"/>
          <w:color w:val="auto"/>
        </w:rPr>
        <w:t>I.R.S. IDENTIFICATION NO. OF ABOVE PERSONS (ENTITIES ONLY) Deerfield Management Company, L.P.</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1300" w:type="dxa"/>
            <w:vAlign w:val="bottom"/>
          </w:tcPr>
          <w:p>
            <w:pPr>
              <w:ind w:left="5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300" w:type="dxa"/>
            <w:vAlign w:val="bottom"/>
          </w:tcPr>
          <w:p>
            <w:pPr>
              <w:ind w:left="5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2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54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230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54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8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gridSpan w:val="2"/>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CITIZENSHIP OR PLACE OF ORGANIZATION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Delaware</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230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5.</w:t>
            </w:r>
          </w:p>
        </w:tc>
        <w:tc>
          <w:tcPr>
            <w:tcW w:w="546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28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2300" w:type="dxa"/>
            <w:vAlign w:val="bottom"/>
            <w:tcBorders>
              <w:right w:val="single" w:sz="8" w:color="auto"/>
            </w:tcBorders>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2300" w:type="dxa"/>
            <w:vAlign w:val="bottom"/>
            <w:tcBorders>
              <w:bottom w:val="single" w:sz="8" w:color="auto"/>
              <w:right w:val="single" w:sz="8" w:color="auto"/>
            </w:tcBorders>
          </w:tcPr>
          <w:p>
            <w:pPr>
              <w:spacing w:after="0"/>
              <w:rPr>
                <w:sz w:val="3"/>
                <w:szCs w:val="3"/>
                <w:color w:val="auto"/>
              </w:rPr>
            </w:pPr>
          </w:p>
        </w:tc>
        <w:tc>
          <w:tcPr>
            <w:tcW w:w="54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280" w:type="dxa"/>
            <w:vAlign w:val="bottom"/>
            <w:vMerge w:val="continue"/>
          </w:tcPr>
          <w:p>
            <w:pPr>
              <w:spacing w:after="0"/>
              <w:rPr>
                <w:sz w:val="13"/>
                <w:szCs w:val="13"/>
                <w:color w:val="auto"/>
              </w:rPr>
            </w:pPr>
          </w:p>
        </w:tc>
        <w:tc>
          <w:tcPr>
            <w:tcW w:w="230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8"/>
                <w:szCs w:val="18"/>
                <w:color w:val="auto"/>
              </w:rPr>
              <w:t>6.</w:t>
            </w: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2300" w:type="dxa"/>
            <w:vAlign w:val="bottom"/>
            <w:tcBorders>
              <w:right w:val="single" w:sz="8" w:color="auto"/>
            </w:tcBorders>
            <w:vMerge w:val="continue"/>
          </w:tcPr>
          <w:p>
            <w:pPr>
              <w:spacing w:after="0"/>
              <w:rPr>
                <w:sz w:val="7"/>
                <w:szCs w:val="7"/>
                <w:color w:val="auto"/>
              </w:rPr>
            </w:pPr>
          </w:p>
        </w:tc>
        <w:tc>
          <w:tcPr>
            <w:tcW w:w="54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280" w:type="dxa"/>
            <w:vAlign w:val="bottom"/>
            <w:vMerge w:val="continue"/>
          </w:tcPr>
          <w:p>
            <w:pPr>
              <w:spacing w:after="0"/>
              <w:rPr>
                <w:sz w:val="11"/>
                <w:szCs w:val="11"/>
                <w:color w:val="auto"/>
              </w:rPr>
            </w:pPr>
          </w:p>
        </w:tc>
        <w:tc>
          <w:tcPr>
            <w:tcW w:w="2300" w:type="dxa"/>
            <w:vAlign w:val="bottom"/>
            <w:tcBorders>
              <w:right w:val="single" w:sz="8" w:color="auto"/>
            </w:tcBorders>
          </w:tcPr>
          <w:p>
            <w:pPr>
              <w:spacing w:after="0"/>
              <w:rPr>
                <w:sz w:val="11"/>
                <w:szCs w:val="11"/>
                <w:color w:val="auto"/>
              </w:rPr>
            </w:pPr>
          </w:p>
        </w:tc>
        <w:tc>
          <w:tcPr>
            <w:tcW w:w="54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2300" w:type="dxa"/>
            <w:vAlign w:val="bottom"/>
            <w:tcBorders>
              <w:right w:val="single" w:sz="8" w:color="auto"/>
            </w:tcBorders>
          </w:tcPr>
          <w:p>
            <w:pPr>
              <w:spacing w:after="0"/>
              <w:rPr>
                <w:sz w:val="18"/>
                <w:szCs w:val="18"/>
                <w:color w:val="auto"/>
              </w:rPr>
            </w:pP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7,004,253 (2)</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2300" w:type="dxa"/>
            <w:vAlign w:val="bottom"/>
            <w:tcBorders>
              <w:right w:val="single" w:sz="8" w:color="auto"/>
            </w:tcBorders>
          </w:tcPr>
          <w:p>
            <w:pPr>
              <w:spacing w:after="0"/>
              <w:rPr>
                <w:sz w:val="7"/>
                <w:szCs w:val="7"/>
                <w:color w:val="auto"/>
              </w:rPr>
            </w:pPr>
          </w:p>
        </w:tc>
        <w:tc>
          <w:tcPr>
            <w:tcW w:w="54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80" w:type="dxa"/>
            <w:vAlign w:val="bottom"/>
            <w:vMerge w:val="continue"/>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2280" w:type="dxa"/>
            <w:vAlign w:val="bottom"/>
            <w:vMerge w:val="continue"/>
          </w:tcPr>
          <w:p>
            <w:pPr>
              <w:spacing w:after="0"/>
              <w:rPr>
                <w:sz w:val="7"/>
                <w:szCs w:val="7"/>
                <w:color w:val="auto"/>
              </w:rPr>
            </w:pPr>
          </w:p>
        </w:tc>
        <w:tc>
          <w:tcPr>
            <w:tcW w:w="230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8"/>
                <w:szCs w:val="18"/>
                <w:color w:val="auto"/>
              </w:rPr>
              <w:t>7.</w:t>
            </w: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2300" w:type="dxa"/>
            <w:vAlign w:val="bottom"/>
            <w:tcBorders>
              <w:right w:val="single" w:sz="8" w:color="auto"/>
            </w:tcBorders>
            <w:vMerge w:val="continue"/>
          </w:tcPr>
          <w:p>
            <w:pPr>
              <w:spacing w:after="0"/>
              <w:rPr>
                <w:sz w:val="12"/>
                <w:szCs w:val="12"/>
                <w:color w:val="auto"/>
              </w:rPr>
            </w:pPr>
          </w:p>
        </w:tc>
        <w:tc>
          <w:tcPr>
            <w:tcW w:w="546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280" w:type="dxa"/>
            <w:vAlign w:val="bottom"/>
            <w:vMerge w:val="continue"/>
          </w:tcPr>
          <w:p>
            <w:pPr>
              <w:spacing w:after="0"/>
              <w:rPr>
                <w:sz w:val="5"/>
                <w:szCs w:val="5"/>
                <w:color w:val="auto"/>
              </w:rPr>
            </w:pPr>
          </w:p>
        </w:tc>
        <w:tc>
          <w:tcPr>
            <w:tcW w:w="2300" w:type="dxa"/>
            <w:vAlign w:val="bottom"/>
            <w:tcBorders>
              <w:right w:val="single" w:sz="8" w:color="auto"/>
            </w:tcBorders>
          </w:tcPr>
          <w:p>
            <w:pPr>
              <w:spacing w:after="0"/>
              <w:rPr>
                <w:sz w:val="5"/>
                <w:szCs w:val="5"/>
                <w:color w:val="auto"/>
              </w:rPr>
            </w:pPr>
          </w:p>
        </w:tc>
        <w:tc>
          <w:tcPr>
            <w:tcW w:w="54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2300" w:type="dxa"/>
            <w:vAlign w:val="bottom"/>
            <w:tcBorders>
              <w:right w:val="single" w:sz="8" w:color="auto"/>
            </w:tcBorders>
          </w:tcPr>
          <w:p>
            <w:pPr>
              <w:spacing w:after="0"/>
              <w:rPr>
                <w:sz w:val="18"/>
                <w:szCs w:val="18"/>
                <w:color w:val="auto"/>
              </w:rPr>
            </w:pP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280" w:type="dxa"/>
            <w:vAlign w:val="bottom"/>
            <w:vMerge w:val="restart"/>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2300" w:type="dxa"/>
            <w:vAlign w:val="bottom"/>
            <w:tcBorders>
              <w:right w:val="single" w:sz="8" w:color="auto"/>
            </w:tcBorders>
          </w:tcPr>
          <w:p>
            <w:pPr>
              <w:spacing w:after="0"/>
              <w:rPr>
                <w:sz w:val="12"/>
                <w:szCs w:val="12"/>
                <w:color w:val="auto"/>
              </w:rPr>
            </w:pPr>
          </w:p>
        </w:tc>
        <w:tc>
          <w:tcPr>
            <w:tcW w:w="546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280" w:type="dxa"/>
            <w:vAlign w:val="bottom"/>
            <w:vMerge w:val="continue"/>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230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8.</w:t>
            </w:r>
          </w:p>
        </w:tc>
        <w:tc>
          <w:tcPr>
            <w:tcW w:w="546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7,004,253 (2)</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7,004,253 (2)</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28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300" w:type="dxa"/>
            <w:vAlign w:val="bottom"/>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2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8.45%</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2360" w:hanging="1283"/>
        <w:spacing w:after="0"/>
        <w:tabs>
          <w:tab w:leader="none" w:pos="2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PN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23" w:lineRule="exact"/>
        <w:rPr>
          <w:sz w:val="20"/>
          <w:szCs w:val="20"/>
          <w:color w:val="auto"/>
        </w:rPr>
      </w:pPr>
    </w:p>
    <w:p>
      <w:pPr>
        <w:ind w:right="480" w:firstLine="8"/>
        <w:spacing w:after="0" w:line="261" w:lineRule="auto"/>
        <w:tabs>
          <w:tab w:leader="none" w:pos="2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Comprised of shares of common stock held by Deerfield Partners, L.P. and Deerfield Special Situations Fund, L.P., of which Deerfield Management Company, L.P. is the investment advisor.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spacing w:after="0"/>
        <w:tabs>
          <w:tab w:leader="none" w:pos="1200" w:val="left"/>
          <w:tab w:leader="none" w:pos="5540" w:val="left"/>
          <w:tab w:leader="none" w:pos="1004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039697107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4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56515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5651500"/>
                    </a:xfrm>
                    <a:prstGeom prst="rect">
                      <a:avLst/>
                    </a:prstGeom>
                    <a:noFill/>
                  </pic:spPr>
                </pic:pic>
              </a:graphicData>
            </a:graphic>
          </wp:anchor>
        </w:drawing>
      </w:r>
    </w:p>
    <w:p>
      <w:pPr>
        <w:spacing w:after="0" w:line="313" w:lineRule="exact"/>
        <w:rPr>
          <w:sz w:val="20"/>
          <w:szCs w:val="20"/>
          <w:color w:val="auto"/>
        </w:rPr>
      </w:pPr>
    </w:p>
    <w:p>
      <w:pPr>
        <w:ind w:left="2360" w:hanging="1238"/>
        <w:spacing w:after="0"/>
        <w:tabs>
          <w:tab w:leader="none" w:pos="2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2360" w:right="3580"/>
        <w:spacing w:after="0" w:line="387" w:lineRule="auto"/>
        <w:rPr>
          <w:rFonts w:ascii="Arial" w:cs="Arial" w:eastAsia="Arial" w:hAnsi="Arial"/>
          <w:sz w:val="18"/>
          <w:szCs w:val="18"/>
          <w:color w:val="auto"/>
        </w:rPr>
      </w:pPr>
      <w:r>
        <w:rPr>
          <w:rFonts w:ascii="Arial" w:cs="Arial" w:eastAsia="Arial" w:hAnsi="Arial"/>
          <w:sz w:val="18"/>
          <w:szCs w:val="18"/>
          <w:color w:val="auto"/>
        </w:rPr>
        <w:t>I.R.S. IDENTIFICATION NO. OF ABOVE PERSONS (ENTITIES ONLY) Deerfield Special Situations Fund, L.P.</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1300" w:type="dxa"/>
            <w:vAlign w:val="bottom"/>
          </w:tcPr>
          <w:p>
            <w:pPr>
              <w:ind w:left="5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300" w:type="dxa"/>
            <w:vAlign w:val="bottom"/>
          </w:tcPr>
          <w:p>
            <w:pPr>
              <w:ind w:left="5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2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54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230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54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8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gridSpan w:val="2"/>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CITIZENSHIP OR PLACE OF ORGANIZATION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Delaware</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230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5.</w:t>
            </w:r>
          </w:p>
        </w:tc>
        <w:tc>
          <w:tcPr>
            <w:tcW w:w="546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28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2300" w:type="dxa"/>
            <w:vAlign w:val="bottom"/>
            <w:tcBorders>
              <w:right w:val="single" w:sz="8" w:color="auto"/>
            </w:tcBorders>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2300" w:type="dxa"/>
            <w:vAlign w:val="bottom"/>
            <w:tcBorders>
              <w:bottom w:val="single" w:sz="8" w:color="auto"/>
              <w:right w:val="single" w:sz="8" w:color="auto"/>
            </w:tcBorders>
          </w:tcPr>
          <w:p>
            <w:pPr>
              <w:spacing w:after="0"/>
              <w:rPr>
                <w:sz w:val="3"/>
                <w:szCs w:val="3"/>
                <w:color w:val="auto"/>
              </w:rPr>
            </w:pPr>
          </w:p>
        </w:tc>
        <w:tc>
          <w:tcPr>
            <w:tcW w:w="54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280" w:type="dxa"/>
            <w:vAlign w:val="bottom"/>
            <w:vMerge w:val="continue"/>
          </w:tcPr>
          <w:p>
            <w:pPr>
              <w:spacing w:after="0"/>
              <w:rPr>
                <w:sz w:val="13"/>
                <w:szCs w:val="13"/>
                <w:color w:val="auto"/>
              </w:rPr>
            </w:pPr>
          </w:p>
        </w:tc>
        <w:tc>
          <w:tcPr>
            <w:tcW w:w="230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8"/>
                <w:szCs w:val="18"/>
                <w:color w:val="auto"/>
              </w:rPr>
              <w:t>6.</w:t>
            </w: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2300" w:type="dxa"/>
            <w:vAlign w:val="bottom"/>
            <w:tcBorders>
              <w:right w:val="single" w:sz="8" w:color="auto"/>
            </w:tcBorders>
            <w:vMerge w:val="continue"/>
          </w:tcPr>
          <w:p>
            <w:pPr>
              <w:spacing w:after="0"/>
              <w:rPr>
                <w:sz w:val="7"/>
                <w:szCs w:val="7"/>
                <w:color w:val="auto"/>
              </w:rPr>
            </w:pPr>
          </w:p>
        </w:tc>
        <w:tc>
          <w:tcPr>
            <w:tcW w:w="54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280" w:type="dxa"/>
            <w:vAlign w:val="bottom"/>
            <w:vMerge w:val="continue"/>
          </w:tcPr>
          <w:p>
            <w:pPr>
              <w:spacing w:after="0"/>
              <w:rPr>
                <w:sz w:val="11"/>
                <w:szCs w:val="11"/>
                <w:color w:val="auto"/>
              </w:rPr>
            </w:pPr>
          </w:p>
        </w:tc>
        <w:tc>
          <w:tcPr>
            <w:tcW w:w="2300" w:type="dxa"/>
            <w:vAlign w:val="bottom"/>
            <w:tcBorders>
              <w:right w:val="single" w:sz="8" w:color="auto"/>
            </w:tcBorders>
          </w:tcPr>
          <w:p>
            <w:pPr>
              <w:spacing w:after="0"/>
              <w:rPr>
                <w:sz w:val="11"/>
                <w:szCs w:val="11"/>
                <w:color w:val="auto"/>
              </w:rPr>
            </w:pPr>
          </w:p>
        </w:tc>
        <w:tc>
          <w:tcPr>
            <w:tcW w:w="54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2300" w:type="dxa"/>
            <w:vAlign w:val="bottom"/>
            <w:tcBorders>
              <w:right w:val="single" w:sz="8" w:color="auto"/>
            </w:tcBorders>
          </w:tcPr>
          <w:p>
            <w:pPr>
              <w:spacing w:after="0"/>
              <w:rPr>
                <w:sz w:val="18"/>
                <w:szCs w:val="18"/>
                <w:color w:val="auto"/>
              </w:rPr>
            </w:pP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331,400</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2300" w:type="dxa"/>
            <w:vAlign w:val="bottom"/>
            <w:tcBorders>
              <w:right w:val="single" w:sz="8" w:color="auto"/>
            </w:tcBorders>
          </w:tcPr>
          <w:p>
            <w:pPr>
              <w:spacing w:after="0"/>
              <w:rPr>
                <w:sz w:val="7"/>
                <w:szCs w:val="7"/>
                <w:color w:val="auto"/>
              </w:rPr>
            </w:pPr>
          </w:p>
        </w:tc>
        <w:tc>
          <w:tcPr>
            <w:tcW w:w="54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80" w:type="dxa"/>
            <w:vAlign w:val="bottom"/>
            <w:vMerge w:val="continue"/>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2280" w:type="dxa"/>
            <w:vAlign w:val="bottom"/>
            <w:vMerge w:val="continue"/>
          </w:tcPr>
          <w:p>
            <w:pPr>
              <w:spacing w:after="0"/>
              <w:rPr>
                <w:sz w:val="7"/>
                <w:szCs w:val="7"/>
                <w:color w:val="auto"/>
              </w:rPr>
            </w:pPr>
          </w:p>
        </w:tc>
        <w:tc>
          <w:tcPr>
            <w:tcW w:w="230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8"/>
                <w:szCs w:val="18"/>
                <w:color w:val="auto"/>
              </w:rPr>
              <w:t>7.</w:t>
            </w: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2300" w:type="dxa"/>
            <w:vAlign w:val="bottom"/>
            <w:tcBorders>
              <w:right w:val="single" w:sz="8" w:color="auto"/>
            </w:tcBorders>
            <w:vMerge w:val="continue"/>
          </w:tcPr>
          <w:p>
            <w:pPr>
              <w:spacing w:after="0"/>
              <w:rPr>
                <w:sz w:val="12"/>
                <w:szCs w:val="12"/>
                <w:color w:val="auto"/>
              </w:rPr>
            </w:pPr>
          </w:p>
        </w:tc>
        <w:tc>
          <w:tcPr>
            <w:tcW w:w="546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280" w:type="dxa"/>
            <w:vAlign w:val="bottom"/>
            <w:vMerge w:val="continue"/>
          </w:tcPr>
          <w:p>
            <w:pPr>
              <w:spacing w:after="0"/>
              <w:rPr>
                <w:sz w:val="5"/>
                <w:szCs w:val="5"/>
                <w:color w:val="auto"/>
              </w:rPr>
            </w:pPr>
          </w:p>
        </w:tc>
        <w:tc>
          <w:tcPr>
            <w:tcW w:w="2300" w:type="dxa"/>
            <w:vAlign w:val="bottom"/>
            <w:tcBorders>
              <w:right w:val="single" w:sz="8" w:color="auto"/>
            </w:tcBorders>
          </w:tcPr>
          <w:p>
            <w:pPr>
              <w:spacing w:after="0"/>
              <w:rPr>
                <w:sz w:val="5"/>
                <w:szCs w:val="5"/>
                <w:color w:val="auto"/>
              </w:rPr>
            </w:pPr>
          </w:p>
        </w:tc>
        <w:tc>
          <w:tcPr>
            <w:tcW w:w="54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2300" w:type="dxa"/>
            <w:vAlign w:val="bottom"/>
            <w:tcBorders>
              <w:right w:val="single" w:sz="8" w:color="auto"/>
            </w:tcBorders>
          </w:tcPr>
          <w:p>
            <w:pPr>
              <w:spacing w:after="0"/>
              <w:rPr>
                <w:sz w:val="18"/>
                <w:szCs w:val="18"/>
                <w:color w:val="auto"/>
              </w:rPr>
            </w:pP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280" w:type="dxa"/>
            <w:vAlign w:val="bottom"/>
            <w:vMerge w:val="restart"/>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2300" w:type="dxa"/>
            <w:vAlign w:val="bottom"/>
            <w:tcBorders>
              <w:right w:val="single" w:sz="8" w:color="auto"/>
            </w:tcBorders>
          </w:tcPr>
          <w:p>
            <w:pPr>
              <w:spacing w:after="0"/>
              <w:rPr>
                <w:sz w:val="12"/>
                <w:szCs w:val="12"/>
                <w:color w:val="auto"/>
              </w:rPr>
            </w:pPr>
          </w:p>
        </w:tc>
        <w:tc>
          <w:tcPr>
            <w:tcW w:w="546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280" w:type="dxa"/>
            <w:vAlign w:val="bottom"/>
            <w:vMerge w:val="continue"/>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230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8.</w:t>
            </w:r>
          </w:p>
        </w:tc>
        <w:tc>
          <w:tcPr>
            <w:tcW w:w="546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331,400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331,400</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28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300" w:type="dxa"/>
            <w:vAlign w:val="bottom"/>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2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0.40%</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2360" w:right="6460" w:hanging="1283"/>
        <w:spacing w:after="0" w:line="528" w:lineRule="auto"/>
        <w:tabs>
          <w:tab w:leader="none" w:pos="2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spacing w:after="0"/>
        <w:tabs>
          <w:tab w:leader="none" w:pos="1200" w:val="left"/>
          <w:tab w:leader="none" w:pos="5540" w:val="left"/>
          <w:tab w:leader="none" w:pos="1004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039697107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5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56515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5651500"/>
                    </a:xfrm>
                    <a:prstGeom prst="rect">
                      <a:avLst/>
                    </a:prstGeom>
                    <a:noFill/>
                  </pic:spPr>
                </pic:pic>
              </a:graphicData>
            </a:graphic>
          </wp:anchor>
        </w:drawing>
      </w:r>
    </w:p>
    <w:p>
      <w:pPr>
        <w:spacing w:after="0" w:line="313" w:lineRule="exact"/>
        <w:rPr>
          <w:sz w:val="20"/>
          <w:szCs w:val="20"/>
          <w:color w:val="auto"/>
        </w:rPr>
      </w:pPr>
    </w:p>
    <w:p>
      <w:pPr>
        <w:ind w:left="2360" w:hanging="1238"/>
        <w:spacing w:after="0"/>
        <w:tabs>
          <w:tab w:leader="none" w:pos="2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2360" w:right="3580"/>
        <w:spacing w:after="0" w:line="387" w:lineRule="auto"/>
        <w:rPr>
          <w:rFonts w:ascii="Arial" w:cs="Arial" w:eastAsia="Arial" w:hAnsi="Arial"/>
          <w:sz w:val="18"/>
          <w:szCs w:val="18"/>
          <w:color w:val="auto"/>
        </w:rPr>
      </w:pPr>
      <w:r>
        <w:rPr>
          <w:rFonts w:ascii="Arial" w:cs="Arial" w:eastAsia="Arial" w:hAnsi="Arial"/>
          <w:sz w:val="18"/>
          <w:szCs w:val="18"/>
          <w:color w:val="auto"/>
        </w:rPr>
        <w:t>I.R.S. IDENTIFICATION NO. OF ABOVE PERSONS (ENTITIES ONLY) Deerfield Partners, L.P.</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1300" w:type="dxa"/>
            <w:vAlign w:val="bottom"/>
          </w:tcPr>
          <w:p>
            <w:pPr>
              <w:ind w:left="5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300" w:type="dxa"/>
            <w:vAlign w:val="bottom"/>
          </w:tcPr>
          <w:p>
            <w:pPr>
              <w:ind w:left="5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2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54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230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54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8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gridSpan w:val="2"/>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CITIZENSHIP OR PLACE OF ORGANIZATION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Delaware</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230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5.</w:t>
            </w:r>
          </w:p>
        </w:tc>
        <w:tc>
          <w:tcPr>
            <w:tcW w:w="546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28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2300" w:type="dxa"/>
            <w:vAlign w:val="bottom"/>
            <w:tcBorders>
              <w:right w:val="single" w:sz="8" w:color="auto"/>
            </w:tcBorders>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2300" w:type="dxa"/>
            <w:vAlign w:val="bottom"/>
            <w:tcBorders>
              <w:bottom w:val="single" w:sz="8" w:color="auto"/>
              <w:right w:val="single" w:sz="8" w:color="auto"/>
            </w:tcBorders>
          </w:tcPr>
          <w:p>
            <w:pPr>
              <w:spacing w:after="0"/>
              <w:rPr>
                <w:sz w:val="3"/>
                <w:szCs w:val="3"/>
                <w:color w:val="auto"/>
              </w:rPr>
            </w:pPr>
          </w:p>
        </w:tc>
        <w:tc>
          <w:tcPr>
            <w:tcW w:w="54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280" w:type="dxa"/>
            <w:vAlign w:val="bottom"/>
            <w:vMerge w:val="continue"/>
          </w:tcPr>
          <w:p>
            <w:pPr>
              <w:spacing w:after="0"/>
              <w:rPr>
                <w:sz w:val="13"/>
                <w:szCs w:val="13"/>
                <w:color w:val="auto"/>
              </w:rPr>
            </w:pPr>
          </w:p>
        </w:tc>
        <w:tc>
          <w:tcPr>
            <w:tcW w:w="230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8"/>
                <w:szCs w:val="18"/>
                <w:color w:val="auto"/>
              </w:rPr>
              <w:t>6.</w:t>
            </w: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2300" w:type="dxa"/>
            <w:vAlign w:val="bottom"/>
            <w:tcBorders>
              <w:right w:val="single" w:sz="8" w:color="auto"/>
            </w:tcBorders>
            <w:vMerge w:val="continue"/>
          </w:tcPr>
          <w:p>
            <w:pPr>
              <w:spacing w:after="0"/>
              <w:rPr>
                <w:sz w:val="7"/>
                <w:szCs w:val="7"/>
                <w:color w:val="auto"/>
              </w:rPr>
            </w:pPr>
          </w:p>
        </w:tc>
        <w:tc>
          <w:tcPr>
            <w:tcW w:w="54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280" w:type="dxa"/>
            <w:vAlign w:val="bottom"/>
            <w:vMerge w:val="continue"/>
          </w:tcPr>
          <w:p>
            <w:pPr>
              <w:spacing w:after="0"/>
              <w:rPr>
                <w:sz w:val="11"/>
                <w:szCs w:val="11"/>
                <w:color w:val="auto"/>
              </w:rPr>
            </w:pPr>
          </w:p>
        </w:tc>
        <w:tc>
          <w:tcPr>
            <w:tcW w:w="2300" w:type="dxa"/>
            <w:vAlign w:val="bottom"/>
            <w:tcBorders>
              <w:right w:val="single" w:sz="8" w:color="auto"/>
            </w:tcBorders>
          </w:tcPr>
          <w:p>
            <w:pPr>
              <w:spacing w:after="0"/>
              <w:rPr>
                <w:sz w:val="11"/>
                <w:szCs w:val="11"/>
                <w:color w:val="auto"/>
              </w:rPr>
            </w:pPr>
          </w:p>
        </w:tc>
        <w:tc>
          <w:tcPr>
            <w:tcW w:w="54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2300" w:type="dxa"/>
            <w:vAlign w:val="bottom"/>
            <w:tcBorders>
              <w:right w:val="single" w:sz="8" w:color="auto"/>
            </w:tcBorders>
          </w:tcPr>
          <w:p>
            <w:pPr>
              <w:spacing w:after="0"/>
              <w:rPr>
                <w:sz w:val="18"/>
                <w:szCs w:val="18"/>
                <w:color w:val="auto"/>
              </w:rPr>
            </w:pP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6,672,853</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2300" w:type="dxa"/>
            <w:vAlign w:val="bottom"/>
            <w:tcBorders>
              <w:right w:val="single" w:sz="8" w:color="auto"/>
            </w:tcBorders>
          </w:tcPr>
          <w:p>
            <w:pPr>
              <w:spacing w:after="0"/>
              <w:rPr>
                <w:sz w:val="7"/>
                <w:szCs w:val="7"/>
                <w:color w:val="auto"/>
              </w:rPr>
            </w:pPr>
          </w:p>
        </w:tc>
        <w:tc>
          <w:tcPr>
            <w:tcW w:w="54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80" w:type="dxa"/>
            <w:vAlign w:val="bottom"/>
            <w:vMerge w:val="continue"/>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2280" w:type="dxa"/>
            <w:vAlign w:val="bottom"/>
            <w:vMerge w:val="continue"/>
          </w:tcPr>
          <w:p>
            <w:pPr>
              <w:spacing w:after="0"/>
              <w:rPr>
                <w:sz w:val="7"/>
                <w:szCs w:val="7"/>
                <w:color w:val="auto"/>
              </w:rPr>
            </w:pPr>
          </w:p>
        </w:tc>
        <w:tc>
          <w:tcPr>
            <w:tcW w:w="230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8"/>
                <w:szCs w:val="18"/>
                <w:color w:val="auto"/>
              </w:rPr>
              <w:t>7.</w:t>
            </w: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2300" w:type="dxa"/>
            <w:vAlign w:val="bottom"/>
            <w:tcBorders>
              <w:right w:val="single" w:sz="8" w:color="auto"/>
            </w:tcBorders>
            <w:vMerge w:val="continue"/>
          </w:tcPr>
          <w:p>
            <w:pPr>
              <w:spacing w:after="0"/>
              <w:rPr>
                <w:sz w:val="12"/>
                <w:szCs w:val="12"/>
                <w:color w:val="auto"/>
              </w:rPr>
            </w:pPr>
          </w:p>
        </w:tc>
        <w:tc>
          <w:tcPr>
            <w:tcW w:w="546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280" w:type="dxa"/>
            <w:vAlign w:val="bottom"/>
            <w:vMerge w:val="continue"/>
          </w:tcPr>
          <w:p>
            <w:pPr>
              <w:spacing w:after="0"/>
              <w:rPr>
                <w:sz w:val="5"/>
                <w:szCs w:val="5"/>
                <w:color w:val="auto"/>
              </w:rPr>
            </w:pPr>
          </w:p>
        </w:tc>
        <w:tc>
          <w:tcPr>
            <w:tcW w:w="2300" w:type="dxa"/>
            <w:vAlign w:val="bottom"/>
            <w:tcBorders>
              <w:right w:val="single" w:sz="8" w:color="auto"/>
            </w:tcBorders>
          </w:tcPr>
          <w:p>
            <w:pPr>
              <w:spacing w:after="0"/>
              <w:rPr>
                <w:sz w:val="5"/>
                <w:szCs w:val="5"/>
                <w:color w:val="auto"/>
              </w:rPr>
            </w:pPr>
          </w:p>
        </w:tc>
        <w:tc>
          <w:tcPr>
            <w:tcW w:w="54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2300" w:type="dxa"/>
            <w:vAlign w:val="bottom"/>
            <w:tcBorders>
              <w:right w:val="single" w:sz="8" w:color="auto"/>
            </w:tcBorders>
          </w:tcPr>
          <w:p>
            <w:pPr>
              <w:spacing w:after="0"/>
              <w:rPr>
                <w:sz w:val="18"/>
                <w:szCs w:val="18"/>
                <w:color w:val="auto"/>
              </w:rPr>
            </w:pP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280" w:type="dxa"/>
            <w:vAlign w:val="bottom"/>
            <w:vMerge w:val="restart"/>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2300" w:type="dxa"/>
            <w:vAlign w:val="bottom"/>
            <w:tcBorders>
              <w:right w:val="single" w:sz="8" w:color="auto"/>
            </w:tcBorders>
          </w:tcPr>
          <w:p>
            <w:pPr>
              <w:spacing w:after="0"/>
              <w:rPr>
                <w:sz w:val="12"/>
                <w:szCs w:val="12"/>
                <w:color w:val="auto"/>
              </w:rPr>
            </w:pPr>
          </w:p>
        </w:tc>
        <w:tc>
          <w:tcPr>
            <w:tcW w:w="546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280" w:type="dxa"/>
            <w:vAlign w:val="bottom"/>
            <w:vMerge w:val="continue"/>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230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8.</w:t>
            </w:r>
          </w:p>
        </w:tc>
        <w:tc>
          <w:tcPr>
            <w:tcW w:w="546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6,672,853</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6,672,853</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28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300" w:type="dxa"/>
            <w:vAlign w:val="bottom"/>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2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8.05%</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2360" w:right="6460" w:hanging="1283"/>
        <w:spacing w:after="0" w:line="528" w:lineRule="auto"/>
        <w:tabs>
          <w:tab w:leader="none" w:pos="2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spacing w:after="0"/>
        <w:tabs>
          <w:tab w:leader="none" w:pos="1200" w:val="left"/>
          <w:tab w:leader="none" w:pos="5540" w:val="left"/>
          <w:tab w:leader="none" w:pos="1004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039697107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6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56515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5651500"/>
                    </a:xfrm>
                    <a:prstGeom prst="rect">
                      <a:avLst/>
                    </a:prstGeom>
                    <a:noFill/>
                  </pic:spPr>
                </pic:pic>
              </a:graphicData>
            </a:graphic>
          </wp:anchor>
        </w:drawing>
      </w:r>
    </w:p>
    <w:p>
      <w:pPr>
        <w:spacing w:after="0" w:line="313" w:lineRule="exact"/>
        <w:rPr>
          <w:sz w:val="20"/>
          <w:szCs w:val="20"/>
          <w:color w:val="auto"/>
        </w:rPr>
      </w:pPr>
    </w:p>
    <w:p>
      <w:pPr>
        <w:ind w:left="2360" w:hanging="1238"/>
        <w:spacing w:after="0"/>
        <w:tabs>
          <w:tab w:leader="none" w:pos="2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2360" w:right="3580"/>
        <w:spacing w:after="0" w:line="387" w:lineRule="auto"/>
        <w:rPr>
          <w:rFonts w:ascii="Arial" w:cs="Arial" w:eastAsia="Arial" w:hAnsi="Arial"/>
          <w:sz w:val="18"/>
          <w:szCs w:val="18"/>
          <w:color w:val="auto"/>
        </w:rPr>
      </w:pPr>
      <w:r>
        <w:rPr>
          <w:rFonts w:ascii="Arial" w:cs="Arial" w:eastAsia="Arial" w:hAnsi="Arial"/>
          <w:sz w:val="18"/>
          <w:szCs w:val="18"/>
          <w:color w:val="auto"/>
        </w:rPr>
        <w:t>I.R.S. IDENTIFICATION NO. OF ABOVE PERSONS (ENTITIES ONLY) James E. Flynn</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1300" w:type="dxa"/>
            <w:vAlign w:val="bottom"/>
          </w:tcPr>
          <w:p>
            <w:pPr>
              <w:ind w:left="5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300" w:type="dxa"/>
            <w:vAlign w:val="bottom"/>
          </w:tcPr>
          <w:p>
            <w:pPr>
              <w:ind w:left="5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2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54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230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54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8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gridSpan w:val="2"/>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CITIZENSHIP OR PLACE OF ORGANIZATION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230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5.</w:t>
            </w:r>
          </w:p>
        </w:tc>
        <w:tc>
          <w:tcPr>
            <w:tcW w:w="546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28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2300" w:type="dxa"/>
            <w:vAlign w:val="bottom"/>
            <w:tcBorders>
              <w:right w:val="single" w:sz="8" w:color="auto"/>
            </w:tcBorders>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2300" w:type="dxa"/>
            <w:vAlign w:val="bottom"/>
            <w:tcBorders>
              <w:bottom w:val="single" w:sz="8" w:color="auto"/>
              <w:right w:val="single" w:sz="8" w:color="auto"/>
            </w:tcBorders>
          </w:tcPr>
          <w:p>
            <w:pPr>
              <w:spacing w:after="0"/>
              <w:rPr>
                <w:sz w:val="3"/>
                <w:szCs w:val="3"/>
                <w:color w:val="auto"/>
              </w:rPr>
            </w:pPr>
          </w:p>
        </w:tc>
        <w:tc>
          <w:tcPr>
            <w:tcW w:w="54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280" w:type="dxa"/>
            <w:vAlign w:val="bottom"/>
            <w:vMerge w:val="continue"/>
          </w:tcPr>
          <w:p>
            <w:pPr>
              <w:spacing w:after="0"/>
              <w:rPr>
                <w:sz w:val="13"/>
                <w:szCs w:val="13"/>
                <w:color w:val="auto"/>
              </w:rPr>
            </w:pPr>
          </w:p>
        </w:tc>
        <w:tc>
          <w:tcPr>
            <w:tcW w:w="230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8"/>
                <w:szCs w:val="18"/>
                <w:color w:val="auto"/>
              </w:rPr>
              <w:t>6.</w:t>
            </w: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2300" w:type="dxa"/>
            <w:vAlign w:val="bottom"/>
            <w:tcBorders>
              <w:right w:val="single" w:sz="8" w:color="auto"/>
            </w:tcBorders>
            <w:vMerge w:val="continue"/>
          </w:tcPr>
          <w:p>
            <w:pPr>
              <w:spacing w:after="0"/>
              <w:rPr>
                <w:sz w:val="7"/>
                <w:szCs w:val="7"/>
                <w:color w:val="auto"/>
              </w:rPr>
            </w:pPr>
          </w:p>
        </w:tc>
        <w:tc>
          <w:tcPr>
            <w:tcW w:w="54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280" w:type="dxa"/>
            <w:vAlign w:val="bottom"/>
            <w:vMerge w:val="continue"/>
          </w:tcPr>
          <w:p>
            <w:pPr>
              <w:spacing w:after="0"/>
              <w:rPr>
                <w:sz w:val="11"/>
                <w:szCs w:val="11"/>
                <w:color w:val="auto"/>
              </w:rPr>
            </w:pPr>
          </w:p>
        </w:tc>
        <w:tc>
          <w:tcPr>
            <w:tcW w:w="2300" w:type="dxa"/>
            <w:vAlign w:val="bottom"/>
            <w:tcBorders>
              <w:right w:val="single" w:sz="8" w:color="auto"/>
            </w:tcBorders>
          </w:tcPr>
          <w:p>
            <w:pPr>
              <w:spacing w:after="0"/>
              <w:rPr>
                <w:sz w:val="11"/>
                <w:szCs w:val="11"/>
                <w:color w:val="auto"/>
              </w:rPr>
            </w:pPr>
          </w:p>
        </w:tc>
        <w:tc>
          <w:tcPr>
            <w:tcW w:w="54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2300" w:type="dxa"/>
            <w:vAlign w:val="bottom"/>
            <w:tcBorders>
              <w:right w:val="single" w:sz="8" w:color="auto"/>
            </w:tcBorders>
          </w:tcPr>
          <w:p>
            <w:pPr>
              <w:spacing w:after="0"/>
              <w:rPr>
                <w:sz w:val="18"/>
                <w:szCs w:val="18"/>
                <w:color w:val="auto"/>
              </w:rPr>
            </w:pP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7,004,253 (3)</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2300" w:type="dxa"/>
            <w:vAlign w:val="bottom"/>
            <w:tcBorders>
              <w:right w:val="single" w:sz="8" w:color="auto"/>
            </w:tcBorders>
          </w:tcPr>
          <w:p>
            <w:pPr>
              <w:spacing w:after="0"/>
              <w:rPr>
                <w:sz w:val="7"/>
                <w:szCs w:val="7"/>
                <w:color w:val="auto"/>
              </w:rPr>
            </w:pPr>
          </w:p>
        </w:tc>
        <w:tc>
          <w:tcPr>
            <w:tcW w:w="54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80" w:type="dxa"/>
            <w:vAlign w:val="bottom"/>
            <w:vMerge w:val="continue"/>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2280" w:type="dxa"/>
            <w:vAlign w:val="bottom"/>
            <w:vMerge w:val="continue"/>
          </w:tcPr>
          <w:p>
            <w:pPr>
              <w:spacing w:after="0"/>
              <w:rPr>
                <w:sz w:val="7"/>
                <w:szCs w:val="7"/>
                <w:color w:val="auto"/>
              </w:rPr>
            </w:pPr>
          </w:p>
        </w:tc>
        <w:tc>
          <w:tcPr>
            <w:tcW w:w="230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8"/>
                <w:szCs w:val="18"/>
                <w:color w:val="auto"/>
              </w:rPr>
              <w:t>7.</w:t>
            </w: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2300" w:type="dxa"/>
            <w:vAlign w:val="bottom"/>
            <w:tcBorders>
              <w:right w:val="single" w:sz="8" w:color="auto"/>
            </w:tcBorders>
            <w:vMerge w:val="continue"/>
          </w:tcPr>
          <w:p>
            <w:pPr>
              <w:spacing w:after="0"/>
              <w:rPr>
                <w:sz w:val="12"/>
                <w:szCs w:val="12"/>
                <w:color w:val="auto"/>
              </w:rPr>
            </w:pPr>
          </w:p>
        </w:tc>
        <w:tc>
          <w:tcPr>
            <w:tcW w:w="546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280" w:type="dxa"/>
            <w:vAlign w:val="bottom"/>
            <w:vMerge w:val="continue"/>
          </w:tcPr>
          <w:p>
            <w:pPr>
              <w:spacing w:after="0"/>
              <w:rPr>
                <w:sz w:val="5"/>
                <w:szCs w:val="5"/>
                <w:color w:val="auto"/>
              </w:rPr>
            </w:pPr>
          </w:p>
        </w:tc>
        <w:tc>
          <w:tcPr>
            <w:tcW w:w="2300" w:type="dxa"/>
            <w:vAlign w:val="bottom"/>
            <w:tcBorders>
              <w:right w:val="single" w:sz="8" w:color="auto"/>
            </w:tcBorders>
          </w:tcPr>
          <w:p>
            <w:pPr>
              <w:spacing w:after="0"/>
              <w:rPr>
                <w:sz w:val="5"/>
                <w:szCs w:val="5"/>
                <w:color w:val="auto"/>
              </w:rPr>
            </w:pPr>
          </w:p>
        </w:tc>
        <w:tc>
          <w:tcPr>
            <w:tcW w:w="54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2300" w:type="dxa"/>
            <w:vAlign w:val="bottom"/>
            <w:tcBorders>
              <w:right w:val="single" w:sz="8" w:color="auto"/>
            </w:tcBorders>
          </w:tcPr>
          <w:p>
            <w:pPr>
              <w:spacing w:after="0"/>
              <w:rPr>
                <w:sz w:val="18"/>
                <w:szCs w:val="18"/>
                <w:color w:val="auto"/>
              </w:rPr>
            </w:pP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280" w:type="dxa"/>
            <w:vAlign w:val="bottom"/>
            <w:vMerge w:val="restart"/>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2300" w:type="dxa"/>
            <w:vAlign w:val="bottom"/>
            <w:tcBorders>
              <w:right w:val="single" w:sz="8" w:color="auto"/>
            </w:tcBorders>
          </w:tcPr>
          <w:p>
            <w:pPr>
              <w:spacing w:after="0"/>
              <w:rPr>
                <w:sz w:val="12"/>
                <w:szCs w:val="12"/>
                <w:color w:val="auto"/>
              </w:rPr>
            </w:pPr>
          </w:p>
        </w:tc>
        <w:tc>
          <w:tcPr>
            <w:tcW w:w="546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280" w:type="dxa"/>
            <w:vAlign w:val="bottom"/>
            <w:vMerge w:val="continue"/>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230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8.</w:t>
            </w:r>
          </w:p>
        </w:tc>
        <w:tc>
          <w:tcPr>
            <w:tcW w:w="546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7,004,253 (3)</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7,004,253 (3)</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28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300" w:type="dxa"/>
            <w:vAlign w:val="bottom"/>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2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8.45%</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2360" w:hanging="1283"/>
        <w:spacing w:after="0"/>
        <w:tabs>
          <w:tab w:leader="none" w:pos="2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IN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 Comprised of shares of common stock held by Deerfield Partners, L.P. and Deerfield Special Situations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CUSIP No.</w:t>
            </w:r>
          </w:p>
        </w:tc>
        <w:tc>
          <w:tcPr>
            <w:tcW w:w="4600" w:type="dxa"/>
            <w:vAlign w:val="bottom"/>
          </w:tcPr>
          <w:p>
            <w:pPr>
              <w:ind w:left="300"/>
              <w:spacing w:after="0"/>
              <w:rPr>
                <w:sz w:val="20"/>
                <w:szCs w:val="20"/>
                <w:color w:val="auto"/>
              </w:rPr>
            </w:pPr>
            <w:r>
              <w:rPr>
                <w:rFonts w:ascii="Arial" w:cs="Arial" w:eastAsia="Arial" w:hAnsi="Arial"/>
                <w:sz w:val="18"/>
                <w:szCs w:val="18"/>
                <w:color w:val="auto"/>
              </w:rPr>
              <w:t>039697107</w:t>
            </w:r>
          </w:p>
        </w:tc>
        <w:tc>
          <w:tcPr>
            <w:tcW w:w="3940" w:type="dxa"/>
            <w:vAlign w:val="bottom"/>
          </w:tcPr>
          <w:p>
            <w:pPr>
              <w:ind w:left="40"/>
              <w:spacing w:after="0"/>
              <w:rPr>
                <w:sz w:val="20"/>
                <w:szCs w:val="20"/>
                <w:color w:val="auto"/>
              </w:rPr>
            </w:pPr>
            <w:r>
              <w:rPr>
                <w:rFonts w:ascii="Arial" w:cs="Arial" w:eastAsia="Arial" w:hAnsi="Arial"/>
                <w:sz w:val="18"/>
                <w:szCs w:val="18"/>
                <w:color w:val="auto"/>
              </w:rPr>
              <w:t>13G</w:t>
            </w:r>
          </w:p>
        </w:tc>
        <w:tc>
          <w:tcPr>
            <w:tcW w:w="1960" w:type="dxa"/>
            <w:vAlign w:val="bottom"/>
          </w:tcPr>
          <w:p>
            <w:pPr>
              <w:ind w:left="600"/>
              <w:spacing w:after="0"/>
              <w:rPr>
                <w:sz w:val="20"/>
                <w:szCs w:val="20"/>
                <w:color w:val="auto"/>
              </w:rPr>
            </w:pPr>
            <w:r>
              <w:rPr>
                <w:rFonts w:ascii="Arial" w:cs="Arial" w:eastAsia="Arial" w:hAnsi="Arial"/>
                <w:sz w:val="18"/>
                <w:szCs w:val="18"/>
                <w:color w:val="auto"/>
                <w:w w:val="84"/>
              </w:rPr>
              <w:t>Page 7 of 10 Pages</w:t>
            </w:r>
          </w:p>
        </w:tc>
      </w:tr>
      <w:tr>
        <w:trPr>
          <w:trHeight w:val="459"/>
        </w:trPr>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4600" w:type="dxa"/>
            <w:vAlign w:val="bottom"/>
          </w:tcPr>
          <w:p>
            <w:pPr>
              <w:spacing w:after="0"/>
              <w:rPr>
                <w:sz w:val="20"/>
                <w:szCs w:val="20"/>
                <w:color w:val="auto"/>
              </w:rPr>
            </w:pPr>
            <w:r>
              <w:rPr>
                <w:rFonts w:ascii="Arial" w:cs="Arial" w:eastAsia="Arial" w:hAnsi="Arial"/>
                <w:sz w:val="18"/>
                <w:szCs w:val="18"/>
                <w:color w:val="auto"/>
              </w:rPr>
              <w:t>Name of Issuer:</w:t>
            </w:r>
          </w:p>
        </w:tc>
        <w:tc>
          <w:tcPr>
            <w:tcW w:w="39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439"/>
        </w:trPr>
        <w:tc>
          <w:tcPr>
            <w:tcW w:w="920" w:type="dxa"/>
            <w:vAlign w:val="bottom"/>
          </w:tcPr>
          <w:p>
            <w:pPr>
              <w:spacing w:after="0"/>
              <w:rPr>
                <w:sz w:val="24"/>
                <w:szCs w:val="24"/>
                <w:color w:val="auto"/>
              </w:rPr>
            </w:pP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Ardelyx, Inc.</w:t>
            </w:r>
          </w:p>
        </w:tc>
        <w:tc>
          <w:tcPr>
            <w:tcW w:w="39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Item 1(b).</w:t>
            </w:r>
          </w:p>
        </w:tc>
        <w:tc>
          <w:tcPr>
            <w:tcW w:w="4600" w:type="dxa"/>
            <w:vAlign w:val="bottom"/>
          </w:tcPr>
          <w:p>
            <w:pPr>
              <w:spacing w:after="0"/>
              <w:rPr>
                <w:sz w:val="20"/>
                <w:szCs w:val="20"/>
                <w:color w:val="auto"/>
              </w:rPr>
            </w:pPr>
            <w:r>
              <w:rPr>
                <w:rFonts w:ascii="Arial" w:cs="Arial" w:eastAsia="Arial" w:hAnsi="Arial"/>
                <w:sz w:val="18"/>
                <w:szCs w:val="18"/>
                <w:color w:val="auto"/>
              </w:rPr>
              <w:t>Address of Issuer's Principal Executive Offices:</w:t>
            </w:r>
          </w:p>
        </w:tc>
        <w:tc>
          <w:tcPr>
            <w:tcW w:w="39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418"/>
        </w:trPr>
        <w:tc>
          <w:tcPr>
            <w:tcW w:w="920" w:type="dxa"/>
            <w:vAlign w:val="bottom"/>
          </w:tcPr>
          <w:p>
            <w:pPr>
              <w:spacing w:after="0"/>
              <w:rPr>
                <w:sz w:val="24"/>
                <w:szCs w:val="24"/>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34175 Ardenwood Boulevard, Suite 200</w:t>
            </w:r>
          </w:p>
        </w:tc>
        <w:tc>
          <w:tcPr>
            <w:tcW w:w="39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37"/>
        </w:trPr>
        <w:tc>
          <w:tcPr>
            <w:tcW w:w="920" w:type="dxa"/>
            <w:vAlign w:val="bottom"/>
          </w:tcPr>
          <w:p>
            <w:pPr>
              <w:spacing w:after="0"/>
              <w:rPr>
                <w:sz w:val="20"/>
                <w:szCs w:val="20"/>
                <w:color w:val="auto"/>
              </w:rPr>
            </w:pP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Fremont, CA 94555</w:t>
            </w:r>
          </w:p>
        </w:tc>
        <w:tc>
          <w:tcPr>
            <w:tcW w:w="39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Item 2(a).</w:t>
            </w:r>
          </w:p>
        </w:tc>
        <w:tc>
          <w:tcPr>
            <w:tcW w:w="4600" w:type="dxa"/>
            <w:vAlign w:val="bottom"/>
          </w:tcPr>
          <w:p>
            <w:pPr>
              <w:spacing w:after="0"/>
              <w:rPr>
                <w:sz w:val="20"/>
                <w:szCs w:val="20"/>
                <w:color w:val="auto"/>
              </w:rPr>
            </w:pPr>
            <w:r>
              <w:rPr>
                <w:rFonts w:ascii="Arial" w:cs="Arial" w:eastAsia="Arial" w:hAnsi="Arial"/>
                <w:sz w:val="18"/>
                <w:szCs w:val="18"/>
                <w:color w:val="auto"/>
              </w:rPr>
              <w:t>Name of Person Filing:</w:t>
            </w:r>
          </w:p>
        </w:tc>
        <w:tc>
          <w:tcPr>
            <w:tcW w:w="39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418"/>
        </w:trPr>
        <w:tc>
          <w:tcPr>
            <w:tcW w:w="920" w:type="dxa"/>
            <w:vAlign w:val="bottom"/>
          </w:tcPr>
          <w:p>
            <w:pPr>
              <w:spacing w:after="0"/>
              <w:rPr>
                <w:sz w:val="24"/>
                <w:szCs w:val="24"/>
                <w:color w:val="auto"/>
              </w:rPr>
            </w:pPr>
          </w:p>
        </w:tc>
        <w:tc>
          <w:tcPr>
            <w:tcW w:w="10500" w:type="dxa"/>
            <w:vAlign w:val="bottom"/>
            <w:gridSpan w:val="3"/>
          </w:tcPr>
          <w:p>
            <w:pPr>
              <w:spacing w:after="0"/>
              <w:rPr>
                <w:sz w:val="20"/>
                <w:szCs w:val="20"/>
                <w:color w:val="auto"/>
              </w:rPr>
            </w:pPr>
            <w:r>
              <w:rPr>
                <w:rFonts w:ascii="Arial" w:cs="Arial" w:eastAsia="Arial" w:hAnsi="Arial"/>
                <w:sz w:val="18"/>
                <w:szCs w:val="18"/>
                <w:color w:val="auto"/>
                <w:w w:val="93"/>
              </w:rPr>
              <w:t>James E. Flynn, Deerfield Mgmt, L.P., Deerfield Management Company, L.P., Deerfield Special Situations Fund, L.P. and Deerfield Partners,</w:t>
            </w:r>
          </w:p>
        </w:tc>
      </w:tr>
      <w:tr>
        <w:trPr>
          <w:trHeight w:val="237"/>
        </w:trPr>
        <w:tc>
          <w:tcPr>
            <w:tcW w:w="920" w:type="dxa"/>
            <w:vAlign w:val="bottom"/>
          </w:tcPr>
          <w:p>
            <w:pPr>
              <w:spacing w:after="0"/>
              <w:rPr>
                <w:sz w:val="20"/>
                <w:szCs w:val="20"/>
                <w:color w:val="auto"/>
              </w:rPr>
            </w:pP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L.P.</w:t>
            </w:r>
          </w:p>
        </w:tc>
        <w:tc>
          <w:tcPr>
            <w:tcW w:w="39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Item 2(b).</w:t>
            </w:r>
          </w:p>
        </w:tc>
        <w:tc>
          <w:tcPr>
            <w:tcW w:w="4600" w:type="dxa"/>
            <w:vAlign w:val="bottom"/>
          </w:tcPr>
          <w:p>
            <w:pPr>
              <w:spacing w:after="0"/>
              <w:rPr>
                <w:sz w:val="20"/>
                <w:szCs w:val="20"/>
                <w:color w:val="auto"/>
              </w:rPr>
            </w:pPr>
            <w:r>
              <w:rPr>
                <w:rFonts w:ascii="Arial" w:cs="Arial" w:eastAsia="Arial" w:hAnsi="Arial"/>
                <w:sz w:val="18"/>
                <w:szCs w:val="18"/>
                <w:color w:val="auto"/>
                <w:w w:val="95"/>
              </w:rPr>
              <w:t>Address of Principal Business Office, or if None, Residence:</w:t>
            </w:r>
          </w:p>
        </w:tc>
        <w:tc>
          <w:tcPr>
            <w:tcW w:w="39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418"/>
        </w:trPr>
        <w:tc>
          <w:tcPr>
            <w:tcW w:w="920" w:type="dxa"/>
            <w:vAlign w:val="bottom"/>
          </w:tcPr>
          <w:p>
            <w:pPr>
              <w:spacing w:after="0"/>
              <w:rPr>
                <w:sz w:val="24"/>
                <w:szCs w:val="24"/>
                <w:color w:val="auto"/>
              </w:rPr>
            </w:pPr>
          </w:p>
        </w:tc>
        <w:tc>
          <w:tcPr>
            <w:tcW w:w="10500" w:type="dxa"/>
            <w:vAlign w:val="bottom"/>
            <w:gridSpan w:val="3"/>
          </w:tcPr>
          <w:p>
            <w:pPr>
              <w:spacing w:after="0"/>
              <w:rPr>
                <w:sz w:val="20"/>
                <w:szCs w:val="20"/>
                <w:color w:val="auto"/>
              </w:rPr>
            </w:pPr>
            <w:r>
              <w:rPr>
                <w:rFonts w:ascii="Arial" w:cs="Arial" w:eastAsia="Arial" w:hAnsi="Arial"/>
                <w:sz w:val="18"/>
                <w:szCs w:val="18"/>
                <w:color w:val="auto"/>
                <w:w w:val="93"/>
              </w:rPr>
              <w:t>James E. Flynn, Deerfield Mgmt, L.P., Deerfield Management Company, L.P., Deerfield Special Situations Fund, L.P. and Deerfield Partners,</w:t>
            </w:r>
          </w:p>
        </w:tc>
      </w:tr>
      <w:tr>
        <w:trPr>
          <w:trHeight w:val="237"/>
        </w:trPr>
        <w:tc>
          <w:tcPr>
            <w:tcW w:w="920" w:type="dxa"/>
            <w:vAlign w:val="bottom"/>
          </w:tcPr>
          <w:p>
            <w:pPr>
              <w:spacing w:after="0"/>
              <w:rPr>
                <w:sz w:val="20"/>
                <w:szCs w:val="20"/>
                <w:color w:val="auto"/>
              </w:rPr>
            </w:pP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L.P., L.P., 780 Third Avenue, 37th Floor, New York, NY 10017</w:t>
            </w:r>
          </w:p>
        </w:tc>
        <w:tc>
          <w:tcPr>
            <w:tcW w:w="39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Item 2(c).</w:t>
            </w:r>
          </w:p>
        </w:tc>
        <w:tc>
          <w:tcPr>
            <w:tcW w:w="4600" w:type="dxa"/>
            <w:vAlign w:val="bottom"/>
          </w:tcPr>
          <w:p>
            <w:pPr>
              <w:spacing w:after="0"/>
              <w:rPr>
                <w:sz w:val="20"/>
                <w:szCs w:val="20"/>
                <w:color w:val="auto"/>
              </w:rPr>
            </w:pPr>
            <w:r>
              <w:rPr>
                <w:rFonts w:ascii="Arial" w:cs="Arial" w:eastAsia="Arial" w:hAnsi="Arial"/>
                <w:sz w:val="18"/>
                <w:szCs w:val="18"/>
                <w:color w:val="auto"/>
              </w:rPr>
              <w:t>Citizenship:</w:t>
            </w:r>
          </w:p>
        </w:tc>
        <w:tc>
          <w:tcPr>
            <w:tcW w:w="39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418"/>
        </w:trPr>
        <w:tc>
          <w:tcPr>
            <w:tcW w:w="920" w:type="dxa"/>
            <w:vAlign w:val="bottom"/>
          </w:tcPr>
          <w:p>
            <w:pPr>
              <w:spacing w:after="0"/>
              <w:rPr>
                <w:sz w:val="24"/>
                <w:szCs w:val="24"/>
                <w:color w:val="auto"/>
              </w:rPr>
            </w:pPr>
          </w:p>
        </w:tc>
        <w:tc>
          <w:tcPr>
            <w:tcW w:w="10500" w:type="dxa"/>
            <w:vAlign w:val="bottom"/>
            <w:gridSpan w:val="3"/>
          </w:tcPr>
          <w:p>
            <w:pPr>
              <w:spacing w:after="0"/>
              <w:rPr>
                <w:sz w:val="20"/>
                <w:szCs w:val="20"/>
                <w:color w:val="auto"/>
              </w:rPr>
            </w:pPr>
            <w:r>
              <w:rPr>
                <w:rFonts w:ascii="Arial" w:cs="Arial" w:eastAsia="Arial" w:hAnsi="Arial"/>
                <w:sz w:val="18"/>
                <w:szCs w:val="18"/>
                <w:color w:val="auto"/>
                <w:w w:val="93"/>
              </w:rPr>
              <w:t>Deerfield Mgmt, L.P., Deerfield Management Company, L.P., Deerfield Special Situations Fund, L.P. and Deerfield Partners, L.P. - Delaware</w:t>
            </w:r>
          </w:p>
        </w:tc>
      </w:tr>
      <w:tr>
        <w:trPr>
          <w:trHeight w:val="230"/>
        </w:trPr>
        <w:tc>
          <w:tcPr>
            <w:tcW w:w="920" w:type="dxa"/>
            <w:vAlign w:val="bottom"/>
          </w:tcPr>
          <w:p>
            <w:pPr>
              <w:spacing w:after="0"/>
              <w:rPr>
                <w:sz w:val="20"/>
                <w:szCs w:val="20"/>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limited partnerships;</w:t>
            </w:r>
          </w:p>
        </w:tc>
        <w:tc>
          <w:tcPr>
            <w:tcW w:w="39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439"/>
        </w:trPr>
        <w:tc>
          <w:tcPr>
            <w:tcW w:w="920" w:type="dxa"/>
            <w:vAlign w:val="bottom"/>
          </w:tcPr>
          <w:p>
            <w:pPr>
              <w:spacing w:after="0"/>
              <w:rPr>
                <w:sz w:val="24"/>
                <w:szCs w:val="24"/>
                <w:color w:val="auto"/>
              </w:rPr>
            </w:pP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James E. Flynn – United States citizen</w:t>
            </w:r>
          </w:p>
        </w:tc>
        <w:tc>
          <w:tcPr>
            <w:tcW w:w="39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Item 2(d).</w:t>
            </w:r>
          </w:p>
        </w:tc>
        <w:tc>
          <w:tcPr>
            <w:tcW w:w="4600" w:type="dxa"/>
            <w:vAlign w:val="bottom"/>
          </w:tcPr>
          <w:p>
            <w:pPr>
              <w:spacing w:after="0"/>
              <w:rPr>
                <w:sz w:val="20"/>
                <w:szCs w:val="20"/>
                <w:color w:val="auto"/>
              </w:rPr>
            </w:pPr>
            <w:r>
              <w:rPr>
                <w:rFonts w:ascii="Arial" w:cs="Arial" w:eastAsia="Arial" w:hAnsi="Arial"/>
                <w:sz w:val="18"/>
                <w:szCs w:val="18"/>
                <w:color w:val="auto"/>
              </w:rPr>
              <w:t>Title of Class of Securities:</w:t>
            </w:r>
          </w:p>
        </w:tc>
        <w:tc>
          <w:tcPr>
            <w:tcW w:w="39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439"/>
        </w:trPr>
        <w:tc>
          <w:tcPr>
            <w:tcW w:w="920" w:type="dxa"/>
            <w:vAlign w:val="bottom"/>
          </w:tcPr>
          <w:p>
            <w:pPr>
              <w:spacing w:after="0"/>
              <w:rPr>
                <w:sz w:val="24"/>
                <w:szCs w:val="24"/>
                <w:color w:val="auto"/>
              </w:rPr>
            </w:pP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Common Stock</w:t>
            </w:r>
          </w:p>
        </w:tc>
        <w:tc>
          <w:tcPr>
            <w:tcW w:w="39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Item 2(e).</w:t>
            </w:r>
          </w:p>
        </w:tc>
        <w:tc>
          <w:tcPr>
            <w:tcW w:w="4600" w:type="dxa"/>
            <w:vAlign w:val="bottom"/>
          </w:tcPr>
          <w:p>
            <w:pPr>
              <w:spacing w:after="0"/>
              <w:rPr>
                <w:sz w:val="20"/>
                <w:szCs w:val="20"/>
                <w:color w:val="auto"/>
              </w:rPr>
            </w:pPr>
            <w:r>
              <w:rPr>
                <w:rFonts w:ascii="Arial" w:cs="Arial" w:eastAsia="Arial" w:hAnsi="Arial"/>
                <w:sz w:val="18"/>
                <w:szCs w:val="18"/>
                <w:color w:val="auto"/>
              </w:rPr>
              <w:t>CUSIP Number:</w:t>
            </w:r>
          </w:p>
        </w:tc>
        <w:tc>
          <w:tcPr>
            <w:tcW w:w="39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439"/>
        </w:trPr>
        <w:tc>
          <w:tcPr>
            <w:tcW w:w="920" w:type="dxa"/>
            <w:vAlign w:val="bottom"/>
          </w:tcPr>
          <w:p>
            <w:pPr>
              <w:spacing w:after="0"/>
              <w:rPr>
                <w:sz w:val="24"/>
                <w:szCs w:val="24"/>
                <w:color w:val="auto"/>
              </w:rPr>
            </w:pP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039697107</w:t>
            </w:r>
          </w:p>
        </w:tc>
        <w:tc>
          <w:tcPr>
            <w:tcW w:w="39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8540" w:type="dxa"/>
            <w:vAlign w:val="bottom"/>
            <w:gridSpan w:val="2"/>
          </w:tcPr>
          <w:p>
            <w:pPr>
              <w:spacing w:after="0"/>
              <w:rPr>
                <w:sz w:val="20"/>
                <w:szCs w:val="20"/>
                <w:color w:val="auto"/>
              </w:rPr>
            </w:pPr>
            <w:r>
              <w:rPr>
                <w:rFonts w:ascii="Arial" w:cs="Arial" w:eastAsia="Arial" w:hAnsi="Arial"/>
                <w:sz w:val="18"/>
                <w:szCs w:val="18"/>
                <w:color w:val="auto"/>
                <w:w w:val="98"/>
              </w:rPr>
              <w:t>If This Statement is Filed Pursuant to Rule 13d-1(b), or 13d-2(b) or (c), Check Whether the Person Filing is a:</w:t>
            </w:r>
          </w:p>
        </w:tc>
        <w:tc>
          <w:tcPr>
            <w:tcW w:w="1960" w:type="dxa"/>
            <w:vAlign w:val="bottom"/>
          </w:tcPr>
          <w:p>
            <w:pPr>
              <w:spacing w:after="0"/>
              <w:rPr>
                <w:sz w:val="24"/>
                <w:szCs w:val="24"/>
                <w:color w:val="auto"/>
              </w:rPr>
            </w:pPr>
          </w:p>
        </w:tc>
      </w:tr>
    </w:tbl>
    <w:p>
      <w:pPr>
        <w:spacing w:after="0" w:line="169" w:lineRule="exact"/>
        <w:rPr>
          <w:sz w:val="20"/>
          <w:szCs w:val="20"/>
          <w:color w:val="auto"/>
        </w:rPr>
      </w:pPr>
    </w:p>
    <w:p>
      <w:pPr>
        <w:ind w:left="1080" w:hanging="676"/>
        <w:spacing w:after="0" w:line="207" w:lineRule="exact"/>
        <w:tabs>
          <w:tab w:leader="none" w:pos="1080" w:val="left"/>
        </w:tabs>
        <w:numPr>
          <w:ilvl w:val="0"/>
          <w:numId w:val="1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Exchange Act.</w:t>
      </w:r>
    </w:p>
    <w:p>
      <w:pPr>
        <w:spacing w:after="0" w:line="225" w:lineRule="exact"/>
        <w:rPr>
          <w:rFonts w:ascii="Arial" w:cs="Arial" w:eastAsia="Arial" w:hAnsi="Arial"/>
          <w:sz w:val="18"/>
          <w:szCs w:val="18"/>
          <w:color w:val="auto"/>
        </w:rPr>
      </w:pPr>
    </w:p>
    <w:p>
      <w:pPr>
        <w:ind w:left="1080" w:hanging="676"/>
        <w:spacing w:after="0" w:line="207" w:lineRule="exact"/>
        <w:tabs>
          <w:tab w:leader="none" w:pos="1080" w:val="left"/>
        </w:tabs>
        <w:numPr>
          <w:ilvl w:val="0"/>
          <w:numId w:val="1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Exchange Act.</w:t>
      </w:r>
    </w:p>
    <w:p>
      <w:pPr>
        <w:spacing w:after="0" w:line="225" w:lineRule="exact"/>
        <w:rPr>
          <w:rFonts w:ascii="Arial" w:cs="Arial" w:eastAsia="Arial" w:hAnsi="Arial"/>
          <w:sz w:val="18"/>
          <w:szCs w:val="18"/>
          <w:color w:val="auto"/>
        </w:rPr>
      </w:pPr>
    </w:p>
    <w:p>
      <w:pPr>
        <w:ind w:left="1080" w:hanging="676"/>
        <w:spacing w:after="0" w:line="207" w:lineRule="exact"/>
        <w:tabs>
          <w:tab w:leader="none" w:pos="1080" w:val="left"/>
        </w:tabs>
        <w:numPr>
          <w:ilvl w:val="0"/>
          <w:numId w:val="1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Exchange Act.</w:t>
      </w:r>
    </w:p>
    <w:p>
      <w:pPr>
        <w:spacing w:after="0" w:line="225" w:lineRule="exact"/>
        <w:rPr>
          <w:rFonts w:ascii="Arial" w:cs="Arial" w:eastAsia="Arial" w:hAnsi="Arial"/>
          <w:sz w:val="18"/>
          <w:szCs w:val="18"/>
          <w:color w:val="auto"/>
        </w:rPr>
      </w:pPr>
    </w:p>
    <w:p>
      <w:pPr>
        <w:ind w:left="1080" w:hanging="676"/>
        <w:spacing w:after="0" w:line="207" w:lineRule="exact"/>
        <w:tabs>
          <w:tab w:leader="none" w:pos="1080" w:val="left"/>
        </w:tabs>
        <w:numPr>
          <w:ilvl w:val="0"/>
          <w:numId w:val="1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w:t>
      </w:r>
    </w:p>
    <w:p>
      <w:pPr>
        <w:spacing w:after="0" w:line="225" w:lineRule="exact"/>
        <w:rPr>
          <w:rFonts w:ascii="Arial" w:cs="Arial" w:eastAsia="Arial" w:hAnsi="Arial"/>
          <w:sz w:val="18"/>
          <w:szCs w:val="18"/>
          <w:color w:val="auto"/>
        </w:rPr>
      </w:pPr>
    </w:p>
    <w:p>
      <w:pPr>
        <w:ind w:left="1080" w:hanging="676"/>
        <w:spacing w:after="0" w:line="207" w:lineRule="exact"/>
        <w:tabs>
          <w:tab w:leader="none" w:pos="1080" w:val="left"/>
        </w:tabs>
        <w:numPr>
          <w:ilvl w:val="0"/>
          <w:numId w:val="1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Rule 13d-1(b)(1)(ii)(E);</w:t>
      </w:r>
    </w:p>
    <w:p>
      <w:pPr>
        <w:spacing w:after="0" w:line="225" w:lineRule="exact"/>
        <w:rPr>
          <w:rFonts w:ascii="Arial" w:cs="Arial" w:eastAsia="Arial" w:hAnsi="Arial"/>
          <w:sz w:val="18"/>
          <w:szCs w:val="18"/>
          <w:color w:val="auto"/>
        </w:rPr>
      </w:pPr>
    </w:p>
    <w:p>
      <w:pPr>
        <w:ind w:left="1080" w:hanging="676"/>
        <w:spacing w:after="0" w:line="207" w:lineRule="exact"/>
        <w:tabs>
          <w:tab w:leader="none" w:pos="1080" w:val="left"/>
        </w:tabs>
        <w:numPr>
          <w:ilvl w:val="0"/>
          <w:numId w:val="1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Rule 13d-1(b)(1)(ii)(F);</w:t>
      </w:r>
    </w:p>
    <w:p>
      <w:pPr>
        <w:spacing w:after="0" w:line="225" w:lineRule="exact"/>
        <w:rPr>
          <w:rFonts w:ascii="Arial" w:cs="Arial" w:eastAsia="Arial" w:hAnsi="Arial"/>
          <w:sz w:val="18"/>
          <w:szCs w:val="18"/>
          <w:color w:val="auto"/>
        </w:rPr>
      </w:pPr>
    </w:p>
    <w:p>
      <w:pPr>
        <w:ind w:left="1080" w:hanging="676"/>
        <w:spacing w:after="0" w:line="207" w:lineRule="exact"/>
        <w:tabs>
          <w:tab w:leader="none" w:pos="1080" w:val="left"/>
        </w:tabs>
        <w:numPr>
          <w:ilvl w:val="0"/>
          <w:numId w:val="1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Rule 13d-1(b)(1)(ii)(G);</w:t>
      </w:r>
    </w:p>
    <w:p>
      <w:pPr>
        <w:spacing w:after="0" w:line="225" w:lineRule="exact"/>
        <w:rPr>
          <w:rFonts w:ascii="Arial" w:cs="Arial" w:eastAsia="Arial" w:hAnsi="Arial"/>
          <w:sz w:val="18"/>
          <w:szCs w:val="18"/>
          <w:color w:val="auto"/>
        </w:rPr>
      </w:pPr>
    </w:p>
    <w:p>
      <w:pPr>
        <w:ind w:left="1080" w:hanging="676"/>
        <w:spacing w:after="0" w:line="207" w:lineRule="exact"/>
        <w:tabs>
          <w:tab w:leader="none" w:pos="1080" w:val="left"/>
        </w:tabs>
        <w:numPr>
          <w:ilvl w:val="0"/>
          <w:numId w:val="1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w:t>
      </w:r>
    </w:p>
    <w:p>
      <w:pPr>
        <w:spacing w:after="0" w:line="225" w:lineRule="exact"/>
        <w:rPr>
          <w:rFonts w:ascii="Arial" w:cs="Arial" w:eastAsia="Arial" w:hAnsi="Arial"/>
          <w:sz w:val="18"/>
          <w:szCs w:val="18"/>
          <w:color w:val="auto"/>
        </w:rPr>
      </w:pPr>
    </w:p>
    <w:p>
      <w:pPr>
        <w:ind w:left="1080" w:hanging="676"/>
        <w:spacing w:after="0" w:line="196" w:lineRule="exact"/>
        <w:tabs>
          <w:tab w:leader="none" w:pos="1080" w:val="left"/>
        </w:tabs>
        <w:numPr>
          <w:ilvl w:val="0"/>
          <w:numId w:val="17"/>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A church plan that is excluded from the definition of an investment company under Section 3(c)(14) of the Investment Company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spacing w:after="0"/>
        <w:tabs>
          <w:tab w:leader="none" w:pos="1200" w:val="left"/>
          <w:tab w:leader="none" w:pos="5540" w:val="left"/>
          <w:tab w:leader="none" w:pos="1004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039697107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8 of 10 Pages</w:t>
      </w:r>
    </w:p>
    <w:p>
      <w:pPr>
        <w:spacing w:after="0" w:line="200" w:lineRule="exact"/>
        <w:rPr>
          <w:sz w:val="20"/>
          <w:szCs w:val="20"/>
          <w:color w:val="auto"/>
        </w:rPr>
      </w:pPr>
    </w:p>
    <w:p>
      <w:pPr>
        <w:spacing w:after="0" w:line="236" w:lineRule="exact"/>
        <w:rPr>
          <w:sz w:val="20"/>
          <w:szCs w:val="20"/>
          <w:color w:val="auto"/>
        </w:rPr>
      </w:pPr>
    </w:p>
    <w:p>
      <w:pPr>
        <w:ind w:left="1080" w:hanging="676"/>
        <w:spacing w:after="0" w:line="207" w:lineRule="exact"/>
        <w:tabs>
          <w:tab w:leader="none" w:pos="1080" w:val="left"/>
        </w:tabs>
        <w:numPr>
          <w:ilvl w:val="0"/>
          <w:numId w:val="1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Rule 13d-1(b)(1)(ii)(J);</w:t>
      </w:r>
    </w:p>
    <w:p>
      <w:pPr>
        <w:spacing w:after="0" w:line="225" w:lineRule="exact"/>
        <w:rPr>
          <w:rFonts w:ascii="Arial" w:cs="Arial" w:eastAsia="Arial" w:hAnsi="Arial"/>
          <w:sz w:val="18"/>
          <w:szCs w:val="18"/>
          <w:color w:val="auto"/>
        </w:rPr>
      </w:pPr>
    </w:p>
    <w:p>
      <w:pPr>
        <w:ind w:left="1080" w:hanging="676"/>
        <w:spacing w:after="0" w:line="207" w:lineRule="exact"/>
        <w:tabs>
          <w:tab w:leader="none" w:pos="1080" w:val="left"/>
        </w:tabs>
        <w:numPr>
          <w:ilvl w:val="0"/>
          <w:numId w:val="1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13d-1(b)(1)(ii)(K).</w:t>
      </w:r>
    </w:p>
    <w:p>
      <w:pPr>
        <w:spacing w:after="0" w:line="2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filing as a non-U.S. institution in accordance with Rule 13d-1(b)(1)(ii)(J), please specify the type of institution: _________________</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237" w:lineRule="exact"/>
        <w:rPr>
          <w:sz w:val="20"/>
          <w:szCs w:val="20"/>
          <w:color w:val="auto"/>
        </w:rPr>
      </w:pPr>
    </w:p>
    <w:p>
      <w:pPr>
        <w:ind w:left="920" w:hanging="516"/>
        <w:spacing w:after="0"/>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Deerfield Mgmt, L.P. - 7,004,253 shares</w:t>
      </w:r>
    </w:p>
    <w:p>
      <w:pPr>
        <w:spacing w:after="0" w:line="23" w:lineRule="exact"/>
        <w:rPr>
          <w:rFonts w:ascii="Arial" w:cs="Arial" w:eastAsia="Arial" w:hAnsi="Arial"/>
          <w:sz w:val="18"/>
          <w:szCs w:val="18"/>
          <w:color w:val="auto"/>
        </w:rPr>
      </w:pPr>
    </w:p>
    <w:p>
      <w:pPr>
        <w:ind w:left="920" w:right="6360"/>
        <w:spacing w:after="0" w:line="281" w:lineRule="auto"/>
        <w:rPr>
          <w:rFonts w:ascii="Arial" w:cs="Arial" w:eastAsia="Arial" w:hAnsi="Arial"/>
          <w:sz w:val="18"/>
          <w:szCs w:val="18"/>
          <w:color w:val="auto"/>
        </w:rPr>
      </w:pPr>
      <w:r>
        <w:rPr>
          <w:rFonts w:ascii="Arial" w:cs="Arial" w:eastAsia="Arial" w:hAnsi="Arial"/>
          <w:sz w:val="16"/>
          <w:szCs w:val="16"/>
          <w:color w:val="auto"/>
        </w:rPr>
        <w:t>Deerfield Management Company, L.P. - 7,004,253 shares Deerfield Special Situations Fund, L.P. - 331,400 shares Deerfield Partners, L.P. – 6,672,853 shares</w:t>
      </w:r>
    </w:p>
    <w:p>
      <w:pPr>
        <w:spacing w:after="0" w:line="2"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James E. Flynn – 7,004,253 shares</w:t>
      </w:r>
    </w:p>
    <w:p>
      <w:pPr>
        <w:spacing w:after="0" w:line="237" w:lineRule="exact"/>
        <w:rPr>
          <w:rFonts w:ascii="Arial" w:cs="Arial" w:eastAsia="Arial" w:hAnsi="Arial"/>
          <w:sz w:val="18"/>
          <w:szCs w:val="18"/>
          <w:color w:val="auto"/>
        </w:rPr>
      </w:pPr>
    </w:p>
    <w:p>
      <w:pPr>
        <w:ind w:left="920" w:hanging="516"/>
        <w:spacing w:after="0"/>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Deerfield Mgmt, L.P. – 8.45%</w:t>
      </w:r>
    </w:p>
    <w:p>
      <w:pPr>
        <w:spacing w:after="0" w:line="23" w:lineRule="exact"/>
        <w:rPr>
          <w:rFonts w:ascii="Arial" w:cs="Arial" w:eastAsia="Arial" w:hAnsi="Arial"/>
          <w:sz w:val="18"/>
          <w:szCs w:val="18"/>
          <w:color w:val="auto"/>
        </w:rPr>
      </w:pPr>
    </w:p>
    <w:p>
      <w:pPr>
        <w:jc w:val="both"/>
        <w:ind w:left="920" w:right="7080"/>
        <w:spacing w:after="0" w:line="281" w:lineRule="auto"/>
        <w:rPr>
          <w:rFonts w:ascii="Arial" w:cs="Arial" w:eastAsia="Arial" w:hAnsi="Arial"/>
          <w:sz w:val="18"/>
          <w:szCs w:val="18"/>
          <w:color w:val="auto"/>
        </w:rPr>
      </w:pPr>
      <w:r>
        <w:rPr>
          <w:rFonts w:ascii="Arial" w:cs="Arial" w:eastAsia="Arial" w:hAnsi="Arial"/>
          <w:sz w:val="16"/>
          <w:szCs w:val="16"/>
          <w:color w:val="auto"/>
        </w:rPr>
        <w:t>Deerfield Management Company, L.P. – 8.45% Deerfield Special Situations Fund, L.P. - 0.40% Deerfield Partners, L.P. – 8.05%</w:t>
      </w:r>
    </w:p>
    <w:p>
      <w:pPr>
        <w:spacing w:after="0" w:line="2"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James E. Flynn – 8.45%</w:t>
      </w:r>
    </w:p>
    <w:p>
      <w:pPr>
        <w:spacing w:after="0" w:line="237" w:lineRule="exact"/>
        <w:rPr>
          <w:rFonts w:ascii="Arial" w:cs="Arial" w:eastAsia="Arial" w:hAnsi="Arial"/>
          <w:sz w:val="18"/>
          <w:szCs w:val="18"/>
          <w:color w:val="auto"/>
        </w:rPr>
      </w:pPr>
    </w:p>
    <w:p>
      <w:pPr>
        <w:ind w:left="920" w:hanging="516"/>
        <w:spacing w:after="0"/>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-276225</wp:posOffset>
            </wp:positionV>
            <wp:extent cx="666369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63690" cy="1714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-1390650</wp:posOffset>
            </wp:positionV>
            <wp:extent cx="666369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05" w:lineRule="exact"/>
        <w:rPr>
          <w:sz w:val="20"/>
          <w:szCs w:val="20"/>
          <w:color w:val="auto"/>
        </w:rPr>
      </w:pPr>
    </w:p>
    <w:tbl>
      <w:tblPr>
        <w:tblLayout w:type="fixed"/>
        <w:tblInd w:w="920" w:type="dxa"/>
        <w:tblCellMar>
          <w:top w:w="0" w:type="dxa"/>
          <w:left w:w="0" w:type="dxa"/>
          <w:bottom w:w="0" w:type="dxa"/>
          <w:right w:w="0" w:type="dxa"/>
        </w:tblCellMar>
      </w:tblPr>
      <w:tr>
        <w:trPr>
          <w:trHeight w:val="237"/>
        </w:trPr>
        <w:tc>
          <w:tcPr>
            <w:tcW w:w="440" w:type="dxa"/>
            <w:vAlign w:val="bottom"/>
          </w:tcPr>
          <w:p>
            <w:pPr>
              <w:spacing w:after="0"/>
              <w:rPr>
                <w:sz w:val="20"/>
                <w:szCs w:val="20"/>
                <w:color w:val="auto"/>
              </w:rPr>
            </w:pPr>
            <w:r>
              <w:rPr>
                <w:rFonts w:ascii="Arial" w:cs="Arial" w:eastAsia="Arial" w:hAnsi="Arial"/>
                <w:sz w:val="18"/>
                <w:szCs w:val="18"/>
                <w:color w:val="auto"/>
              </w:rPr>
              <w:t>(i)</w:t>
            </w:r>
          </w:p>
        </w:tc>
        <w:tc>
          <w:tcPr>
            <w:tcW w:w="5280" w:type="dxa"/>
            <w:vAlign w:val="bottom"/>
          </w:tcPr>
          <w:p>
            <w:pPr>
              <w:ind w:left="140"/>
              <w:spacing w:after="0"/>
              <w:rPr>
                <w:sz w:val="20"/>
                <w:szCs w:val="20"/>
                <w:color w:val="auto"/>
              </w:rPr>
            </w:pPr>
            <w:r>
              <w:rPr>
                <w:rFonts w:ascii="Arial" w:cs="Arial" w:eastAsia="Arial" w:hAnsi="Arial"/>
                <w:sz w:val="18"/>
                <w:szCs w:val="18"/>
                <w:color w:val="auto"/>
              </w:rPr>
              <w:t>Sole power to vote or to direct the vote: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All Reporting Persons - 0</w:t>
            </w:r>
          </w:p>
        </w:tc>
      </w:tr>
      <w:tr>
        <w:trPr>
          <w:trHeight w:val="418"/>
        </w:trPr>
        <w:tc>
          <w:tcPr>
            <w:tcW w:w="440" w:type="dxa"/>
            <w:vAlign w:val="bottom"/>
          </w:tcPr>
          <w:p>
            <w:pPr>
              <w:spacing w:after="0"/>
              <w:rPr>
                <w:sz w:val="20"/>
                <w:szCs w:val="20"/>
                <w:color w:val="auto"/>
              </w:rPr>
            </w:pPr>
            <w:r>
              <w:rPr>
                <w:rFonts w:ascii="Arial" w:cs="Arial" w:eastAsia="Arial" w:hAnsi="Arial"/>
                <w:sz w:val="18"/>
                <w:szCs w:val="18"/>
                <w:color w:val="auto"/>
              </w:rPr>
              <w:t>(ii)</w:t>
            </w:r>
          </w:p>
        </w:tc>
        <w:tc>
          <w:tcPr>
            <w:tcW w:w="5280" w:type="dxa"/>
            <w:vAlign w:val="bottom"/>
          </w:tcPr>
          <w:p>
            <w:pPr>
              <w:ind w:left="140"/>
              <w:spacing w:after="0"/>
              <w:rPr>
                <w:sz w:val="20"/>
                <w:szCs w:val="20"/>
                <w:color w:val="auto"/>
              </w:rPr>
            </w:pPr>
            <w:r>
              <w:rPr>
                <w:rFonts w:ascii="Arial" w:cs="Arial" w:eastAsia="Arial" w:hAnsi="Arial"/>
                <w:sz w:val="18"/>
                <w:szCs w:val="18"/>
                <w:color w:val="auto"/>
              </w:rPr>
              <w:t>Shared power to vote or to direct the vote:</w:t>
            </w:r>
          </w:p>
        </w:tc>
        <w:tc>
          <w:tcPr>
            <w:tcW w:w="4780" w:type="dxa"/>
            <w:vAlign w:val="bottom"/>
          </w:tcPr>
          <w:p>
            <w:pPr>
              <w:spacing w:after="0"/>
              <w:rPr>
                <w:sz w:val="20"/>
                <w:szCs w:val="20"/>
                <w:color w:val="auto"/>
              </w:rPr>
            </w:pPr>
            <w:r>
              <w:rPr>
                <w:rFonts w:ascii="Arial" w:cs="Arial" w:eastAsia="Arial" w:hAnsi="Arial"/>
                <w:sz w:val="18"/>
                <w:szCs w:val="18"/>
                <w:color w:val="auto"/>
              </w:rPr>
              <w:t>Deerfield Mgmt, L.P. - 7,004,253</w:t>
            </w:r>
          </w:p>
        </w:tc>
      </w:tr>
      <w:tr>
        <w:trPr>
          <w:trHeight w:val="216"/>
        </w:trPr>
        <w:tc>
          <w:tcPr>
            <w:tcW w:w="4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Deerfield Management Company, L.P. - 7,004,253</w:t>
            </w:r>
          </w:p>
        </w:tc>
      </w:tr>
      <w:tr>
        <w:trPr>
          <w:trHeight w:val="216"/>
        </w:trPr>
        <w:tc>
          <w:tcPr>
            <w:tcW w:w="4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Deerfield Special Situations Fund, L.P. - 331,400 shares</w:t>
            </w:r>
          </w:p>
        </w:tc>
      </w:tr>
      <w:tr>
        <w:trPr>
          <w:trHeight w:val="216"/>
        </w:trPr>
        <w:tc>
          <w:tcPr>
            <w:tcW w:w="4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Deerfield Partners, L.P. – 6,672,853</w:t>
            </w:r>
          </w:p>
        </w:tc>
      </w:tr>
      <w:tr>
        <w:trPr>
          <w:trHeight w:val="237"/>
        </w:trPr>
        <w:tc>
          <w:tcPr>
            <w:tcW w:w="44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James E. Flynn – 7,004,253</w:t>
            </w:r>
          </w:p>
        </w:tc>
      </w:tr>
      <w:tr>
        <w:trPr>
          <w:trHeight w:val="439"/>
        </w:trPr>
        <w:tc>
          <w:tcPr>
            <w:tcW w:w="440" w:type="dxa"/>
            <w:vAlign w:val="bottom"/>
          </w:tcPr>
          <w:p>
            <w:pPr>
              <w:spacing w:after="0"/>
              <w:rPr>
                <w:sz w:val="20"/>
                <w:szCs w:val="20"/>
                <w:color w:val="auto"/>
              </w:rPr>
            </w:pPr>
            <w:r>
              <w:rPr>
                <w:rFonts w:ascii="Arial" w:cs="Arial" w:eastAsia="Arial" w:hAnsi="Arial"/>
                <w:sz w:val="18"/>
                <w:szCs w:val="18"/>
                <w:color w:val="auto"/>
              </w:rPr>
              <w:t>(iii)</w:t>
            </w:r>
          </w:p>
        </w:tc>
        <w:tc>
          <w:tcPr>
            <w:tcW w:w="5280" w:type="dxa"/>
            <w:vAlign w:val="bottom"/>
          </w:tcPr>
          <w:p>
            <w:pPr>
              <w:ind w:left="140"/>
              <w:spacing w:after="0"/>
              <w:rPr>
                <w:sz w:val="20"/>
                <w:szCs w:val="20"/>
                <w:color w:val="auto"/>
              </w:rPr>
            </w:pPr>
            <w:r>
              <w:rPr>
                <w:rFonts w:ascii="Arial" w:cs="Arial" w:eastAsia="Arial" w:hAnsi="Arial"/>
                <w:sz w:val="18"/>
                <w:szCs w:val="18"/>
                <w:color w:val="auto"/>
              </w:rPr>
              <w:t>Sole power to dispose or to direct the disposition of:</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All Reporting Persons - 0</w:t>
            </w:r>
          </w:p>
        </w:tc>
      </w:tr>
      <w:tr>
        <w:trPr>
          <w:trHeight w:val="418"/>
        </w:trPr>
        <w:tc>
          <w:tcPr>
            <w:tcW w:w="440" w:type="dxa"/>
            <w:vAlign w:val="bottom"/>
          </w:tcPr>
          <w:p>
            <w:pPr>
              <w:spacing w:after="0"/>
              <w:rPr>
                <w:sz w:val="20"/>
                <w:szCs w:val="20"/>
                <w:color w:val="auto"/>
              </w:rPr>
            </w:pPr>
            <w:r>
              <w:rPr>
                <w:rFonts w:ascii="Arial" w:cs="Arial" w:eastAsia="Arial" w:hAnsi="Arial"/>
                <w:sz w:val="18"/>
                <w:szCs w:val="18"/>
                <w:color w:val="auto"/>
              </w:rPr>
              <w:t>(iv)</w:t>
            </w:r>
          </w:p>
        </w:tc>
        <w:tc>
          <w:tcPr>
            <w:tcW w:w="5280" w:type="dxa"/>
            <w:vAlign w:val="bottom"/>
          </w:tcPr>
          <w:p>
            <w:pPr>
              <w:ind w:left="140"/>
              <w:spacing w:after="0"/>
              <w:rPr>
                <w:sz w:val="20"/>
                <w:szCs w:val="20"/>
                <w:color w:val="auto"/>
              </w:rPr>
            </w:pPr>
            <w:r>
              <w:rPr>
                <w:rFonts w:ascii="Arial" w:cs="Arial" w:eastAsia="Arial" w:hAnsi="Arial"/>
                <w:sz w:val="18"/>
                <w:szCs w:val="18"/>
                <w:color w:val="auto"/>
              </w:rPr>
              <w:t>Shared power to dispose or to direct the disposition of:</w:t>
            </w:r>
          </w:p>
        </w:tc>
        <w:tc>
          <w:tcPr>
            <w:tcW w:w="4780" w:type="dxa"/>
            <w:vAlign w:val="bottom"/>
          </w:tcPr>
          <w:p>
            <w:pPr>
              <w:spacing w:after="0"/>
              <w:rPr>
                <w:sz w:val="20"/>
                <w:szCs w:val="20"/>
                <w:color w:val="auto"/>
              </w:rPr>
            </w:pPr>
            <w:r>
              <w:rPr>
                <w:rFonts w:ascii="Arial" w:cs="Arial" w:eastAsia="Arial" w:hAnsi="Arial"/>
                <w:sz w:val="18"/>
                <w:szCs w:val="18"/>
                <w:color w:val="auto"/>
              </w:rPr>
              <w:t>Deerfield Mgmt, L.P. - 7,004,253</w:t>
            </w:r>
          </w:p>
        </w:tc>
      </w:tr>
      <w:tr>
        <w:trPr>
          <w:trHeight w:val="216"/>
        </w:trPr>
        <w:tc>
          <w:tcPr>
            <w:tcW w:w="4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Deerfield Management Company, L.P. - 7,004,253</w:t>
            </w:r>
          </w:p>
        </w:tc>
      </w:tr>
      <w:tr>
        <w:trPr>
          <w:trHeight w:val="216"/>
        </w:trPr>
        <w:tc>
          <w:tcPr>
            <w:tcW w:w="4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Deerfield Special Situations Fund, L.P. - 331,400 shares</w:t>
            </w:r>
          </w:p>
        </w:tc>
      </w:tr>
      <w:tr>
        <w:trPr>
          <w:trHeight w:val="216"/>
        </w:trPr>
        <w:tc>
          <w:tcPr>
            <w:tcW w:w="4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Deerfield Partners, L.P. – 6,672,853</w:t>
            </w:r>
          </w:p>
        </w:tc>
      </w:tr>
      <w:tr>
        <w:trPr>
          <w:trHeight w:val="237"/>
        </w:trPr>
        <w:tc>
          <w:tcPr>
            <w:tcW w:w="44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James E. Flynn – 7,004,253</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footnotes on cover pages which are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spacing w:after="0"/>
        <w:tabs>
          <w:tab w:leader="none" w:pos="1200" w:val="left"/>
          <w:tab w:leader="none" w:pos="5540" w:val="left"/>
          <w:tab w:leader="none" w:pos="1004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039697107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9 of 10 Pages</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25" w:lineRule="exact"/>
        <w:rPr>
          <w:sz w:val="20"/>
          <w:szCs w:val="20"/>
          <w:color w:val="auto"/>
        </w:rPr>
      </w:pPr>
    </w:p>
    <w:p>
      <w:pPr>
        <w:ind w:right="380" w:firstLine="324"/>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262255</wp:posOffset>
            </wp:positionV>
            <wp:extent cx="666369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25"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14605</wp:posOffset>
            </wp:positionV>
            <wp:extent cx="666369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32" w:lineRule="exact"/>
        <w:rPr>
          <w:sz w:val="20"/>
          <w:szCs w:val="20"/>
          <w:color w:val="auto"/>
        </w:rPr>
      </w:pPr>
    </w:p>
    <w:p>
      <w:pPr>
        <w:ind w:left="920" w:right="200" w:hanging="917"/>
        <w:spacing w:after="0" w:line="277" w:lineRule="auto"/>
        <w:tabs>
          <w:tab w:leader="none" w:pos="9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170" w:lineRule="exact"/>
        <w:rPr>
          <w:sz w:val="20"/>
          <w:szCs w:val="20"/>
          <w:color w:val="auto"/>
        </w:rPr>
      </w:pPr>
    </w:p>
    <w:p>
      <w:pPr>
        <w:ind w:right="420" w:firstLine="324"/>
        <w:spacing w:after="0" w:line="286" w:lineRule="auto"/>
        <w:rPr>
          <w:sz w:val="20"/>
          <w:szCs w:val="20"/>
          <w:color w:val="auto"/>
        </w:rPr>
      </w:pPr>
      <w:r>
        <w:rPr>
          <w:rFonts w:ascii="Arial" w:cs="Arial" w:eastAsia="Arial" w:hAnsi="Arial"/>
          <w:sz w:val="17"/>
          <w:szCs w:val="17"/>
          <w:color w:val="auto"/>
        </w:rPr>
        <w:t>If a parent holding company or Control person has filed this schedule, pursuant 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14605</wp:posOffset>
            </wp:positionV>
            <wp:extent cx="66636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25" w:lineRule="exact"/>
        <w:rPr>
          <w:sz w:val="20"/>
          <w:szCs w:val="20"/>
          <w:color w:val="auto"/>
        </w:rPr>
      </w:pPr>
    </w:p>
    <w:p>
      <w:pPr>
        <w:jc w:val="both"/>
        <w:ind w:right="360" w:firstLine="324"/>
        <w:spacing w:after="0" w:line="264" w:lineRule="auto"/>
        <w:rPr>
          <w:sz w:val="20"/>
          <w:szCs w:val="20"/>
          <w:color w:val="auto"/>
        </w:rPr>
      </w:pPr>
      <w:r>
        <w:rPr>
          <w:rFonts w:ascii="Arial" w:cs="Arial" w:eastAsia="Arial" w:hAnsi="Arial"/>
          <w:sz w:val="18"/>
          <w:szCs w:val="18"/>
          <w:color w:val="auto"/>
        </w:rPr>
        <w:t>If a group has filed this schedule pursuant to ss.240.13d-1(b)(1)(ii)(J), so indicate under Item 3(j) and attach an exhibit stating the identity and Item 3 classification of each member of the group. If a group has filed this schedule pursuant to ss.240.13d-1(c) or ss.240.13d-1(d), attach an exhibit stating the identity of each member of the group.</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See 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14605</wp:posOffset>
            </wp:positionV>
            <wp:extent cx="666369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2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14605</wp:posOffset>
            </wp:positionV>
            <wp:extent cx="66636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Certifications.</w:t>
      </w:r>
    </w:p>
    <w:p>
      <w:pPr>
        <w:spacing w:after="0" w:line="225" w:lineRule="exact"/>
        <w:rPr>
          <w:sz w:val="20"/>
          <w:szCs w:val="20"/>
          <w:color w:val="auto"/>
        </w:rPr>
      </w:pPr>
    </w:p>
    <w:p>
      <w:pPr>
        <w:ind w:right="60" w:firstLine="324"/>
        <w:spacing w:after="0" w:line="31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spacing w:after="0"/>
        <w:tabs>
          <w:tab w:leader="none" w:pos="1200" w:val="left"/>
          <w:tab w:leader="none" w:pos="5540" w:val="left"/>
          <w:tab w:leader="none" w:pos="994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039697107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10 of 10 Pages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DEERFIELD MGMT,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DEERFIELD MANAGEMENT COMPANY,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Flynn Management 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DEERFIELD SPECIAL SITUATIONS FUND,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Deerfield Mgmt, L.P.,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DEERFIELD PARTNERS,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Deerfield Mgmt, L.P.,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JAMES E. FLYNN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Jonathan Isler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Jonathan Isler,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jc w:val="center"/>
        <w:ind w:right="-379"/>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A. Joint Filing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B. Item 8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C. Power of Attorney (1).</w:t>
      </w:r>
    </w:p>
    <w:p>
      <w:pPr>
        <w:spacing w:after="0" w:line="225" w:lineRule="exact"/>
        <w:rPr>
          <w:sz w:val="20"/>
          <w:szCs w:val="20"/>
          <w:color w:val="auto"/>
        </w:rPr>
      </w:pPr>
    </w:p>
    <w:p>
      <w:pPr>
        <w:ind w:firstLine="8"/>
        <w:spacing w:after="0" w:line="259" w:lineRule="auto"/>
        <w:tabs>
          <w:tab w:leader="none" w:pos="2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Power of Attorney previously filed as Exhibit 24 to a Form 3 with regard to Proteon Therapeutics, Inc. filed with the Securities and Exchange Commission on August 4, 2017 by Deerfield Special Situations Fund, L.P., Deerfield Partners, L.P., Deerfield International Master Fund, L.P., Deerfield Private Design Fund III, L.P., Deerfield Private Design Fund IV, L.P., Deerfield Mgmt, L.P., Deerfield Mgmt III, L.P., Deerfield Mgmt IV, L.P., Deerfield Management Company, L.P. and James E. Flynn.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40"/>
          </w:cols>
          <w:pgMar w:left="240" w:top="341" w:right="619" w:bottom="1440" w:gutter="0" w:footer="0" w:header="0"/>
        </w:sectPr>
      </w:pPr>
    </w:p>
    <w:bookmarkStart w:id="11" w:name="page12"/>
    <w:bookmarkEnd w:id="11"/>
    <w:p>
      <w:pPr>
        <w:jc w:val="center"/>
        <w:ind w:right="-419"/>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Joint Filing Agreement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undersigned agree that this Schedule 13G, and all amendments thereto, relating to the Common Stock of Ardelyx, Inc. shall be filed on behalf of the undersigned.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DEERFIELD MGMT,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DEERFIELD MANAGEMENT COMPANY,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Flynn Management 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DEERFIELD SPECIAL SITUATIONS FUND,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Deerfield Mgmt, L.P.,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DEERFIELD PARTNERS,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Deerfield Mgmt, L.P.,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JAMES E. FLYNN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Jonathan Isler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Jonathan Isler,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20"/>
          </w:cols>
          <w:pgMar w:left="240" w:top="341" w:right="639" w:bottom="1440" w:gutter="0" w:footer="0" w:header="0"/>
        </w:sectPr>
      </w:pPr>
    </w:p>
    <w:bookmarkStart w:id="12" w:name="page13"/>
    <w:bookmarkEnd w:id="12"/>
    <w:p>
      <w:pPr>
        <w:jc w:val="center"/>
        <w:ind w:right="-399"/>
        <w:spacing w:after="0"/>
        <w:rPr>
          <w:sz w:val="20"/>
          <w:szCs w:val="20"/>
          <w:color w:val="auto"/>
        </w:rPr>
      </w:pPr>
      <w:r>
        <w:rPr>
          <w:rFonts w:ascii="Arial" w:cs="Arial" w:eastAsia="Arial" w:hAnsi="Arial"/>
          <w:sz w:val="18"/>
          <w:szCs w:val="18"/>
          <w:color w:val="auto"/>
        </w:rPr>
        <w:t>Exhibit B</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Due to the relationships between them, the reporting persons hereunder may be deemed to constitute a “group” with one another for purposes of Section 13(d)(3) of the Securities Exchange Act of 1934.</w:t>
      </w:r>
    </w:p>
    <w:sectPr>
      <w:pgSz w:w="11900" w:h="16838" w:orient="portrait"/>
      <w:cols w:equalWidth="0" w:num="1">
        <w:col w:w="11040"/>
      </w:cols>
      <w:pgMar w:left="240" w:top="341"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12"/>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12"/>
    </w:lvl>
  </w:abstractNum>
  <w:abstractNum w:abstractNumId="9">
    <w:nsid w:val="1BEFD79F"/>
    <w:multiLevelType w:val="hybridMultilevel"/>
    <w:lvl w:ilvl="0">
      <w:lvlJc w:val="left"/>
      <w:lvlText w:val="(%1)"/>
      <w:numFmt w:val="decimal"/>
      <w:start w:val="2"/>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decimal"/>
      <w:start w:val="12"/>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decimal"/>
      <w:start w:val="12"/>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decimal"/>
      <w:start w:val="12"/>
    </w:lvl>
  </w:abstractNum>
  <w:abstractNum w:abstractNumId="16">
    <w:nsid w:val="3F2DBA31"/>
    <w:multiLevelType w:val="hybridMultilevel"/>
    <w:lvl w:ilvl="0">
      <w:lvlJc w:val="left"/>
      <w:lvlText w:val="(%1)"/>
      <w:numFmt w:val="lowerLetter"/>
      <w:start w:val="1"/>
    </w:lvl>
  </w:abstractNum>
  <w:abstractNum w:abstractNumId="17">
    <w:nsid w:val="7C83E458"/>
    <w:multiLevelType w:val="hybridMultilevel"/>
    <w:lvl w:ilvl="0">
      <w:lvlJc w:val="left"/>
      <w:lvlText w:val="(%1)"/>
      <w:numFmt w:val="lowerLetter"/>
      <w:start w:val="10"/>
    </w:lvl>
  </w:abstractNum>
  <w:abstractNum w:abstractNumId="18">
    <w:nsid w:val="257130A3"/>
    <w:multiLevelType w:val="hybridMultilevel"/>
    <w:lvl w:ilvl="0">
      <w:lvlJc w:val="left"/>
      <w:lvlText w:val="(%1)"/>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2020-02-13T11:25:35Z</dcterms:created>
  <dcterms:modified xsi:type="dcterms:W3CDTF">2020-02-13T11:25:35Z</dcterms:modified>
</cp:coreProperties>
</file>