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132715</wp:posOffset>
            </wp:positionV>
            <wp:extent cx="5657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4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160020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12,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147955</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ARDELYX,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141605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88"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1800" w:type="dxa"/>
            <w:vAlign w:val="bottom"/>
          </w:tcPr>
          <w:p>
            <w:pPr>
              <w:jc w:val="center"/>
              <w:ind w:right="82"/>
              <w:spacing w:after="0"/>
              <w:rPr>
                <w:sz w:val="20"/>
                <w:szCs w:val="20"/>
                <w:color w:val="auto"/>
              </w:rPr>
            </w:pPr>
            <w:r>
              <w:rPr>
                <w:rFonts w:ascii="Arial" w:cs="Arial" w:eastAsia="Arial" w:hAnsi="Arial"/>
                <w:sz w:val="18"/>
                <w:szCs w:val="18"/>
                <w:b w:val="1"/>
                <w:bCs w:val="1"/>
                <w:color w:val="auto"/>
                <w:w w:val="91"/>
              </w:rPr>
              <w:t>Delaware</w:t>
            </w:r>
          </w:p>
        </w:tc>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1640" w:type="dxa"/>
            <w:vAlign w:val="bottom"/>
          </w:tcPr>
          <w:p>
            <w:pPr>
              <w:jc w:val="center"/>
              <w:ind w:left="142"/>
              <w:spacing w:after="0"/>
              <w:rPr>
                <w:sz w:val="20"/>
                <w:szCs w:val="20"/>
                <w:color w:val="auto"/>
              </w:rPr>
            </w:pPr>
            <w:r>
              <w:rPr>
                <w:rFonts w:ascii="Arial" w:cs="Arial" w:eastAsia="Arial" w:hAnsi="Arial"/>
                <w:sz w:val="18"/>
                <w:szCs w:val="18"/>
                <w:b w:val="1"/>
                <w:bCs w:val="1"/>
                <w:color w:val="auto"/>
                <w:w w:val="89"/>
              </w:rPr>
              <w:t>26-1303944</w:t>
            </w:r>
          </w:p>
        </w:tc>
      </w:tr>
      <w:tr>
        <w:trPr>
          <w:trHeight w:val="148"/>
        </w:trPr>
        <w:tc>
          <w:tcPr>
            <w:tcW w:w="18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1640" w:type="dxa"/>
            <w:vAlign w:val="bottom"/>
          </w:tcPr>
          <w:p>
            <w:pPr>
              <w:jc w:val="center"/>
              <w:ind w:left="14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00" w:type="dxa"/>
            <w:vAlign w:val="bottom"/>
          </w:tcPr>
          <w:p>
            <w:pPr>
              <w:jc w:val="center"/>
              <w:ind w:right="82"/>
              <w:spacing w:after="0"/>
              <w:rPr>
                <w:sz w:val="20"/>
                <w:szCs w:val="20"/>
                <w:color w:val="auto"/>
              </w:rPr>
            </w:pPr>
            <w:r>
              <w:rPr>
                <w:rFonts w:ascii="Arial" w:cs="Arial" w:eastAsia="Arial" w:hAnsi="Arial"/>
                <w:sz w:val="14"/>
                <w:szCs w:val="14"/>
                <w:b w:val="1"/>
                <w:bCs w:val="1"/>
                <w:color w:val="auto"/>
                <w:w w:val="92"/>
              </w:rPr>
              <w:t>of incorporation)</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1640" w:type="dxa"/>
            <w:vAlign w:val="bottom"/>
          </w:tcPr>
          <w:p>
            <w:pPr>
              <w:jc w:val="center"/>
              <w:ind w:left="142"/>
              <w:spacing w:after="0"/>
              <w:rPr>
                <w:sz w:val="20"/>
                <w:szCs w:val="20"/>
                <w:color w:val="auto"/>
              </w:rPr>
            </w:pPr>
            <w:r>
              <w:rPr>
                <w:rFonts w:ascii="Arial" w:cs="Arial" w:eastAsia="Arial" w:hAnsi="Arial"/>
                <w:sz w:val="14"/>
                <w:szCs w:val="14"/>
                <w:b w:val="1"/>
                <w:bCs w:val="1"/>
                <w:color w:val="auto"/>
                <w:w w:val="95"/>
              </w:rPr>
              <w:t>Identification Number)</w:t>
            </w:r>
          </w:p>
        </w:tc>
      </w:tr>
      <w:tr>
        <w:trPr>
          <w:trHeight w:val="331"/>
        </w:trPr>
        <w:tc>
          <w:tcPr>
            <w:tcW w:w="180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0"/>
              </w:rPr>
              <w:t>34175 Ardenwood Blvd.</w:t>
            </w:r>
          </w:p>
        </w:tc>
        <w:tc>
          <w:tcPr>
            <w:tcW w:w="1640" w:type="dxa"/>
            <w:vAlign w:val="bottom"/>
          </w:tcPr>
          <w:p>
            <w:pPr>
              <w:spacing w:after="0"/>
              <w:rPr>
                <w:sz w:val="24"/>
                <w:szCs w:val="24"/>
                <w:color w:val="auto"/>
              </w:rPr>
            </w:pPr>
          </w:p>
        </w:tc>
      </w:tr>
      <w:tr>
        <w:trPr>
          <w:trHeight w:val="212"/>
        </w:trPr>
        <w:tc>
          <w:tcPr>
            <w:tcW w:w="180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3"/>
              </w:rPr>
              <w:t>Fremont, CA 94555</w:t>
            </w:r>
          </w:p>
        </w:tc>
        <w:tc>
          <w:tcPr>
            <w:tcW w:w="1640" w:type="dxa"/>
            <w:vAlign w:val="bottom"/>
          </w:tcPr>
          <w:p>
            <w:pPr>
              <w:spacing w:after="0"/>
              <w:rPr>
                <w:sz w:val="18"/>
                <w:szCs w:val="18"/>
                <w:color w:val="auto"/>
              </w:rPr>
            </w:pPr>
          </w:p>
        </w:tc>
      </w:tr>
      <w:tr>
        <w:trPr>
          <w:trHeight w:val="186"/>
        </w:trPr>
        <w:tc>
          <w:tcPr>
            <w:tcW w:w="1800" w:type="dxa"/>
            <w:vAlign w:val="bottom"/>
          </w:tcPr>
          <w:p>
            <w:pPr>
              <w:spacing w:after="0"/>
              <w:rPr>
                <w:sz w:val="16"/>
                <w:szCs w:val="16"/>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1640" w:type="dxa"/>
            <w:vAlign w:val="bottom"/>
          </w:tcPr>
          <w:p>
            <w:pPr>
              <w:spacing w:after="0"/>
              <w:rPr>
                <w:sz w:val="16"/>
                <w:szCs w:val="16"/>
                <w:color w:val="auto"/>
              </w:rPr>
            </w:pPr>
          </w:p>
        </w:tc>
      </w:tr>
    </w:tbl>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98"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340" w:hanging="28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340" w:hanging="28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340" w:hanging="284"/>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61" w:lineRule="exact"/>
        <w:rPr>
          <w:rFonts w:ascii="MS PGothic" w:cs="MS PGothic" w:eastAsia="MS PGothic" w:hAnsi="MS PGothic"/>
          <w:sz w:val="17"/>
          <w:szCs w:val="17"/>
          <w:color w:val="auto"/>
        </w:rPr>
      </w:pPr>
    </w:p>
    <w:p>
      <w:pPr>
        <w:ind w:left="340" w:hanging="284"/>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69" w:lineRule="exact"/>
        <w:rPr>
          <w:sz w:val="24"/>
          <w:szCs w:val="24"/>
          <w:color w:val="auto"/>
        </w:rPr>
      </w:pPr>
    </w:p>
    <w:p>
      <w:pPr>
        <w:ind w:left="60" w:right="119"/>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jc w:val="both"/>
        <w:ind w:left="60" w:right="43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Title of each class</w:t>
            </w:r>
          </w:p>
        </w:tc>
        <w:tc>
          <w:tcPr>
            <w:tcW w:w="2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Trading Symbol(s)</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40" w:type="dxa"/>
            <w:vAlign w:val="bottom"/>
            <w:vMerge w:val="continue"/>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rPr>
              <w:t>ARDX</w:t>
            </w:r>
          </w:p>
        </w:tc>
        <w:tc>
          <w:tcPr>
            <w:tcW w:w="240" w:type="dxa"/>
            <w:vAlign w:val="bottom"/>
            <w:vMerge w:val="continue"/>
          </w:tcPr>
          <w:p>
            <w:pPr>
              <w:spacing w:after="0"/>
              <w:rPr>
                <w:sz w:val="19"/>
                <w:szCs w:val="19"/>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r>
        <w:trPr>
          <w:trHeight w:val="94"/>
        </w:trPr>
        <w:tc>
          <w:tcPr>
            <w:tcW w:w="2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36" w:right="1440" w:bottom="1440" w:gutter="0" w:footer="0" w:header="0"/>
        </w:sectPr>
      </w:pPr>
    </w:p>
    <w:bookmarkStart w:id="1" w:name="page2"/>
    <w:bookmarkEnd w:id="1"/>
    <w:p>
      <w:pPr>
        <w:ind w:left="60"/>
        <w:spacing w:after="0"/>
        <w:tabs>
          <w:tab w:leader="none" w:pos="10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08" w:lineRule="exact"/>
        <w:rPr>
          <w:sz w:val="20"/>
          <w:szCs w:val="20"/>
          <w:color w:val="auto"/>
        </w:rPr>
      </w:pPr>
    </w:p>
    <w:p>
      <w:pPr>
        <w:ind w:left="60" w:right="139"/>
        <w:spacing w:after="0" w:line="289" w:lineRule="auto"/>
        <w:rPr>
          <w:sz w:val="20"/>
          <w:szCs w:val="20"/>
          <w:color w:val="auto"/>
        </w:rPr>
      </w:pPr>
      <w:r>
        <w:rPr>
          <w:rFonts w:ascii="Arial" w:cs="Arial" w:eastAsia="Arial" w:hAnsi="Arial"/>
          <w:sz w:val="16"/>
          <w:szCs w:val="16"/>
          <w:color w:val="auto"/>
        </w:rPr>
        <w:t>On November 12, 2020, Ardelyx, Inc. (the “Company” or “Ardelyx”), a specialized biopharmaceutical company focused on developing first-in-class medicines to improve treatment for people with cardiorenal diseases, updated its progress with respect to its small molecule potassium secretagogue program, RDX013, for the potential treatment of hyperkalemia. The Company noted that it has completed a Phase 1 clinical study evaluating the safety and pharmacodynamics of RDX013 in 112 healthy volunteers. The data from the Phase 1 clinical study showed that RDX013 was generally safe and well-tolerated, and that a decrease in urine potassium and an increase in stool potassium excretion were observed in subjects treated with RDX013. The results of the Phase 1 clinical trial support the Company’s decision to proceed with a Phase 2 clinical study evaluating RDX013 in hyperkalemic patients with chronic kidney disease, or CKD. The Company currently expects to initiate the Phase 2 study in the next several months.</w:t>
      </w:r>
    </w:p>
    <w:p>
      <w:pPr>
        <w:spacing w:after="0" w:line="126" w:lineRule="exact"/>
        <w:rPr>
          <w:sz w:val="20"/>
          <w:szCs w:val="20"/>
          <w:color w:val="auto"/>
        </w:rPr>
      </w:pPr>
    </w:p>
    <w:p>
      <w:pPr>
        <w:jc w:val="both"/>
        <w:ind w:left="60" w:right="339"/>
        <w:spacing w:after="0" w:line="263" w:lineRule="auto"/>
        <w:rPr>
          <w:sz w:val="20"/>
          <w:szCs w:val="20"/>
          <w:color w:val="auto"/>
        </w:rPr>
      </w:pPr>
      <w:r>
        <w:rPr>
          <w:rFonts w:ascii="Arial" w:cs="Arial" w:eastAsia="Arial" w:hAnsi="Arial"/>
          <w:sz w:val="18"/>
          <w:szCs w:val="18"/>
          <w:color w:val="auto"/>
        </w:rPr>
        <w:t>The Company also provided an update of its progress in a pipeline research program, RDX020, targeting a bicarbonate exchange inhibitor to treat metabolic acidosis, noting that the Company has identified several lead compounds that have been determined to be potent, selective and proprietary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691515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4" w:lineRule="exact"/>
        <w:rPr>
          <w:sz w:val="20"/>
          <w:szCs w:val="20"/>
          <w:color w:val="auto"/>
        </w:rPr>
      </w:pPr>
    </w:p>
    <w:p>
      <w:pPr>
        <w:ind w:left="60"/>
        <w:spacing w:after="0"/>
        <w:tabs>
          <w:tab w:leader="none" w:pos="4520" w:val="left"/>
        </w:tabs>
        <w:rPr>
          <w:sz w:val="20"/>
          <w:szCs w:val="20"/>
          <w:color w:val="auto"/>
        </w:rPr>
      </w:pPr>
      <w:r>
        <w:rPr>
          <w:rFonts w:ascii="Arial" w:cs="Arial" w:eastAsia="Arial" w:hAnsi="Arial"/>
          <w:sz w:val="18"/>
          <w:szCs w:val="18"/>
          <w:color w:val="auto"/>
        </w:rPr>
        <w:t>Date: November 12, 2020</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Elizabeth Grammer</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Legal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2020-11-12T16:20:38Z</dcterms:created>
  <dcterms:modified xsi:type="dcterms:W3CDTF">2020-11-12T16:20:38Z</dcterms:modified>
</cp:coreProperties>
</file>