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jc w:val="center"/>
        <w:rPr/>
      </w:pPr>
      <w:r>
        <w:rPr/>
      </w:r>
      <w:bookmarkStart w:id="0" w:name="ny20004224x1_defr14a.htm"/>
      <w:bookmarkStart w:id="1" w:name="ksny20004224x1_defr14a"/>
      <w:bookmarkStart w:id="2" w:name="ny20004224x1_defr14a.htm"/>
      <w:bookmarkStart w:id="3" w:name="ksny20004224x1_defr14a"/>
      <w:bookmarkEnd w:id="2"/>
      <w:bookmarkEnd w:id="3"/>
    </w:p>
    <w:p>
      <w:pPr>
        <w:pStyle w:val="TextBody"/>
        <w:spacing w:before="0" w:after="0"/>
        <w:jc w:val="center"/>
        <w:rPr>
          <w:b/>
          <w:sz w:val="28"/>
        </w:rPr>
      </w:pPr>
      <w:r>
        <w:rPr>
          <w:b/>
          <w:sz w:val="28"/>
        </w:rPr>
        <w:t>UNITED STATES</w:t>
      </w:r>
    </w:p>
    <w:p>
      <w:pPr>
        <w:pStyle w:val="TextBody"/>
        <w:spacing w:before="0" w:after="0"/>
        <w:jc w:val="center"/>
        <w:rPr>
          <w:b/>
          <w:sz w:val="28"/>
        </w:rPr>
      </w:pPr>
      <w:r>
        <w:rPr>
          <w:b/>
          <w:sz w:val="28"/>
        </w:rPr>
        <w:t>SECURITIES AND EXCHANGE COMMISSION</w:t>
      </w:r>
    </w:p>
    <w:p>
      <w:pPr>
        <w:pStyle w:val="TextBody"/>
        <w:spacing w:before="0" w:after="0"/>
        <w:jc w:val="center"/>
        <w:rPr>
          <w:b/>
          <w:sz w:val="24"/>
        </w:rPr>
      </w:pPr>
      <w:r>
        <w:rPr>
          <w:b/>
          <w:sz w:val="24"/>
        </w:rPr>
        <w:t>Washington, D.C. 20549</w:t>
      </w:r>
    </w:p>
    <w:p>
      <w:pPr>
        <w:pStyle w:val="HorizontalLine"/>
        <w:pBdr>
          <w:bottom w:val="single" w:sz="20" w:space="0" w:color="808080"/>
        </w:pBdr>
        <w:rPr/>
      </w:pPr>
      <w:r>
        <w:rPr/>
      </w:r>
    </w:p>
    <w:p>
      <w:pPr>
        <w:pStyle w:val="TextBody"/>
        <w:spacing w:before="0" w:after="0"/>
        <w:jc w:val="center"/>
        <w:rPr>
          <w:b/>
          <w:sz w:val="36"/>
        </w:rPr>
      </w:pPr>
      <w:r>
        <w:rPr>
          <w:b/>
          <w:sz w:val="36"/>
        </w:rPr>
        <w:t>SCHEDULE 14A</w:t>
      </w:r>
    </w:p>
    <w:p>
      <w:pPr>
        <w:pStyle w:val="TextBody"/>
        <w:spacing w:before="0" w:after="0"/>
        <w:rPr/>
      </w:pPr>
      <w:r>
        <w:rPr/>
      </w:r>
    </w:p>
    <w:p>
      <w:pPr>
        <w:pStyle w:val="TextBody"/>
        <w:spacing w:before="0" w:after="0"/>
        <w:jc w:val="center"/>
        <w:rPr>
          <w:b/>
          <w:sz w:val="24"/>
        </w:rPr>
      </w:pPr>
      <w:r>
        <w:rPr>
          <w:b/>
          <w:sz w:val="24"/>
        </w:rPr>
        <w:t>Proxy Statement Pursuant to Section 14(a) of the</w:t>
      </w:r>
    </w:p>
    <w:p>
      <w:pPr>
        <w:pStyle w:val="TextBody"/>
        <w:spacing w:before="0" w:after="0"/>
        <w:jc w:val="center"/>
        <w:rPr>
          <w:b/>
          <w:sz w:val="24"/>
        </w:rPr>
      </w:pPr>
      <w:r>
        <w:rPr>
          <w:b/>
          <w:sz w:val="24"/>
        </w:rPr>
        <w:t>Securities Exchange Act of 1934</w:t>
      </w:r>
    </w:p>
    <w:p>
      <w:pPr>
        <w:pStyle w:val="TextBody"/>
        <w:spacing w:before="0" w:after="0"/>
        <w:jc w:val="center"/>
        <w:rPr>
          <w:b/>
          <w:sz w:val="24"/>
        </w:rPr>
      </w:pPr>
      <w:r>
        <w:rPr>
          <w:b/>
          <w:sz w:val="24"/>
        </w:rPr>
        <w:t>(Amendment No. 1)</w:t>
      </w:r>
    </w:p>
    <w:p>
      <w:pPr>
        <w:pStyle w:val="HorizontalLine"/>
        <w:pBdr>
          <w:bottom w:val="single" w:sz="20" w:space="0" w:color="808080"/>
        </w:pBdr>
        <w:rPr/>
      </w:pPr>
      <w:r>
        <w:rPr/>
      </w:r>
    </w:p>
    <w:p>
      <w:pPr>
        <w:pStyle w:val="TextBody"/>
        <w:spacing w:before="0" w:after="0"/>
        <w:rPr/>
      </w:pPr>
      <w:r>
        <w:rPr/>
        <w:t>Filed by the Registrant  ☒                Filed by a party other than the Registrant  ☐</w:t>
      </w:r>
    </w:p>
    <w:p>
      <w:pPr>
        <w:pStyle w:val="TextBody"/>
        <w:spacing w:before="0" w:after="0"/>
        <w:rPr/>
      </w:pPr>
      <w:r>
        <w:rPr/>
      </w:r>
      <w:bookmarkStart w:id="4" w:name="zb30ee994b0ac43babbae87400f8535c1"/>
      <w:bookmarkStart w:id="5" w:name="zb30ee994b0ac43babbae87400f8535c1"/>
      <w:bookmarkEnd w:id="5"/>
    </w:p>
    <w:tbl>
      <w:tblPr>
        <w:tblW w:w="8320" w:type="dxa"/>
        <w:jc w:val="left"/>
        <w:tblInd w:w="0" w:type="dxa"/>
        <w:tblCellMar>
          <w:top w:w="0" w:type="dxa"/>
          <w:left w:w="0" w:type="dxa"/>
          <w:bottom w:w="0" w:type="dxa"/>
          <w:right w:w="0" w:type="dxa"/>
        </w:tblCellMar>
      </w:tblPr>
      <w:tblGrid>
        <w:gridCol w:w="230"/>
        <w:gridCol w:w="8090"/>
      </w:tblGrid>
      <w:tr>
        <w:trPr/>
        <w:tc>
          <w:tcPr>
            <w:tcW w:w="8320" w:type="dxa"/>
            <w:gridSpan w:val="2"/>
            <w:tcBorders/>
            <w:shd w:fill="auto" w:val="clear"/>
            <w:vAlign w:val="center"/>
          </w:tcPr>
          <w:p>
            <w:pPr>
              <w:pStyle w:val="TableContents"/>
              <w:spacing w:before="0" w:after="0"/>
              <w:rPr/>
            </w:pPr>
            <w:r>
              <w:rPr/>
              <w:t>Check the appropriate box:</w:t>
            </w:r>
          </w:p>
        </w:tc>
      </w:tr>
      <w:tr>
        <w:trPr/>
        <w:tc>
          <w:tcPr>
            <w:tcW w:w="230" w:type="dxa"/>
            <w:tcBorders/>
            <w:shd w:fill="auto" w:val="clear"/>
            <w:vAlign w:val="center"/>
          </w:tcPr>
          <w:p>
            <w:pPr>
              <w:pStyle w:val="TableContents"/>
              <w:spacing w:before="0" w:after="283"/>
              <w:rPr/>
            </w:pPr>
            <w:r>
              <w:rPr/>
              <w:t>☐</w:t>
            </w:r>
          </w:p>
        </w:tc>
        <w:tc>
          <w:tcPr>
            <w:tcW w:w="8090" w:type="dxa"/>
            <w:tcBorders/>
            <w:shd w:fill="auto" w:val="clear"/>
            <w:vAlign w:val="center"/>
          </w:tcPr>
          <w:p>
            <w:pPr>
              <w:pStyle w:val="TableContents"/>
              <w:spacing w:before="0" w:after="0"/>
              <w:rPr/>
            </w:pPr>
            <w:r>
              <w:rPr/>
              <w:t>Preliminary Proxy Statement</w:t>
            </w:r>
          </w:p>
        </w:tc>
      </w:tr>
      <w:tr>
        <w:trPr/>
        <w:tc>
          <w:tcPr>
            <w:tcW w:w="230" w:type="dxa"/>
            <w:tcBorders/>
            <w:shd w:fill="auto" w:val="clear"/>
            <w:vAlign w:val="center"/>
          </w:tcPr>
          <w:p>
            <w:pPr>
              <w:pStyle w:val="TableContents"/>
              <w:spacing w:before="0" w:after="283"/>
              <w:rPr/>
            </w:pPr>
            <w:r>
              <w:rPr/>
              <w:t>☐</w:t>
            </w:r>
          </w:p>
        </w:tc>
        <w:tc>
          <w:tcPr>
            <w:tcW w:w="8090" w:type="dxa"/>
            <w:tcBorders/>
            <w:shd w:fill="auto" w:val="clear"/>
            <w:vAlign w:val="center"/>
          </w:tcPr>
          <w:p>
            <w:pPr>
              <w:pStyle w:val="TableContents"/>
              <w:spacing w:before="0" w:after="0"/>
              <w:rPr>
                <w:b/>
              </w:rPr>
            </w:pPr>
            <w:r>
              <w:rPr>
                <w:b/>
              </w:rPr>
              <w:t>Confidential, for Use of the Commission Only (as permitted by Rule 14a</w:t>
              <w:noBreakHyphen/>
              <w:t>6(e)(2))</w:t>
            </w:r>
          </w:p>
        </w:tc>
      </w:tr>
      <w:tr>
        <w:trPr/>
        <w:tc>
          <w:tcPr>
            <w:tcW w:w="230" w:type="dxa"/>
            <w:tcBorders/>
            <w:shd w:fill="auto" w:val="clear"/>
            <w:vAlign w:val="center"/>
          </w:tcPr>
          <w:p>
            <w:pPr>
              <w:pStyle w:val="TableContents"/>
              <w:spacing w:before="0" w:after="283"/>
              <w:rPr/>
            </w:pPr>
            <w:r>
              <w:rPr/>
              <w:t>☒</w:t>
            </w:r>
          </w:p>
        </w:tc>
        <w:tc>
          <w:tcPr>
            <w:tcW w:w="8090" w:type="dxa"/>
            <w:tcBorders/>
            <w:shd w:fill="auto" w:val="clear"/>
            <w:vAlign w:val="center"/>
          </w:tcPr>
          <w:p>
            <w:pPr>
              <w:pStyle w:val="TableContents"/>
              <w:spacing w:before="0" w:after="0"/>
              <w:rPr/>
            </w:pPr>
            <w:r>
              <w:rPr/>
              <w:t>Definitive Proxy Statement</w:t>
            </w:r>
          </w:p>
        </w:tc>
      </w:tr>
      <w:tr>
        <w:trPr/>
        <w:tc>
          <w:tcPr>
            <w:tcW w:w="230" w:type="dxa"/>
            <w:tcBorders/>
            <w:shd w:fill="auto" w:val="clear"/>
            <w:vAlign w:val="center"/>
          </w:tcPr>
          <w:p>
            <w:pPr>
              <w:pStyle w:val="TableContents"/>
              <w:spacing w:before="0" w:after="283"/>
              <w:rPr/>
            </w:pPr>
            <w:r>
              <w:rPr/>
              <w:t>☐</w:t>
            </w:r>
          </w:p>
        </w:tc>
        <w:tc>
          <w:tcPr>
            <w:tcW w:w="8090" w:type="dxa"/>
            <w:tcBorders/>
            <w:shd w:fill="auto" w:val="clear"/>
            <w:vAlign w:val="center"/>
          </w:tcPr>
          <w:p>
            <w:pPr>
              <w:pStyle w:val="TableContents"/>
              <w:spacing w:before="0" w:after="0"/>
              <w:rPr/>
            </w:pPr>
            <w:r>
              <w:rPr/>
              <w:t>Definitive Additional Materials</w:t>
            </w:r>
          </w:p>
        </w:tc>
      </w:tr>
      <w:tr>
        <w:trPr/>
        <w:tc>
          <w:tcPr>
            <w:tcW w:w="230" w:type="dxa"/>
            <w:tcBorders/>
            <w:shd w:fill="auto" w:val="clear"/>
            <w:vAlign w:val="center"/>
          </w:tcPr>
          <w:p>
            <w:pPr>
              <w:pStyle w:val="TableContents"/>
              <w:spacing w:before="0" w:after="283"/>
              <w:rPr/>
            </w:pPr>
            <w:r>
              <w:rPr/>
              <w:t>☐</w:t>
            </w:r>
          </w:p>
        </w:tc>
        <w:tc>
          <w:tcPr>
            <w:tcW w:w="8090" w:type="dxa"/>
            <w:tcBorders/>
            <w:shd w:fill="auto" w:val="clear"/>
            <w:vAlign w:val="center"/>
          </w:tcPr>
          <w:p>
            <w:pPr>
              <w:pStyle w:val="TableContents"/>
              <w:spacing w:before="0" w:after="0"/>
              <w:rPr/>
            </w:pPr>
            <w:r>
              <w:rPr/>
              <w:t>Soliciting Material under Sec.240.14a</w:t>
              <w:noBreakHyphen/>
              <w:t>12</w:t>
            </w:r>
          </w:p>
        </w:tc>
      </w:tr>
    </w:tbl>
    <w:p>
      <w:pPr>
        <w:pStyle w:val="TextBody"/>
        <w:spacing w:before="0" w:after="0"/>
        <w:rPr/>
      </w:pPr>
      <w:r>
        <w:rPr/>
      </w:r>
    </w:p>
    <w:p>
      <w:pPr>
        <w:pStyle w:val="TextBody"/>
        <w:spacing w:before="0" w:after="0"/>
        <w:jc w:val="center"/>
        <w:rPr>
          <w:b/>
          <w:sz w:val="48"/>
        </w:rPr>
      </w:pPr>
      <w:r>
        <w:rPr>
          <w:b/>
          <w:sz w:val="48"/>
        </w:rPr>
        <w:t>Ardelyx, Inc.</w:t>
      </w:r>
    </w:p>
    <w:p>
      <w:pPr>
        <w:pStyle w:val="TextBody"/>
        <w:spacing w:before="0" w:after="0"/>
        <w:jc w:val="center"/>
        <w:rPr>
          <w:b/>
        </w:rPr>
      </w:pPr>
      <w:r>
        <w:rPr>
          <w:b/>
        </w:rPr>
        <w:t>(Name of Registrant as Specified In Its Charter)</w:t>
      </w:r>
    </w:p>
    <w:p>
      <w:pPr>
        <w:pStyle w:val="TextBody"/>
        <w:spacing w:before="0" w:after="0"/>
        <w:rPr/>
      </w:pPr>
      <w:r>
        <w:rPr/>
      </w:r>
    </w:p>
    <w:p>
      <w:pPr>
        <w:pStyle w:val="TextBody"/>
        <w:spacing w:before="0" w:after="0"/>
        <w:jc w:val="center"/>
        <w:rPr>
          <w:b/>
        </w:rPr>
      </w:pPr>
      <w:r>
        <w:rPr>
          <w:b/>
        </w:rPr>
        <w:t>(Name of Person(s) Filing Proxy Statement, if Other Than The Registrant)</w:t>
      </w:r>
    </w:p>
    <w:p>
      <w:pPr>
        <w:pStyle w:val="TextBody"/>
        <w:spacing w:before="0" w:after="0"/>
        <w:rPr/>
      </w:pPr>
      <w:r>
        <w:rPr/>
      </w:r>
    </w:p>
    <w:p>
      <w:pPr>
        <w:pStyle w:val="Normal"/>
        <w:spacing w:before="0" w:after="0"/>
        <w:rPr>
          <w:sz w:val="4"/>
          <w:szCs w:val="4"/>
        </w:rPr>
      </w:pPr>
      <w:r>
        <w:rPr>
          <w:sz w:val="4"/>
          <w:szCs w:val="4"/>
        </w:rPr>
      </w:r>
      <w:bookmarkStart w:id="6" w:name="zc5890eb8bc354c2c9118ada57477a59a"/>
      <w:bookmarkStart w:id="7" w:name="zc5890eb8bc354c2c9118ada57477a59a"/>
      <w:bookmarkEnd w:id="7"/>
    </w:p>
    <w:tbl>
      <w:tblPr>
        <w:tblW w:w="10000" w:type="dxa"/>
        <w:jc w:val="left"/>
        <w:tblInd w:w="0" w:type="dxa"/>
        <w:tblCellMar>
          <w:top w:w="0" w:type="dxa"/>
          <w:left w:w="0" w:type="dxa"/>
          <w:bottom w:w="0" w:type="dxa"/>
          <w:right w:w="0" w:type="dxa"/>
        </w:tblCellMar>
      </w:tblPr>
      <w:tblGrid>
        <w:gridCol w:w="290"/>
        <w:gridCol w:w="9710"/>
      </w:tblGrid>
      <w:tr>
        <w:trPr/>
        <w:tc>
          <w:tcPr>
            <w:tcW w:w="10000" w:type="dxa"/>
            <w:gridSpan w:val="2"/>
            <w:tcBorders/>
            <w:shd w:fill="auto" w:val="clear"/>
            <w:vAlign w:val="center"/>
          </w:tcPr>
          <w:p>
            <w:pPr>
              <w:pStyle w:val="TableContents"/>
              <w:spacing w:before="0" w:after="0"/>
              <w:rPr/>
            </w:pPr>
            <w:r>
              <w:rPr/>
              <w:t>Payment of Filing Fee (Check the appropriate box):</w:t>
            </w:r>
          </w:p>
        </w:tc>
      </w:tr>
      <w:tr>
        <w:trPr/>
        <w:tc>
          <w:tcPr>
            <w:tcW w:w="290" w:type="dxa"/>
            <w:tcBorders/>
            <w:shd w:fill="auto" w:val="clear"/>
            <w:vAlign w:val="center"/>
          </w:tcPr>
          <w:p>
            <w:pPr>
              <w:pStyle w:val="TableContents"/>
              <w:spacing w:before="0" w:after="283"/>
              <w:rPr/>
            </w:pPr>
            <w:r>
              <w:rPr/>
              <w:t> </w:t>
            </w:r>
          </w:p>
        </w:tc>
        <w:tc>
          <w:tcPr>
            <w:tcW w:w="9710" w:type="dxa"/>
            <w:tcBorders/>
            <w:shd w:fill="auto" w:val="clear"/>
            <w:vAlign w:val="center"/>
          </w:tcPr>
          <w:p>
            <w:pPr>
              <w:pStyle w:val="TableContents"/>
              <w:spacing w:before="0" w:after="283"/>
              <w:rPr/>
            </w:pPr>
            <w:r>
              <w:rPr/>
              <w:t> </w:t>
            </w:r>
          </w:p>
        </w:tc>
      </w:tr>
      <w:tr>
        <w:trPr/>
        <w:tc>
          <w:tcPr>
            <w:tcW w:w="290" w:type="dxa"/>
            <w:tcBorders/>
            <w:shd w:fill="auto" w:val="clear"/>
            <w:vAlign w:val="center"/>
          </w:tcPr>
          <w:p>
            <w:pPr>
              <w:pStyle w:val="TableContents"/>
              <w:spacing w:before="0" w:after="283"/>
              <w:rPr/>
            </w:pPr>
            <w:r>
              <w:rPr/>
              <w:t xml:space="preserve">☒ </w:t>
            </w:r>
          </w:p>
        </w:tc>
        <w:tc>
          <w:tcPr>
            <w:tcW w:w="9710" w:type="dxa"/>
            <w:tcBorders/>
            <w:shd w:fill="auto" w:val="clear"/>
            <w:vAlign w:val="center"/>
          </w:tcPr>
          <w:p>
            <w:pPr>
              <w:pStyle w:val="TableContents"/>
              <w:spacing w:before="0" w:after="0"/>
              <w:rPr/>
            </w:pPr>
            <w:r>
              <w:rPr/>
              <w:t>No fee required.</w:t>
            </w:r>
          </w:p>
        </w:tc>
      </w:tr>
      <w:tr>
        <w:trPr/>
        <w:tc>
          <w:tcPr>
            <w:tcW w:w="290" w:type="dxa"/>
            <w:tcBorders/>
            <w:shd w:fill="auto" w:val="clear"/>
            <w:vAlign w:val="center"/>
          </w:tcPr>
          <w:p>
            <w:pPr>
              <w:pStyle w:val="TableContents"/>
              <w:spacing w:before="0" w:after="283"/>
              <w:rPr/>
            </w:pPr>
            <w:r>
              <w:rPr/>
              <w:t> </w:t>
            </w:r>
          </w:p>
        </w:tc>
        <w:tc>
          <w:tcPr>
            <w:tcW w:w="9710" w:type="dxa"/>
            <w:tcBorders/>
            <w:shd w:fill="auto" w:val="clear"/>
            <w:vAlign w:val="center"/>
          </w:tcPr>
          <w:p>
            <w:pPr>
              <w:pStyle w:val="TableContents"/>
              <w:spacing w:before="0" w:after="283"/>
              <w:rPr/>
            </w:pPr>
            <w:r>
              <w:rPr/>
              <w:t> </w:t>
            </w:r>
          </w:p>
        </w:tc>
      </w:tr>
      <w:tr>
        <w:trPr/>
        <w:tc>
          <w:tcPr>
            <w:tcW w:w="290" w:type="dxa"/>
            <w:tcBorders/>
            <w:shd w:fill="auto" w:val="clear"/>
            <w:vAlign w:val="center"/>
          </w:tcPr>
          <w:p>
            <w:pPr>
              <w:pStyle w:val="TableContents"/>
              <w:spacing w:before="0" w:after="283"/>
              <w:rPr/>
            </w:pPr>
            <w:r>
              <w:rPr/>
              <w:t xml:space="preserve">☐ </w:t>
            </w:r>
          </w:p>
        </w:tc>
        <w:tc>
          <w:tcPr>
            <w:tcW w:w="9710" w:type="dxa"/>
            <w:tcBorders/>
            <w:shd w:fill="auto" w:val="clear"/>
            <w:vAlign w:val="center"/>
          </w:tcPr>
          <w:p>
            <w:pPr>
              <w:pStyle w:val="TableContents"/>
              <w:spacing w:before="0" w:after="0"/>
              <w:rPr/>
            </w:pPr>
            <w:r>
              <w:rPr/>
              <w:t>Fee paid previously with preliminary materials.</w:t>
            </w:r>
          </w:p>
        </w:tc>
      </w:tr>
      <w:tr>
        <w:trPr/>
        <w:tc>
          <w:tcPr>
            <w:tcW w:w="290" w:type="dxa"/>
            <w:tcBorders/>
            <w:shd w:fill="auto" w:val="clear"/>
            <w:vAlign w:val="center"/>
          </w:tcPr>
          <w:p>
            <w:pPr>
              <w:pStyle w:val="TableContents"/>
              <w:spacing w:before="0" w:after="283"/>
              <w:rPr/>
            </w:pPr>
            <w:r>
              <w:rPr/>
              <w:t> </w:t>
            </w:r>
          </w:p>
        </w:tc>
        <w:tc>
          <w:tcPr>
            <w:tcW w:w="9710" w:type="dxa"/>
            <w:tcBorders/>
            <w:shd w:fill="auto" w:val="clear"/>
            <w:vAlign w:val="center"/>
          </w:tcPr>
          <w:p>
            <w:pPr>
              <w:pStyle w:val="TableContents"/>
              <w:spacing w:before="0" w:after="283"/>
              <w:rPr/>
            </w:pPr>
            <w:r>
              <w:rPr/>
              <w:t> </w:t>
            </w:r>
          </w:p>
        </w:tc>
      </w:tr>
      <w:tr>
        <w:trPr/>
        <w:tc>
          <w:tcPr>
            <w:tcW w:w="290" w:type="dxa"/>
            <w:tcBorders/>
            <w:shd w:fill="auto" w:val="clear"/>
            <w:vAlign w:val="center"/>
          </w:tcPr>
          <w:p>
            <w:pPr>
              <w:pStyle w:val="TableContents"/>
              <w:spacing w:before="0" w:after="283"/>
              <w:rPr/>
            </w:pPr>
            <w:r>
              <w:rPr/>
              <w:t xml:space="preserve">☐ </w:t>
            </w:r>
          </w:p>
        </w:tc>
        <w:tc>
          <w:tcPr>
            <w:tcW w:w="9710" w:type="dxa"/>
            <w:tcBorders/>
            <w:shd w:fill="auto" w:val="clear"/>
            <w:vAlign w:val="center"/>
          </w:tcPr>
          <w:p>
            <w:pPr>
              <w:pStyle w:val="TableContents"/>
              <w:spacing w:before="0" w:after="0"/>
              <w:rPr/>
            </w:pPr>
            <w:r>
              <w:rPr/>
              <w:t>Fee computed on table in exhibit required by Item 25(b) per Exchange Act Rules 14a-6(i)(1) and 0-11.</w:t>
            </w:r>
          </w:p>
        </w:tc>
      </w:tr>
    </w:tbl>
    <w:p>
      <w:pPr>
        <w:pStyle w:val="HorizontalLine"/>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drawing>
          <wp:inline distT="0" distB="0" distL="0" distR="0">
            <wp:extent cx="67627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6275" cy="676275"/>
                    </a:xfrm>
                    <a:prstGeom prst="rect">
                      <a:avLst/>
                    </a:prstGeom>
                  </pic:spPr>
                </pic:pic>
              </a:graphicData>
            </a:graphic>
          </wp:inline>
        </w:drawing>
      </w:r>
    </w:p>
    <w:p>
      <w:pPr>
        <w:pStyle w:val="TextBody"/>
        <w:spacing w:before="0" w:after="0"/>
        <w:rPr/>
      </w:pPr>
      <w:r>
        <w:rPr/>
      </w:r>
    </w:p>
    <w:p>
      <w:pPr>
        <w:pStyle w:val="TextBody"/>
        <w:spacing w:before="0" w:after="0"/>
        <w:jc w:val="center"/>
        <w:rPr>
          <w:b/>
        </w:rPr>
      </w:pPr>
      <w:r>
        <w:rPr>
          <w:b/>
        </w:rPr>
        <w:t>ARDELYX, INC.</w:t>
      </w:r>
    </w:p>
    <w:p>
      <w:pPr>
        <w:pStyle w:val="TextBody"/>
        <w:spacing w:before="0" w:after="0"/>
        <w:rPr/>
      </w:pPr>
      <w:r>
        <w:rPr/>
      </w:r>
    </w:p>
    <w:p>
      <w:pPr>
        <w:pStyle w:val="TextBody"/>
        <w:spacing w:before="0" w:after="0"/>
        <w:jc w:val="center"/>
        <w:rPr>
          <w:b/>
        </w:rPr>
      </w:pPr>
      <w:r>
        <w:rPr>
          <w:b/>
        </w:rPr>
        <w:t>400 Fifth Avenue, Suite 210, Waltham, MA 02451</w:t>
      </w:r>
    </w:p>
    <w:p>
      <w:pPr>
        <w:pStyle w:val="TextBody"/>
        <w:spacing w:before="0" w:after="0"/>
        <w:rPr/>
      </w:pPr>
      <w:r>
        <w:rPr/>
      </w:r>
    </w:p>
    <w:p>
      <w:pPr>
        <w:pStyle w:val="TextBody"/>
        <w:spacing w:before="0" w:after="0"/>
        <w:jc w:val="center"/>
        <w:rPr>
          <w:b/>
        </w:rPr>
      </w:pPr>
      <w:r>
        <w:rPr>
          <w:b/>
        </w:rPr>
        <w:t>AMENDMENT NO. 1 TO PROXY STATEMENT</w:t>
      </w:r>
    </w:p>
    <w:p>
      <w:pPr>
        <w:pStyle w:val="TextBody"/>
        <w:spacing w:before="0" w:after="0"/>
        <w:jc w:val="center"/>
        <w:rPr>
          <w:b/>
        </w:rPr>
      </w:pPr>
      <w:r>
        <w:rPr>
          <w:b/>
        </w:rPr>
        <w:t>FOR ANNUAL MEETING OF STOCKHOLDERS</w:t>
      </w:r>
    </w:p>
    <w:p>
      <w:pPr>
        <w:pStyle w:val="TextBody"/>
        <w:spacing w:before="0" w:after="0"/>
        <w:jc w:val="center"/>
        <w:rPr>
          <w:b/>
        </w:rPr>
      </w:pPr>
      <w:r>
        <w:rPr>
          <w:b/>
        </w:rPr>
        <w:t>TO BE HELD ON JUNE 15, 2022</w:t>
      </w:r>
    </w:p>
    <w:p>
      <w:pPr>
        <w:pStyle w:val="TextBody"/>
        <w:spacing w:before="0" w:after="0"/>
        <w:rPr/>
      </w:pPr>
      <w:r>
        <w:rPr/>
      </w:r>
    </w:p>
    <w:p>
      <w:pPr>
        <w:pStyle w:val="TextBody"/>
        <w:spacing w:before="0" w:after="0"/>
        <w:jc w:val="center"/>
        <w:rPr>
          <w:b/>
        </w:rPr>
      </w:pPr>
      <w:r>
        <w:rPr>
          <w:b/>
        </w:rPr>
        <w:t>EXPLANATORY NOTE</w:t>
      </w:r>
    </w:p>
    <w:p>
      <w:pPr>
        <w:pStyle w:val="TextBody"/>
        <w:spacing w:before="0" w:after="0"/>
        <w:rPr/>
      </w:pPr>
      <w:r>
        <w:rPr/>
      </w:r>
    </w:p>
    <w:p>
      <w:pPr>
        <w:pStyle w:val="TextBody"/>
        <w:spacing w:before="0" w:after="0"/>
        <w:ind w:left="0" w:right="0" w:firstLine="720"/>
        <w:rPr/>
      </w:pPr>
      <w:r>
        <w:rPr/>
        <w:t>This Amendment No. 1 (the “Amendment”) to the Company’s Definitive Proxy Statement filed with the Securities and Exchange Commission (the “SEC”) on April 29, 2022 (the “Proxy Statement”) is being filed to amend and correct the numbered order in which the proposals appear throughout the Proxy Statement. The numbered order of the proposals in the Proxy Statement as originally filed does not match the form of proxy card that is being mailed to the Company’s stockholders, and this Amendment corrects that error. Capitalized terms not defined in this Amendment shall have the meanings ascribed in the Proxy Statement.</w:t>
      </w:r>
    </w:p>
    <w:p>
      <w:pPr>
        <w:pStyle w:val="TextBody"/>
        <w:spacing w:before="0" w:after="0"/>
        <w:rPr/>
      </w:pPr>
      <w:r>
        <w:rPr/>
      </w:r>
    </w:p>
    <w:p>
      <w:pPr>
        <w:pStyle w:val="TextBody"/>
        <w:spacing w:before="0" w:after="0"/>
        <w:ind w:left="0" w:right="0" w:firstLine="720"/>
        <w:rPr/>
      </w:pPr>
      <w:r>
        <w:rPr/>
        <w:t>All references in the Proxy Statement to Proposal No. 3, to approve, on a non-binding, advisory basis, the compensation of our named executive officers as disclosed in this proxy statement pursuant to the compensation disclosure rules of the Securities and Exchange Commission, should be updated to Proposal No. 4. All references in the Proxy Statement to Proposal No. 4, to ratify the selection, by the Audit Committee of our Board of Directors, of Ernst &amp; Young LLP as the independent registered public accounting firm of the Company for the fiscal year ending December 31, 2022, should be updated to Proposal No. 3.</w:t>
      </w:r>
    </w:p>
    <w:p>
      <w:pPr>
        <w:pStyle w:val="TextBody"/>
        <w:spacing w:before="0" w:after="0"/>
        <w:rPr/>
      </w:pPr>
      <w:r>
        <w:rPr/>
      </w:r>
    </w:p>
    <w:p>
      <w:pPr>
        <w:pStyle w:val="TextBody"/>
        <w:spacing w:before="0" w:after="0"/>
        <w:ind w:left="0" w:right="0" w:firstLine="720"/>
        <w:rPr/>
      </w:pPr>
      <w:r>
        <w:rPr/>
        <w:t>No changes have been made to the body of the Proxy Statement itself, and the form of proxy card that is being mailed to the Company’s stockholders is the correct version.</w:t>
      </w:r>
    </w:p>
    <w:p>
      <w:pPr>
        <w:pStyle w:val="TextBody"/>
        <w:spacing w:before="0" w:after="0"/>
        <w:rPr/>
      </w:pPr>
      <w:r>
        <w:rPr/>
      </w:r>
    </w:p>
    <w:p>
      <w:pPr>
        <w:pStyle w:val="TextBody"/>
        <w:spacing w:before="0" w:after="0"/>
        <w:jc w:val="center"/>
        <w:rPr>
          <w:b/>
        </w:rPr>
      </w:pPr>
      <w:r>
        <w:rPr>
          <w:b/>
        </w:rPr>
        <w:t>THIS AMENDMENT SHOULD BE READ IN CONJUNCTION WITH THE PROXY STATEMENT.</w:t>
      </w:r>
    </w:p>
    <w:p>
      <w:pPr>
        <w:pStyle w:val="TextBody"/>
        <w:spacing w:before="0" w:after="0"/>
        <w:jc w:val="center"/>
        <w:rPr>
          <w:b/>
        </w:rPr>
      </w:pPr>
      <w:r>
        <w:rPr>
          <w:b/>
        </w:rPr>
        <w:t>EXCEPT AS SPECIFICALLY REVISED BY THE INFORMATION CONTAINED HEREIN, THIS AMENDMENT DOES NOT REVISE OR UPDATE ANY OF THE OTHER INFORMATION SET FORTH IN THE PROXY STATEMENT.</w:t>
      </w:r>
    </w:p>
    <w:p>
      <w:pPr>
        <w:pStyle w:val="TextBody"/>
        <w:spacing w:before="0" w:after="0"/>
        <w:jc w:val="center"/>
        <w:rPr>
          <w:b/>
        </w:rPr>
      </w:pPr>
      <w:r>
        <w:rPr>
          <w:b/>
        </w:rPr>
      </w:r>
    </w:p>
    <w:p>
      <w:pPr>
        <w:pStyle w:val="HorizontalLine"/>
        <w:pBdr>
          <w:bottom w:val="single" w:sz="20" w:space="0" w:color="808080"/>
        </w:pBdr>
        <w:spacing w:before="0" w:after="283"/>
        <w:jc w:val="center"/>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432</Words>
  <CharactersWithSpaces>2672</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