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488950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445770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197"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8"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0"/>
          <w:szCs w:val="20"/>
          <w:color w:val="231F20"/>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ectPr>
          <w:pgSz w:w="11900" w:h="16838" w:orient="portrait"/>
          <w:cols w:equalWidth="0" w:num="1">
            <w:col w:w="11220"/>
          </w:cols>
          <w:pgMar w:left="320" w:top="337" w:right="359" w:bottom="1440" w:gutter="0" w:footer="0" w:header="0"/>
        </w:sectPr>
      </w:pPr>
    </w:p>
    <w:p>
      <w:pPr>
        <w:spacing w:after="0" w:line="14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Commission file number: 001-36485</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335" w:lineRule="exact"/>
        <w:rPr>
          <w:sz w:val="24"/>
          <w:szCs w:val="24"/>
          <w:color w:val="auto"/>
        </w:rPr>
      </w:pPr>
    </w:p>
    <w:p>
      <w:pPr>
        <w:sectPr>
          <w:pgSz w:w="11900" w:h="16838" w:orient="portrait"/>
          <w:cols w:equalWidth="0" w:num="2">
            <w:col w:w="6880" w:space="20"/>
            <w:col w:w="4320"/>
          </w:cols>
          <w:pgMar w:left="320" w:top="337" w:right="359" w:bottom="1440" w:gutter="0" w:footer="0" w:header="0"/>
          <w:type w:val="continuous"/>
        </w:sect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19685</wp:posOffset>
            </wp:positionV>
            <wp:extent cx="514350"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ARDELYX,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231F20"/>
        </w:rPr>
        <w:t>____________________________________________________</w:t>
      </w:r>
    </w:p>
    <w:p>
      <w:pPr>
        <w:spacing w:after="0" w:line="40" w:lineRule="exact"/>
        <w:rPr>
          <w:sz w:val="24"/>
          <w:szCs w:val="24"/>
          <w:color w:val="auto"/>
        </w:rPr>
      </w:pPr>
    </w:p>
    <w:tbl>
      <w:tblPr>
        <w:tblLayout w:type="fixed"/>
        <w:tblInd w:w="1160" w:type="dxa"/>
        <w:tblCellMar>
          <w:top w:w="0" w:type="dxa"/>
          <w:left w:w="0" w:type="dxa"/>
          <w:bottom w:w="0" w:type="dxa"/>
          <w:right w:w="0" w:type="dxa"/>
        </w:tblCellMar>
      </w:tblPr>
      <w:tr>
        <w:trPr>
          <w:trHeight w:val="212"/>
        </w:trPr>
        <w:tc>
          <w:tcPr>
            <w:tcW w:w="4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4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26-1303944</w:t>
            </w:r>
          </w:p>
        </w:tc>
      </w:tr>
      <w:tr>
        <w:trPr>
          <w:trHeight w:val="216"/>
        </w:trPr>
        <w:tc>
          <w:tcPr>
            <w:tcW w:w="4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tc>
        <w:tc>
          <w:tcPr>
            <w:tcW w:w="3040" w:type="dxa"/>
            <w:vAlign w:val="bottom"/>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tc>
      </w:tr>
      <w:tr>
        <w:trPr>
          <w:trHeight w:val="310"/>
        </w:trPr>
        <w:tc>
          <w:tcPr>
            <w:tcW w:w="4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400 Fifth Avenue, Suite 210, Waltham, Massachusetts</w:t>
            </w:r>
          </w:p>
        </w:tc>
        <w:tc>
          <w:tcPr>
            <w:tcW w:w="3040" w:type="dxa"/>
            <w:vAlign w:val="bottom"/>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rPr>
              <w:t>02451</w:t>
            </w:r>
          </w:p>
        </w:tc>
      </w:tr>
      <w:tr>
        <w:trPr>
          <w:trHeight w:val="216"/>
        </w:trPr>
        <w:tc>
          <w:tcPr>
            <w:tcW w:w="4940" w:type="dxa"/>
            <w:vAlign w:val="bottom"/>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40" w:type="dxa"/>
            <w:vAlign w:val="bottom"/>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7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(510) 745-1700</w:t>
      </w:r>
    </w:p>
    <w:p>
      <w:pPr>
        <w:spacing w:after="0" w:line="2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15"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231F20"/>
        </w:rPr>
        <w:t>____________________________________________________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42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00" w:type="dxa"/>
            <w:vAlign w:val="bottom"/>
          </w:tcPr>
          <w:p>
            <w:pPr>
              <w:spacing w:after="0"/>
              <w:rPr>
                <w:sz w:val="18"/>
                <w:szCs w:val="18"/>
                <w:color w:val="auto"/>
              </w:rPr>
            </w:pPr>
          </w:p>
        </w:tc>
      </w:tr>
      <w:tr>
        <w:trPr>
          <w:trHeight w:val="233"/>
        </w:trPr>
        <w:tc>
          <w:tcPr>
            <w:tcW w:w="338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40" w:type="dxa"/>
            <w:vAlign w:val="bottom"/>
            <w:gridSpan w:val="3"/>
          </w:tcPr>
          <w:p>
            <w:pPr>
              <w:jc w:val="center"/>
              <w:ind w:right="84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0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338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Common Stock, par value $0.0001</w:t>
            </w: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ARDX</w:t>
            </w:r>
          </w:p>
        </w:tc>
        <w:tc>
          <w:tcPr>
            <w:tcW w:w="4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The Nasdaq Global Market</w:t>
            </w:r>
          </w:p>
        </w:tc>
      </w:tr>
    </w:tbl>
    <w:p>
      <w:pPr>
        <w:spacing w:after="0" w:line="197" w:lineRule="exact"/>
        <w:rPr>
          <w:sz w:val="24"/>
          <w:szCs w:val="24"/>
          <w:color w:val="auto"/>
        </w:rPr>
      </w:pPr>
    </w:p>
    <w:p>
      <w:pPr>
        <w:ind w:right="200"/>
        <w:spacing w:after="0" w:line="22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86" w:lineRule="exact"/>
        <w:rPr>
          <w:sz w:val="24"/>
          <w:szCs w:val="24"/>
          <w:color w:val="auto"/>
        </w:rPr>
      </w:pPr>
    </w:p>
    <w:p>
      <w:pPr>
        <w:ind w:right="4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ind w:right="4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132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Accelerated filer</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2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Emerging growth company</w:t>
            </w:r>
          </w:p>
        </w:tc>
        <w:tc>
          <w:tcPr>
            <w:tcW w:w="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25" w:lineRule="exact"/>
        <w:rPr>
          <w:sz w:val="24"/>
          <w:szCs w:val="24"/>
          <w:color w:val="auto"/>
        </w:rPr>
      </w:pPr>
    </w:p>
    <w:p>
      <w:pPr>
        <w:ind w:right="540"/>
        <w:spacing w:after="0" w:line="22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9" w:lineRule="exact"/>
        <w:rPr>
          <w:sz w:val="24"/>
          <w:szCs w:val="24"/>
          <w:color w:val="auto"/>
        </w:rPr>
      </w:pPr>
    </w:p>
    <w:p>
      <w:pPr>
        <w:spacing w:after="0" w:line="196"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issued and outstanding shares of the registrant’s Common Stock, $0.0001 par value per share, as of July 28, 2025, was 240,982,828.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151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in this Quarterly Report on Form 10-Q, the terms “Ardelyx,” “Company,” “we,” “us” and “our” refer to Ardelyx, Inc.</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3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7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that could cause actual outcomes or results to differ materially from those expressed or implied by such forward-looking statements.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260"/>
        <w:spacing w:after="0" w:line="464" w:lineRule="auto"/>
        <w:rPr>
          <w:sz w:val="20"/>
          <w:szCs w:val="20"/>
          <w:color w:val="auto"/>
        </w:rPr>
      </w:pPr>
      <w:r>
        <w:rPr>
          <w:rFonts w:ascii="Times New Roman" w:cs="Times New Roman" w:eastAsia="Times New Roman" w:hAnsi="Times New Roman"/>
          <w:sz w:val="17"/>
          <w:szCs w:val="17"/>
          <w:b w:val="1"/>
          <w:bCs w:val="1"/>
          <w:color w:val="auto"/>
        </w:rPr>
        <w:t xml:space="preserve">SUMMARY OF PRINCIPAL RISKS ASSOCIATED WITH OUR BUSINESS </w:t>
      </w:r>
      <w:r>
        <w:rPr>
          <w:rFonts w:ascii="Times New Roman" w:cs="Times New Roman" w:eastAsia="Times New Roman" w:hAnsi="Times New Roman"/>
          <w:sz w:val="17"/>
          <w:szCs w:val="17"/>
          <w:color w:val="auto"/>
        </w:rPr>
        <w:t>The principal risks and uncertainties affecting our business include the following:</w:t>
      </w:r>
    </w:p>
    <w:p>
      <w:pPr>
        <w:spacing w:after="0" w:line="4" w:lineRule="exact"/>
        <w:rPr>
          <w:sz w:val="20"/>
          <w:szCs w:val="20"/>
          <w:color w:val="auto"/>
        </w:rPr>
      </w:pPr>
    </w:p>
    <w:p>
      <w:pPr>
        <w:ind w:left="660" w:right="200" w:hanging="328"/>
        <w:spacing w:after="0" w:line="28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incurred losses in each year since our inception, and we expect to continue to incur operating losses in the future as we incur additional expenses related to our ongoing operations and our pursuit of future business opportunities.</w:t>
      </w:r>
    </w:p>
    <w:p>
      <w:pPr>
        <w:spacing w:after="0" w:line="107" w:lineRule="exact"/>
        <w:rPr>
          <w:rFonts w:ascii="Times New Roman" w:cs="Times New Roman" w:eastAsia="Times New Roman" w:hAnsi="Times New Roman"/>
          <w:sz w:val="18"/>
          <w:szCs w:val="18"/>
          <w:b w:val="1"/>
          <w:bCs w:val="1"/>
          <w:i w:val="1"/>
          <w:iCs w:val="1"/>
          <w:color w:val="auto"/>
        </w:rPr>
      </w:pPr>
    </w:p>
    <w:p>
      <w:pPr>
        <w:ind w:left="660" w:right="20" w:hanging="32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will require additional financing for the foreseeable future as we invest in the growth of IBSRELA and XPHOZAH in the U.S. and build a pipeline. The inability to access necessary capital when needed on acceptable terms, or at all, could force us to reduce our efforts to commercialize IBSRELA and/or XPHOZAH, or to delay or limit our pursuit of other future business opportunities.</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limited revenue from product sales and may never be profitable for a full fiscal year.</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we will achieve sufficient market acceptance for XPHOZAH, or that we will be able to secure and maintain adequate coverage and reimbursement for XPHOZAH, or generate sufficient revenue from product sales of XPHOZAH.</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spacing w:after="0" w:line="12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IBSRELA and/or XPHOZAH may cause undesirable side effects or have other properties that could limit the commercial success of the products.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12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depend on CMOs, many of whom are our single source manufacturers.</w:t>
      </w:r>
    </w:p>
    <w:p>
      <w:pPr>
        <w:spacing w:after="0" w:line="171"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Quarterly Report on Form 10-Q, including our financial statements and the related notes, as well as in other documents that we file with the U.S.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70"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ARDELYX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color w:val="auto"/>
        </w:rPr>
        <w:t xml:space="preserve"> are trademarks of Ardelyx. All other trademarks, trade names and service marks appearing in this Quarterly Report on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768"/>
        </w:trPr>
        <w:tc>
          <w:tcPr>
            <w:tcW w:w="1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300" w:type="dxa"/>
            <w:vAlign w:val="bottom"/>
            <w:gridSpan w:val="9"/>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8"/>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20" w:type="dxa"/>
            <w:vAlign w:val="bottom"/>
            <w:gridSpan w:val="13"/>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FORM 10-Q TABLE OF CONTENTS</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54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20" w:type="dxa"/>
            <w:vAlign w:val="bottom"/>
            <w:gridSpan w:val="13"/>
          </w:tcPr>
          <w:p>
            <w:pPr>
              <w:jc w:val="center"/>
              <w:ind w:right="2160"/>
              <w:spacing w:after="0" w:line="196"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11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40" w:type="dxa"/>
            <w:vAlign w:val="bottom"/>
          </w:tcPr>
          <w:p>
            <w:pPr>
              <w:spacing w:after="0"/>
              <w:rPr>
                <w:sz w:val="24"/>
                <w:szCs w:val="24"/>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rPr>
              <w:t>2</w:t>
            </w:r>
          </w:p>
        </w:tc>
        <w:tc>
          <w:tcPr>
            <w:tcW w:w="360" w:type="dxa"/>
            <w:vAlign w:val="bottom"/>
          </w:tcPr>
          <w:p>
            <w:pPr>
              <w:spacing w:after="0"/>
              <w:rPr>
                <w:sz w:val="24"/>
                <w:szCs w:val="24"/>
                <w:color w:val="auto"/>
              </w:rPr>
            </w:pPr>
          </w:p>
        </w:tc>
      </w:tr>
      <w:tr>
        <w:trPr>
          <w:trHeight w:val="236"/>
        </w:trPr>
        <w:tc>
          <w:tcPr>
            <w:tcW w:w="114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Condensed Balance Sheets</w:t>
            </w:r>
          </w:p>
        </w:tc>
        <w:tc>
          <w:tcPr>
            <w:tcW w:w="160" w:type="dxa"/>
            <w:vAlign w:val="bottom"/>
            <w:tcBorders>
              <w:top w:val="single" w:sz="8" w:color="0000FF"/>
            </w:tcBorders>
            <w:gridSpan w:val="2"/>
          </w:tcPr>
          <w:p>
            <w:pPr>
              <w:spacing w:after="0"/>
              <w:rPr>
                <w:sz w:val="20"/>
                <w:szCs w:val="20"/>
                <w:color w:val="auto"/>
              </w:rPr>
            </w:pPr>
          </w:p>
        </w:tc>
        <w:tc>
          <w:tcPr>
            <w:tcW w:w="4920" w:type="dxa"/>
            <w:vAlign w:val="bottom"/>
            <w:gridSpan w:val="10"/>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36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rPr>
              <w:t>3</w:t>
            </w:r>
          </w:p>
        </w:tc>
        <w:tc>
          <w:tcPr>
            <w:tcW w:w="36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5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Statements of Changes in Stockholders’ Equity</w:t>
            </w:r>
          </w:p>
        </w:tc>
        <w:tc>
          <w:tcPr>
            <w:tcW w:w="2500" w:type="dxa"/>
            <w:vAlign w:val="bottom"/>
            <w:gridSpan w:val="5"/>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36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Statements of Cash Flows</w:t>
            </w:r>
          </w:p>
        </w:tc>
        <w:tc>
          <w:tcPr>
            <w:tcW w:w="1520" w:type="dxa"/>
            <w:vAlign w:val="bottom"/>
            <w:tcBorders>
              <w:top w:val="single" w:sz="8" w:color="0000FF"/>
            </w:tcBorders>
            <w:gridSpan w:val="3"/>
          </w:tcPr>
          <w:p>
            <w:pPr>
              <w:spacing w:after="0"/>
              <w:rPr>
                <w:sz w:val="20"/>
                <w:szCs w:val="20"/>
                <w:color w:val="auto"/>
              </w:rPr>
            </w:pPr>
          </w:p>
        </w:tc>
        <w:tc>
          <w:tcPr>
            <w:tcW w:w="2780" w:type="dxa"/>
            <w:vAlign w:val="bottom"/>
            <w:gridSpan w:val="6"/>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36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w:t>
            </w:r>
          </w:p>
        </w:tc>
        <w:tc>
          <w:tcPr>
            <w:tcW w:w="4020" w:type="dxa"/>
            <w:vAlign w:val="bottom"/>
            <w:gridSpan w:val="8"/>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36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40" w:type="dxa"/>
            <w:vAlign w:val="bottom"/>
          </w:tcPr>
          <w:p>
            <w:pPr>
              <w:spacing w:after="0"/>
              <w:rPr>
                <w:sz w:val="20"/>
                <w:szCs w:val="20"/>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880" w:type="dxa"/>
            <w:vAlign w:val="bottom"/>
            <w:gridSpan w:val="2"/>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18</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40" w:type="dxa"/>
            <w:vAlign w:val="bottom"/>
          </w:tcPr>
          <w:p>
            <w:pPr>
              <w:spacing w:after="0"/>
              <w:rPr>
                <w:sz w:val="20"/>
                <w:szCs w:val="20"/>
                <w:color w:val="auto"/>
              </w:rPr>
            </w:pPr>
          </w:p>
        </w:tc>
        <w:tc>
          <w:tcPr>
            <w:tcW w:w="64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80" w:type="dxa"/>
            <w:vAlign w:val="bottom"/>
            <w:gridSpan w:val="2"/>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40" w:type="dxa"/>
            <w:vAlign w:val="bottom"/>
          </w:tcPr>
          <w:p>
            <w:pPr>
              <w:spacing w:after="0"/>
              <w:rPr>
                <w:sz w:val="20"/>
                <w:szCs w:val="20"/>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25</w:t>
            </w:r>
          </w:p>
        </w:tc>
      </w:tr>
      <w:tr>
        <w:trPr>
          <w:trHeight w:val="493"/>
        </w:trPr>
        <w:tc>
          <w:tcPr>
            <w:tcW w:w="11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80" w:type="dxa"/>
            <w:vAlign w:val="bottom"/>
            <w:gridSpan w:val="12"/>
          </w:tcPr>
          <w:p>
            <w:pPr>
              <w:jc w:val="center"/>
              <w:ind w:right="228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38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r>
      <w:tr>
        <w:trPr>
          <w:trHeight w:val="493"/>
        </w:trPr>
        <w:tc>
          <w:tcPr>
            <w:tcW w:w="114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140" w:type="dxa"/>
            <w:vAlign w:val="bottom"/>
          </w:tcPr>
          <w:p>
            <w:pPr>
              <w:spacing w:after="0"/>
              <w:rPr>
                <w:sz w:val="24"/>
                <w:szCs w:val="24"/>
                <w:color w:val="auto"/>
              </w:rPr>
            </w:pPr>
          </w:p>
        </w:tc>
        <w:tc>
          <w:tcPr>
            <w:tcW w:w="2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20" w:type="dxa"/>
            <w:vAlign w:val="bottom"/>
            <w:tcBorders>
              <w:top w:val="single" w:sz="8" w:color="0000FF"/>
            </w:tcBorders>
            <w:gridSpan w:val="7"/>
          </w:tcPr>
          <w:p>
            <w:pPr>
              <w:spacing w:after="0"/>
              <w:rPr>
                <w:sz w:val="24"/>
                <w:szCs w:val="24"/>
                <w:color w:val="auto"/>
              </w:rPr>
            </w:pPr>
          </w:p>
        </w:tc>
        <w:tc>
          <w:tcPr>
            <w:tcW w:w="2300" w:type="dxa"/>
            <w:vAlign w:val="bottom"/>
            <w:gridSpan w:val="4"/>
          </w:tcPr>
          <w:p>
            <w:pPr>
              <w:spacing w:after="0"/>
              <w:rPr>
                <w:sz w:val="24"/>
                <w:szCs w:val="24"/>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140" w:type="dxa"/>
            <w:vAlign w:val="bottom"/>
          </w:tcPr>
          <w:p>
            <w:pPr>
              <w:spacing w:after="0"/>
              <w:rPr>
                <w:sz w:val="20"/>
                <w:szCs w:val="20"/>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78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40" w:type="dxa"/>
            <w:vAlign w:val="bottom"/>
          </w:tcPr>
          <w:p>
            <w:pPr>
              <w:spacing w:after="0"/>
              <w:rPr>
                <w:sz w:val="20"/>
                <w:szCs w:val="20"/>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 Securities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780" w:type="dxa"/>
            <w:vAlign w:val="bottom"/>
            <w:gridSpan w:val="10"/>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140" w:type="dxa"/>
            <w:vAlign w:val="bottom"/>
          </w:tcPr>
          <w:p>
            <w:pPr>
              <w:spacing w:after="0"/>
              <w:rPr>
                <w:sz w:val="21"/>
                <w:szCs w:val="21"/>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140" w:type="dxa"/>
            <w:vAlign w:val="bottom"/>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560" w:type="dxa"/>
            <w:vAlign w:val="bottom"/>
            <w:gridSpan w:val="14"/>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37"/>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140" w:type="dxa"/>
            <w:vAlign w:val="bottom"/>
          </w:tcPr>
          <w:p>
            <w:pPr>
              <w:spacing w:after="0"/>
              <w:rPr>
                <w:sz w:val="20"/>
                <w:szCs w:val="20"/>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60</w:t>
            </w:r>
          </w:p>
        </w:tc>
      </w:tr>
      <w:tr>
        <w:trPr>
          <w:trHeight w:val="20"/>
        </w:trPr>
        <w:tc>
          <w:tcPr>
            <w:tcW w:w="11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140" w:type="dxa"/>
            <w:vAlign w:val="bottom"/>
          </w:tcPr>
          <w:p>
            <w:pPr>
              <w:spacing w:after="0"/>
              <w:rPr>
                <w:sz w:val="20"/>
                <w:szCs w:val="20"/>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11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07"/>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6640" w:type="dxa"/>
            <w:vAlign w:val="bottom"/>
            <w:gridSpan w:val="17"/>
          </w:tcPr>
          <w:p>
            <w:pPr>
              <w:spacing w:after="0"/>
              <w:rPr>
                <w:sz w:val="24"/>
                <w:szCs w:val="24"/>
                <w:color w:val="auto"/>
              </w:rPr>
            </w:pP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62</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02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3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Summary of Abbreviated Terms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63</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324" w:right="1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790"/>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78"/>
        </w:trPr>
        <w:tc>
          <w:tcPr>
            <w:tcW w:w="7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56"/>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80" w:type="dxa"/>
            <w:vAlign w:val="bottom"/>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340" w:type="dxa"/>
            <w:vAlign w:val="bottom"/>
            <w:gridSpan w:val="2"/>
          </w:tcPr>
          <w:p>
            <w:pPr>
              <w:jc w:val="center"/>
              <w:ind w:left="227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7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7"/>
        </w:trPr>
        <w:tc>
          <w:tcPr>
            <w:tcW w:w="40" w:type="dxa"/>
            <w:vAlign w:val="bottom"/>
          </w:tcPr>
          <w:p>
            <w:pPr>
              <w:spacing w:after="0"/>
              <w:rPr>
                <w:sz w:val="20"/>
                <w:szCs w:val="20"/>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r>
      <w:tr>
        <w:trPr>
          <w:trHeight w:val="229"/>
        </w:trPr>
        <w:tc>
          <w:tcPr>
            <w:tcW w:w="4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185,168</w:t>
            </w: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57,705</w:t>
            </w:r>
          </w:p>
        </w:tc>
      </w:tr>
      <w:tr>
        <w:trPr>
          <w:trHeight w:val="229"/>
        </w:trPr>
        <w:tc>
          <w:tcPr>
            <w:tcW w:w="4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r>
      <w:tr>
        <w:trPr>
          <w:trHeight w:val="229"/>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r>
      <w:tr>
        <w:trPr>
          <w:trHeight w:val="230"/>
        </w:trPr>
        <w:tc>
          <w:tcPr>
            <w:tcW w:w="40" w:type="dxa"/>
            <w:vAlign w:val="bottom"/>
          </w:tcPr>
          <w:p>
            <w:pPr>
              <w:spacing w:after="0"/>
              <w:rPr>
                <w:sz w:val="19"/>
                <w:szCs w:val="19"/>
                <w:color w:val="auto"/>
              </w:rPr>
            </w:pPr>
          </w:p>
        </w:tc>
        <w:tc>
          <w:tcPr>
            <w:tcW w:w="73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w:t>
            </w:r>
          </w:p>
        </w:tc>
      </w:tr>
      <w:tr>
        <w:trPr>
          <w:trHeight w:val="223"/>
        </w:trPr>
        <w:tc>
          <w:tcPr>
            <w:tcW w:w="40" w:type="dxa"/>
            <w:vAlign w:val="bottom"/>
          </w:tcPr>
          <w:p>
            <w:pPr>
              <w:spacing w:after="0"/>
              <w:rPr>
                <w:sz w:val="19"/>
                <w:szCs w:val="19"/>
                <w:color w:val="auto"/>
              </w:rPr>
            </w:pPr>
          </w:p>
        </w:tc>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356,452</w:t>
            </w:r>
          </w:p>
        </w:tc>
      </w:tr>
      <w:tr>
        <w:trPr>
          <w:trHeight w:val="230"/>
        </w:trPr>
        <w:tc>
          <w:tcPr>
            <w:tcW w:w="4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29"/>
        </w:trPr>
        <w:tc>
          <w:tcPr>
            <w:tcW w:w="40" w:type="dxa"/>
            <w:vAlign w:val="bottom"/>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non-current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w:t>
            </w:r>
          </w:p>
        </w:tc>
      </w:tr>
      <w:tr>
        <w:trPr>
          <w:trHeight w:val="229"/>
        </w:trPr>
        <w:tc>
          <w:tcPr>
            <w:tcW w:w="4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r>
      <w:tr>
        <w:trPr>
          <w:trHeight w:val="223"/>
        </w:trPr>
        <w:tc>
          <w:tcPr>
            <w:tcW w:w="40" w:type="dxa"/>
            <w:vAlign w:val="bottom"/>
          </w:tcPr>
          <w:p>
            <w:pPr>
              <w:spacing w:after="0"/>
              <w:rPr>
                <w:sz w:val="19"/>
                <w:szCs w:val="19"/>
                <w:color w:val="auto"/>
              </w:rPr>
            </w:pPr>
          </w:p>
        </w:tc>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7"/>
        </w:trPr>
        <w:tc>
          <w:tcPr>
            <w:tcW w:w="40" w:type="dxa"/>
            <w:vAlign w:val="bottom"/>
          </w:tcPr>
          <w:p>
            <w:pPr>
              <w:spacing w:after="0"/>
              <w:rPr>
                <w:sz w:val="17"/>
                <w:szCs w:val="17"/>
                <w:color w:val="auto"/>
              </w:rPr>
            </w:pPr>
          </w:p>
        </w:tc>
        <w:tc>
          <w:tcPr>
            <w:tcW w:w="73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4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r>
      <w:tr>
        <w:trPr>
          <w:trHeight w:val="229"/>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30"/>
        </w:trPr>
        <w:tc>
          <w:tcPr>
            <w:tcW w:w="4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w:t>
            </w: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34,642</w:t>
            </w:r>
          </w:p>
        </w:tc>
      </w:tr>
      <w:tr>
        <w:trPr>
          <w:trHeight w:val="223"/>
        </w:trPr>
        <w:tc>
          <w:tcPr>
            <w:tcW w:w="40" w:type="dxa"/>
            <w:vAlign w:val="bottom"/>
          </w:tcPr>
          <w:p>
            <w:pPr>
              <w:spacing w:after="0"/>
              <w:rPr>
                <w:sz w:val="19"/>
                <w:szCs w:val="19"/>
                <w:color w:val="auto"/>
              </w:rPr>
            </w:pPr>
          </w:p>
        </w:tc>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77,830</w:t>
            </w: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40" w:type="dxa"/>
            <w:vAlign w:val="bottom"/>
          </w:tcPr>
          <w:p>
            <w:pPr>
              <w:spacing w:after="0"/>
              <w:rPr>
                <w:sz w:val="19"/>
                <w:szCs w:val="19"/>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150,853</w:t>
            </w:r>
          </w:p>
        </w:tc>
      </w:tr>
      <w:tr>
        <w:trPr>
          <w:trHeight w:val="229"/>
        </w:trPr>
        <w:tc>
          <w:tcPr>
            <w:tcW w:w="40" w:type="dxa"/>
            <w:vAlign w:val="bottom"/>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r>
      <w:tr>
        <w:trPr>
          <w:trHeight w:val="230"/>
        </w:trPr>
        <w:tc>
          <w:tcPr>
            <w:tcW w:w="40" w:type="dxa"/>
            <w:vAlign w:val="bottom"/>
          </w:tcPr>
          <w:p>
            <w:pPr>
              <w:spacing w:after="0"/>
              <w:rPr>
                <w:sz w:val="19"/>
                <w:szCs w:val="19"/>
                <w:color w:val="auto"/>
              </w:rPr>
            </w:pPr>
          </w:p>
        </w:tc>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25,527</w:t>
            </w:r>
          </w:p>
        </w:tc>
      </w:tr>
      <w:tr>
        <w:trPr>
          <w:trHeight w:val="223"/>
        </w:trPr>
        <w:tc>
          <w:tcPr>
            <w:tcW w:w="40" w:type="dxa"/>
            <w:vAlign w:val="bottom"/>
          </w:tcPr>
          <w:p>
            <w:pPr>
              <w:spacing w:after="0"/>
              <w:rPr>
                <w:sz w:val="19"/>
                <w:szCs w:val="19"/>
                <w:color w:val="auto"/>
              </w:rPr>
            </w:pPr>
          </w:p>
        </w:tc>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262,465</w:t>
            </w:r>
          </w:p>
        </w:tc>
      </w:tr>
      <w:tr>
        <w:trPr>
          <w:trHeight w:val="210"/>
        </w:trPr>
        <w:tc>
          <w:tcPr>
            <w:tcW w:w="40" w:type="dxa"/>
            <w:vAlign w:val="bottom"/>
          </w:tcPr>
          <w:p>
            <w:pPr>
              <w:spacing w:after="0"/>
              <w:rPr>
                <w:sz w:val="18"/>
                <w:szCs w:val="18"/>
                <w:color w:val="auto"/>
              </w:rPr>
            </w:pPr>
          </w:p>
        </w:tc>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32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240,765,516 and 238,015,825</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June 30, 2025 and December 31, 2024, respectively</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1,058,548</w:t>
            </w:r>
          </w:p>
        </w:tc>
      </w:tr>
      <w:tr>
        <w:trPr>
          <w:trHeight w:val="230"/>
        </w:trPr>
        <w:tc>
          <w:tcPr>
            <w:tcW w:w="40" w:type="dxa"/>
            <w:vAlign w:val="bottom"/>
          </w:tcPr>
          <w:p>
            <w:pPr>
              <w:spacing w:after="0"/>
              <w:rPr>
                <w:sz w:val="19"/>
                <w:szCs w:val="19"/>
                <w:color w:val="auto"/>
              </w:rPr>
            </w:pPr>
          </w:p>
        </w:tc>
        <w:tc>
          <w:tcPr>
            <w:tcW w:w="7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(885,340)</w:t>
            </w:r>
          </w:p>
        </w:tc>
      </w:tr>
      <w:tr>
        <w:trPr>
          <w:trHeight w:val="229"/>
        </w:trPr>
        <w:tc>
          <w:tcPr>
            <w:tcW w:w="40" w:type="dxa"/>
            <w:vAlign w:val="bottom"/>
          </w:tcPr>
          <w:p>
            <w:pPr>
              <w:spacing w:after="0"/>
              <w:rPr>
                <w:sz w:val="19"/>
                <w:szCs w:val="19"/>
                <w:color w:val="auto"/>
              </w:rPr>
            </w:pPr>
          </w:p>
        </w:tc>
        <w:tc>
          <w:tcPr>
            <w:tcW w:w="7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0" w:type="dxa"/>
            <w:vAlign w:val="bottom"/>
          </w:tcPr>
          <w:p>
            <w:pPr>
              <w:spacing w:after="0"/>
              <w:rPr>
                <w:sz w:val="19"/>
                <w:szCs w:val="19"/>
                <w:color w:val="auto"/>
              </w:rPr>
            </w:pPr>
          </w:p>
        </w:tc>
        <w:tc>
          <w:tcPr>
            <w:tcW w:w="73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r>
      <w:tr>
        <w:trPr>
          <w:trHeight w:val="248"/>
        </w:trPr>
        <w:tc>
          <w:tcPr>
            <w:tcW w:w="40" w:type="dxa"/>
            <w:vAlign w:val="bottom"/>
          </w:tcPr>
          <w:p>
            <w:pPr>
              <w:spacing w:after="0"/>
              <w:rPr>
                <w:sz w:val="21"/>
                <w:szCs w:val="21"/>
                <w:color w:val="auto"/>
              </w:rPr>
            </w:pPr>
          </w:p>
        </w:tc>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40" w:type="dxa"/>
            <w:vAlign w:val="bottom"/>
          </w:tcPr>
          <w:p>
            <w:pPr>
              <w:spacing w:after="0"/>
              <w:rPr>
                <w:sz w:val="18"/>
                <w:szCs w:val="18"/>
                <w:color w:val="auto"/>
              </w:rPr>
            </w:pPr>
          </w:p>
        </w:tc>
        <w:tc>
          <w:tcPr>
            <w:tcW w:w="2500" w:type="dxa"/>
            <w:vAlign w:val="bottom"/>
            <w:gridSpan w:val="4"/>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6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3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supply revenue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0" w:type="dxa"/>
            <w:vAlign w:val="bottom"/>
          </w:tcPr>
          <w:p>
            <w:pPr>
              <w:spacing w:after="0"/>
              <w:rPr>
                <w:sz w:val="1"/>
                <w:szCs w:val="1"/>
                <w:color w:val="auto"/>
              </w:rPr>
            </w:pPr>
          </w:p>
        </w:tc>
      </w:tr>
      <w:tr>
        <w:trPr>
          <w:trHeight w:val="230"/>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Licensing revenue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0" w:type="dxa"/>
            <w:vAlign w:val="bottom"/>
          </w:tcPr>
          <w:p>
            <w:pPr>
              <w:spacing w:after="0"/>
              <w:rPr>
                <w:sz w:val="1"/>
                <w:szCs w:val="1"/>
                <w:color w:val="auto"/>
              </w:rPr>
            </w:pPr>
          </w:p>
        </w:tc>
      </w:tr>
      <w:tr>
        <w:trPr>
          <w:trHeight w:val="20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140,989</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0" w:type="dxa"/>
            <w:vAlign w:val="bottom"/>
          </w:tcPr>
          <w:p>
            <w:pPr>
              <w:spacing w:after="0"/>
              <w:rPr>
                <w:sz w:val="1"/>
                <w:szCs w:val="1"/>
                <w:color w:val="auto"/>
              </w:rPr>
            </w:pPr>
          </w:p>
        </w:tc>
      </w:tr>
      <w:tr>
        <w:trPr>
          <w:trHeight w:val="229"/>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(42,784)</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Shares used in computing net loss per share - basic and diluted</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239,928,570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234,571,192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239,279,962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233,818,576</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losses on available-for-sale securities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2025</w:t>
            </w:r>
          </w:p>
        </w:tc>
        <w:tc>
          <w:tcPr>
            <w:tcW w:w="1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7"/>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bottom w:val="single" w:sz="8" w:color="auto"/>
            </w:tcBorders>
            <w:gridSpan w:val="7"/>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80" w:type="dxa"/>
            <w:vAlign w:val="bottom"/>
            <w:gridSpan w:val="4"/>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10"/>
                <w:szCs w:val="10"/>
                <w:color w:val="auto"/>
              </w:rPr>
            </w:pPr>
          </w:p>
        </w:tc>
        <w:tc>
          <w:tcPr>
            <w:tcW w:w="1220" w:type="dxa"/>
            <w:vAlign w:val="bottom"/>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0"/>
                <w:szCs w:val="10"/>
                <w:color w:val="auto"/>
              </w:rPr>
            </w:pPr>
          </w:p>
        </w:tc>
        <w:tc>
          <w:tcPr>
            <w:tcW w:w="1300" w:type="dxa"/>
            <w:vAlign w:val="bottom"/>
            <w:gridSpan w:val="2"/>
            <w:vMerge w:val="restart"/>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center"/>
              <w:ind w:right="32"/>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2"/>
                <w:szCs w:val="2"/>
                <w:color w:val="auto"/>
              </w:rPr>
            </w:pP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8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239,201,256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(926,484)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145,676</w:t>
            </w:r>
          </w:p>
        </w:tc>
        <w:tc>
          <w:tcPr>
            <w:tcW w:w="0" w:type="dxa"/>
            <w:vAlign w:val="bottom"/>
          </w:tcPr>
          <w:p>
            <w:pPr>
              <w:spacing w:after="0"/>
              <w:rPr>
                <w:sz w:val="1"/>
                <w:szCs w:val="1"/>
                <w:color w:val="auto"/>
              </w:rPr>
            </w:pPr>
          </w:p>
        </w:tc>
      </w:tr>
      <w:tr>
        <w:trPr>
          <w:trHeight w:val="230"/>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175"/>
        </w:trPr>
        <w:tc>
          <w:tcPr>
            <w:tcW w:w="33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391,027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176"/>
        </w:trPr>
        <w:tc>
          <w:tcPr>
            <w:tcW w:w="33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1,085,977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0" w:type="dxa"/>
            <w:vAlign w:val="bottom"/>
          </w:tcPr>
          <w:p>
            <w:pPr>
              <w:spacing w:after="0"/>
              <w:rPr>
                <w:sz w:val="1"/>
                <w:szCs w:val="1"/>
                <w:color w:val="auto"/>
              </w:rPr>
            </w:pPr>
          </w:p>
        </w:tc>
      </w:tr>
      <w:tr>
        <w:trPr>
          <w:trHeight w:val="176"/>
        </w:trPr>
        <w:tc>
          <w:tcPr>
            <w:tcW w:w="33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losses on available-for-sale</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91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240,765,516</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1,085,108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2"/>
          </w:tcPr>
          <w:p>
            <w:pPr>
              <w:jc w:val="center"/>
              <w:ind w:left="872"/>
              <w:spacing w:after="0"/>
              <w:rPr>
                <w:sz w:val="20"/>
                <w:szCs w:val="20"/>
                <w:color w:val="auto"/>
              </w:rPr>
            </w:pPr>
            <w:r>
              <w:rPr>
                <w:rFonts w:ascii="Times New Roman" w:cs="Times New Roman" w:eastAsia="Times New Roman" w:hAnsi="Times New Roman"/>
                <w:sz w:val="18"/>
                <w:szCs w:val="18"/>
                <w:color w:val="auto"/>
                <w:w w:val="99"/>
              </w:rPr>
              <w:t>(38)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3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rPr>
              <w:t>Six Months Ended June 30, 2025</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gridSpan w:val="6"/>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gridSpan w:val="2"/>
            <w:vMerge w:val="restart"/>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6"/>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12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12"/>
                <w:szCs w:val="12"/>
                <w:color w:val="auto"/>
              </w:rPr>
            </w:pPr>
          </w:p>
        </w:tc>
        <w:tc>
          <w:tcPr>
            <w:tcW w:w="1220" w:type="dxa"/>
            <w:vAlign w:val="bottom"/>
            <w:gridSpan w:val="3"/>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3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72"/>
              <w:spacing w:after="0" w:line="14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238,015,825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1,058,548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(885,340)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852"/>
              <w:spacing w:after="0"/>
              <w:rPr>
                <w:sz w:val="20"/>
                <w:szCs w:val="20"/>
                <w:color w:val="auto"/>
              </w:rPr>
            </w:pPr>
            <w:r>
              <w:rPr>
                <w:rFonts w:ascii="Times New Roman" w:cs="Times New Roman" w:eastAsia="Times New Roman" w:hAnsi="Times New Roman"/>
                <w:sz w:val="18"/>
                <w:szCs w:val="18"/>
                <w:color w:val="auto"/>
                <w:w w:val="99"/>
              </w:rPr>
              <w:t>57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173,289</w:t>
            </w:r>
          </w:p>
        </w:tc>
        <w:tc>
          <w:tcPr>
            <w:tcW w:w="0" w:type="dxa"/>
            <w:vAlign w:val="bottom"/>
          </w:tcPr>
          <w:p>
            <w:pPr>
              <w:spacing w:after="0"/>
              <w:rPr>
                <w:sz w:val="1"/>
                <w:szCs w:val="1"/>
                <w:color w:val="auto"/>
              </w:rPr>
            </w:pPr>
          </w:p>
        </w:tc>
      </w:tr>
      <w:tr>
        <w:trPr>
          <w:trHeight w:val="175"/>
        </w:trPr>
        <w:tc>
          <w:tcPr>
            <w:tcW w:w="33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0"/>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175"/>
        </w:trPr>
        <w:tc>
          <w:tcPr>
            <w:tcW w:w="33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780,990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175"/>
        </w:trPr>
        <w:tc>
          <w:tcPr>
            <w:tcW w:w="33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1,658,711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0" w:type="dxa"/>
            <w:vAlign w:val="bottom"/>
          </w:tcPr>
          <w:p>
            <w:pPr>
              <w:spacing w:after="0"/>
              <w:rPr>
                <w:sz w:val="1"/>
                <w:szCs w:val="1"/>
                <w:color w:val="auto"/>
              </w:rPr>
            </w:pPr>
          </w:p>
        </w:tc>
      </w:tr>
      <w:tr>
        <w:trPr>
          <w:trHeight w:val="176"/>
        </w:trPr>
        <w:tc>
          <w:tcPr>
            <w:tcW w:w="33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losses on available-for-sale</w:t>
            </w:r>
          </w:p>
        </w:tc>
        <w:tc>
          <w:tcPr>
            <w:tcW w:w="1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852"/>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0" w:type="dxa"/>
            <w:vAlign w:val="bottom"/>
          </w:tcPr>
          <w:p>
            <w:pPr>
              <w:spacing w:after="0"/>
              <w:rPr>
                <w:sz w:val="1"/>
                <w:szCs w:val="1"/>
                <w:color w:val="auto"/>
              </w:rPr>
            </w:pPr>
          </w:p>
        </w:tc>
      </w:tr>
      <w:tr>
        <w:trPr>
          <w:trHeight w:val="24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240,765,516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1,085,108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(945,563)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3340" w:type="dxa"/>
            <w:vAlign w:val="bottom"/>
          </w:tcPr>
          <w:p>
            <w:pPr>
              <w:spacing w:after="0"/>
              <w:rPr>
                <w:sz w:val="24"/>
                <w:szCs w:val="24"/>
                <w:color w:val="auto"/>
              </w:rPr>
            </w:pPr>
          </w:p>
        </w:tc>
        <w:tc>
          <w:tcPr>
            <w:tcW w:w="234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10"/>
        </w:trPr>
        <w:tc>
          <w:tcPr>
            <w:tcW w:w="334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9"/>
                <w:szCs w:val="9"/>
                <w:color w:val="auto"/>
              </w:rPr>
            </w:pPr>
          </w:p>
        </w:tc>
        <w:tc>
          <w:tcPr>
            <w:tcW w:w="1220" w:type="dxa"/>
            <w:vAlign w:val="bottom"/>
            <w:gridSpan w:val="3"/>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9"/>
                <w:szCs w:val="9"/>
                <w:color w:val="auto"/>
              </w:rPr>
            </w:pPr>
          </w:p>
        </w:tc>
        <w:tc>
          <w:tcPr>
            <w:tcW w:w="13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9"/>
                <w:szCs w:val="9"/>
                <w:color w:val="auto"/>
              </w:rPr>
            </w:pPr>
          </w:p>
        </w:tc>
        <w:tc>
          <w:tcPr>
            <w:tcW w:w="1160" w:type="dxa"/>
            <w:vAlign w:val="bottom"/>
            <w:vMerge w:val="restart"/>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3340" w:type="dxa"/>
            <w:vAlign w:val="bottom"/>
          </w:tcPr>
          <w:p>
            <w:pPr>
              <w:spacing w:after="0"/>
              <w:rPr>
                <w:sz w:val="3"/>
                <w:szCs w:val="3"/>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3"/>
                <w:szCs w:val="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8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4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233,959,744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(872,722)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150,891</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862,691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0" w:type="dxa"/>
            <w:vAlign w:val="bottom"/>
          </w:tcPr>
          <w:p>
            <w:pPr>
              <w:spacing w:after="0"/>
              <w:rPr>
                <w:sz w:val="1"/>
                <w:szCs w:val="1"/>
                <w:color w:val="auto"/>
              </w:rPr>
            </w:pPr>
          </w:p>
        </w:tc>
      </w:tr>
      <w:tr>
        <w:trPr>
          <w:trHeight w:val="175"/>
        </w:trPr>
        <w:tc>
          <w:tcPr>
            <w:tcW w:w="3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losses on available-for-sale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235,401,398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1,036,244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(889,176)</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146,990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3"/>
        </w:trPr>
        <w:tc>
          <w:tcPr>
            <w:tcW w:w="33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left="132"/>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340" w:type="dxa"/>
            <w:vAlign w:val="bottom"/>
          </w:tcPr>
          <w:p>
            <w:pPr>
              <w:spacing w:after="0"/>
              <w:rPr>
                <w:sz w:val="24"/>
                <w:szCs w:val="24"/>
                <w:color w:val="auto"/>
              </w:rPr>
            </w:pPr>
          </w:p>
        </w:tc>
        <w:tc>
          <w:tcPr>
            <w:tcW w:w="234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24"/>
                <w:szCs w:val="24"/>
                <w:color w:val="auto"/>
              </w:rPr>
            </w:pPr>
          </w:p>
        </w:tc>
        <w:tc>
          <w:tcPr>
            <w:tcW w:w="11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23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80" w:type="dxa"/>
            <w:vAlign w:val="bottom"/>
            <w:gridSpan w:val="3"/>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10"/>
                <w:szCs w:val="10"/>
                <w:color w:val="auto"/>
              </w:rPr>
            </w:pPr>
          </w:p>
        </w:tc>
        <w:tc>
          <w:tcPr>
            <w:tcW w:w="1220" w:type="dxa"/>
            <w:vAlign w:val="bottom"/>
            <w:gridSpan w:val="3"/>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0"/>
                <w:szCs w:val="10"/>
                <w:color w:val="auto"/>
              </w:rPr>
            </w:pPr>
          </w:p>
        </w:tc>
        <w:tc>
          <w:tcPr>
            <w:tcW w:w="138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0"/>
                <w:szCs w:val="10"/>
                <w:color w:val="auto"/>
              </w:rPr>
            </w:pPr>
          </w:p>
        </w:tc>
        <w:tc>
          <w:tcPr>
            <w:tcW w:w="1160" w:type="dxa"/>
            <w:vAlign w:val="bottom"/>
            <w:vMerge w:val="restart"/>
          </w:tcPr>
          <w:p>
            <w:pPr>
              <w:jc w:val="center"/>
              <w:ind w:right="72"/>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3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8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4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232,453,190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(846,204)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166,816</w:t>
            </w:r>
          </w:p>
        </w:tc>
        <w:tc>
          <w:tcPr>
            <w:tcW w:w="0" w:type="dxa"/>
            <w:vAlign w:val="bottom"/>
          </w:tcPr>
          <w:p>
            <w:pPr>
              <w:spacing w:after="0"/>
              <w:rPr>
                <w:sz w:val="1"/>
                <w:szCs w:val="1"/>
                <w:color w:val="auto"/>
              </w:rPr>
            </w:pPr>
          </w:p>
        </w:tc>
      </w:tr>
      <w:tr>
        <w:trPr>
          <w:trHeight w:val="176"/>
        </w:trPr>
        <w:tc>
          <w:tcPr>
            <w:tcW w:w="3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under employee</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75"/>
        </w:trPr>
        <w:tc>
          <w:tcPr>
            <w:tcW w:w="33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stock upon vesting of</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losses on available-for-sale</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29"/>
        </w:trPr>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235,401,398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146,990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ARDELYX, INC.</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CONDENSED STATEMENTS OF CASH FLOWS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74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4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w w:val="99"/>
              </w:rPr>
              <w:t>(in thousands)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20" w:type="dxa"/>
            <w:vAlign w:val="bottom"/>
          </w:tcPr>
          <w:p>
            <w:pPr>
              <w:spacing w:after="0"/>
              <w:rPr>
                <w:sz w:val="20"/>
                <w:szCs w:val="20"/>
                <w:color w:val="auto"/>
              </w:rPr>
            </w:pPr>
          </w:p>
        </w:tc>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(42,972)</w:t>
            </w: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29"/>
        </w:trPr>
        <w:tc>
          <w:tcPr>
            <w:tcW w:w="20" w:type="dxa"/>
            <w:vAlign w:val="bottom"/>
          </w:tcPr>
          <w:p>
            <w:pPr>
              <w:spacing w:after="0"/>
              <w:rPr>
                <w:sz w:val="19"/>
                <w:szCs w:val="19"/>
                <w:color w:val="auto"/>
              </w:rPr>
            </w:pPr>
          </w:p>
        </w:tc>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29"/>
        </w:trPr>
        <w:tc>
          <w:tcPr>
            <w:tcW w:w="20" w:type="dxa"/>
            <w:vAlign w:val="bottom"/>
          </w:tcPr>
          <w:p>
            <w:pPr>
              <w:spacing w:after="0"/>
              <w:rPr>
                <w:sz w:val="19"/>
                <w:szCs w:val="19"/>
                <w:color w:val="auto"/>
              </w:rPr>
            </w:pPr>
          </w:p>
        </w:tc>
        <w:tc>
          <w:tcPr>
            <w:tcW w:w="80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(15,210)</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(33,945)</w:t>
            </w: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commercial manufacturing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29"/>
        </w:trPr>
        <w:tc>
          <w:tcPr>
            <w:tcW w:w="20" w:type="dxa"/>
            <w:vAlign w:val="bottom"/>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9"/>
        </w:trPr>
        <w:tc>
          <w:tcPr>
            <w:tcW w:w="20" w:type="dxa"/>
            <w:vAlign w:val="bottom"/>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11,947</w:t>
            </w: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(55,120)</w:t>
            </w:r>
          </w:p>
        </w:tc>
      </w:tr>
      <w:tr>
        <w:trPr>
          <w:trHeight w:val="210"/>
        </w:trPr>
        <w:tc>
          <w:tcPr>
            <w:tcW w:w="20" w:type="dxa"/>
            <w:vAlign w:val="bottom"/>
          </w:tcPr>
          <w:p>
            <w:pPr>
              <w:spacing w:after="0"/>
              <w:rPr>
                <w:sz w:val="18"/>
                <w:szCs w:val="18"/>
                <w:color w:val="auto"/>
              </w:rPr>
            </w:pPr>
          </w:p>
        </w:tc>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maturities and redemptions of investments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78,112</w:t>
            </w:r>
          </w:p>
        </w:tc>
      </w:tr>
      <w:tr>
        <w:trPr>
          <w:trHeight w:val="229"/>
        </w:trPr>
        <w:tc>
          <w:tcPr>
            <w:tcW w:w="20" w:type="dxa"/>
            <w:vAlign w:val="bottom"/>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(56,870)</w:t>
            </w: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20" w:type="dxa"/>
            <w:vAlign w:val="bottom"/>
          </w:tcPr>
          <w:p>
            <w:pPr>
              <w:spacing w:after="0"/>
              <w:rPr>
                <w:sz w:val="19"/>
                <w:szCs w:val="19"/>
                <w:color w:val="auto"/>
              </w:rPr>
            </w:pPr>
          </w:p>
        </w:tc>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20,961</w:t>
            </w:r>
          </w:p>
        </w:tc>
      </w:tr>
      <w:tr>
        <w:trPr>
          <w:trHeight w:val="210"/>
        </w:trPr>
        <w:tc>
          <w:tcPr>
            <w:tcW w:w="20" w:type="dxa"/>
            <w:vAlign w:val="bottom"/>
          </w:tcPr>
          <w:p>
            <w:pPr>
              <w:spacing w:after="0"/>
              <w:rPr>
                <w:sz w:val="18"/>
                <w:szCs w:val="18"/>
                <w:color w:val="auto"/>
              </w:rPr>
            </w:pPr>
          </w:p>
        </w:tc>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2022 Loan Agreement, net of costs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49,750</w:t>
            </w:r>
          </w:p>
        </w:tc>
      </w:tr>
      <w:tr>
        <w:trPr>
          <w:trHeight w:val="229"/>
        </w:trPr>
        <w:tc>
          <w:tcPr>
            <w:tcW w:w="20" w:type="dxa"/>
            <w:vAlign w:val="bottom"/>
          </w:tcPr>
          <w:p>
            <w:pPr>
              <w:spacing w:after="0"/>
              <w:rPr>
                <w:sz w:val="19"/>
                <w:szCs w:val="19"/>
                <w:color w:val="auto"/>
              </w:rPr>
            </w:pPr>
          </w:p>
        </w:tc>
        <w:tc>
          <w:tcPr>
            <w:tcW w:w="80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under equity incentive and stock purchase plans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r>
      <w:tr>
        <w:trPr>
          <w:trHeight w:val="223"/>
        </w:trPr>
        <w:tc>
          <w:tcPr>
            <w:tcW w:w="20" w:type="dxa"/>
            <w:vAlign w:val="bottom"/>
          </w:tcPr>
          <w:p>
            <w:pPr>
              <w:spacing w:after="0"/>
              <w:rPr>
                <w:sz w:val="19"/>
                <w:szCs w:val="19"/>
                <w:color w:val="auto"/>
              </w:rPr>
            </w:pPr>
          </w:p>
        </w:tc>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54,579</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20,420</w:t>
            </w: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41,890</w:t>
            </w: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0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 of non-cash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34"/>
        </w:trPr>
        <w:tc>
          <w:tcPr>
            <w:tcW w:w="20" w:type="dxa"/>
            <w:vAlign w:val="bottom"/>
          </w:tcPr>
          <w:p>
            <w:pPr>
              <w:spacing w:after="0"/>
              <w:rPr>
                <w:sz w:val="20"/>
                <w:szCs w:val="20"/>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ARDELYX,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7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to reduce serum phosphorus in adults with CKD on dialysis as add-on therapy in patients who have an inadequate response to phosphate binders or who are intolerant of any dose of phosphate binder therapy.</w:t>
      </w:r>
    </w:p>
    <w:p>
      <w:pPr>
        <w:spacing w:after="0" w:line="14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operate in one business segment, which is the development and commercialization of biopharmaceutical products. Refer to </w:t>
      </w:r>
      <w:r>
        <w:rPr>
          <w:rFonts w:ascii="Times New Roman" w:cs="Times New Roman" w:eastAsia="Times New Roman" w:hAnsi="Times New Roman"/>
          <w:sz w:val="18"/>
          <w:szCs w:val="18"/>
          <w:i w:val="1"/>
          <w:iCs w:val="1"/>
          <w:color w:val="auto"/>
        </w:rPr>
        <w:t>Note 12. Segment Reporting</w:t>
      </w:r>
      <w:r>
        <w:rPr>
          <w:rFonts w:ascii="Times New Roman" w:cs="Times New Roman" w:eastAsia="Times New Roman" w:hAnsi="Times New Roman"/>
          <w:sz w:val="18"/>
          <w:szCs w:val="18"/>
          <w:color w:val="auto"/>
        </w:rPr>
        <w:t xml:space="preserve"> for further discussion on our segment reporting.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condensed financial statements have been prepared in accordance with U.S. GAAP and pursuant to the requirements of the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normal and recurring adjustments necessary to present fairly our financial position, results of operations, changes in stockholders’ equity and cash flows for the interim periods presented.</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included in our 2024 Form 10-K. The results for the three and six months ended June 30, 2025 are not necessarily indicative of results to be expected for the entire year ending December 31, 2025, or for any other interim period or future year.</w:t>
      </w:r>
    </w:p>
    <w:p>
      <w:pPr>
        <w:spacing w:after="0" w:line="120" w:lineRule="exact"/>
        <w:rPr>
          <w:sz w:val="20"/>
          <w:szCs w:val="20"/>
          <w:color w:val="auto"/>
        </w:rPr>
      </w:pPr>
    </w:p>
    <w:p>
      <w:pPr>
        <w:ind w:right="500"/>
        <w:spacing w:after="0" w:line="439" w:lineRule="auto"/>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Summary of Abbreviated Terms</w:t>
      </w:r>
      <w:r>
        <w:rPr>
          <w:rFonts w:ascii="Times New Roman" w:cs="Times New Roman" w:eastAsia="Times New Roman" w:hAnsi="Times New Roman"/>
          <w:sz w:val="18"/>
          <w:szCs w:val="18"/>
          <w:color w:val="auto"/>
        </w:rPr>
        <w:t xml:space="preserve"> at the end of this Quarterly Report on Form 10-Q for definitions of terms used throughout the document.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judgments and assumptions. The most significant assumptions are estimates used in our revenue gross-to-net accruals and other assumptions.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7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amendments in this ASU provide more transparency about income tax information through improvements to income tax disclosures, primarily related to the rate reconciliation and income taxes paid information. For public business entities, the amendments in this ASU are effective for annual periods beginning after December 15, 2024. Early adoption is permitted on a prospective basis for annual financial statements that have not yet been issued or made available for issuance. The Company anticipates that the adoption of ASU 2023-09 will result in modifications to its income tax disclosures.</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Income Statement (Topic 220) - </w:t>
      </w:r>
      <w:r>
        <w:rPr>
          <w:rFonts w:ascii="Times New Roman" w:cs="Times New Roman" w:eastAsia="Times New Roman" w:hAnsi="Times New Roman"/>
          <w:sz w:val="18"/>
          <w:szCs w:val="18"/>
          <w:i w:val="1"/>
          <w:iCs w:val="1"/>
          <w:color w:val="auto"/>
        </w:rPr>
        <w:t>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Disaggregation of Income Statement Expenses</w:t>
      </w:r>
      <w:r>
        <w:rPr>
          <w:rFonts w:ascii="Times New Roman" w:cs="Times New Roman" w:eastAsia="Times New Roman" w:hAnsi="Times New Roman"/>
          <w:sz w:val="18"/>
          <w:szCs w:val="18"/>
          <w:color w:val="auto"/>
        </w:rPr>
        <w:t>, which requires public companies to disclose, in interim and annual reporting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information about certain expenses in the financial statements. ASU No. 2024-03 is effective for annual periods beginning after December 15, 2026, and interim reporting periods beginning after December 15, 2027. Early adoption is permitted and is effective on either a prospective basis or retrospective basis. The Company is in the process of evaluating the impact of this new guidance on its disclosures.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4920"/>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NOTE 2. CASH, CASH EQUIVALENTS AND SHORT-TERM INVESTMENTS </w:t>
      </w:r>
      <w:r>
        <w:rPr>
          <w:rFonts w:ascii="Times New Roman" w:cs="Times New Roman" w:eastAsia="Times New Roman" w:hAnsi="Times New Roman"/>
          <w:sz w:val="17"/>
          <w:szCs w:val="17"/>
          <w:color w:val="auto"/>
        </w:rPr>
        <w:t>The following table summarizes our cash, cash equivalents and short-term investments: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6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2"/>
                <w:szCs w:val="12"/>
                <w:color w:val="auto"/>
              </w:rPr>
            </w:pPr>
          </w:p>
        </w:tc>
        <w:tc>
          <w:tcPr>
            <w:tcW w:w="860" w:type="dxa"/>
            <w:vAlign w:val="bottom"/>
            <w:vMerge w:val="restart"/>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0" w:type="dxa"/>
            <w:vAlign w:val="bottom"/>
          </w:tcPr>
          <w:p>
            <w:pPr>
              <w:spacing w:after="0"/>
              <w:rPr>
                <w:sz w:val="1"/>
                <w:szCs w:val="1"/>
                <w:color w:val="auto"/>
              </w:rPr>
            </w:pPr>
          </w:p>
        </w:tc>
      </w:tr>
      <w:tr>
        <w:trPr>
          <w:trHeight w:val="216"/>
        </w:trPr>
        <w:tc>
          <w:tcPr>
            <w:tcW w:w="2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79,773</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U.S. government-sponsored agency</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0" w:type="dxa"/>
            <w:vAlign w:val="bottom"/>
          </w:tcPr>
          <w:p>
            <w:pPr>
              <w:spacing w:after="0"/>
              <w:rPr>
                <w:sz w:val="1"/>
                <w:szCs w:val="1"/>
                <w:color w:val="auto"/>
              </w:rPr>
            </w:pPr>
          </w:p>
        </w:tc>
      </w:tr>
      <w:tr>
        <w:trPr>
          <w:trHeight w:val="230"/>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0" w:type="dxa"/>
            <w:vAlign w:val="bottom"/>
          </w:tcPr>
          <w:p>
            <w:pPr>
              <w:spacing w:after="0"/>
              <w:rPr>
                <w:sz w:val="1"/>
                <w:szCs w:val="1"/>
                <w:color w:val="auto"/>
              </w:rPr>
            </w:pPr>
          </w:p>
        </w:tc>
      </w:tr>
      <w:tr>
        <w:trPr>
          <w:trHeight w:val="229"/>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Yankee bonds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148,445</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185,111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185,168</w:t>
            </w: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cash, cash equivalents and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238,452</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250,100</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or losses have not been significant and are included in other income, net, in the condensed statements of operations and comprehensive loss.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Unrealized losses as of June 30, 2025 and December 31, 2024 were not material. All of the short-term available-for-sale securities held as of June 30, 2025 and December 31, 2024 had contractual maturities of less than one year. We determined that none of our available-for-sale securities were other-than-temporarily impaired as of June 30, 2025 and December 31, 2024, and no investment was in a continuous unrealized loss position for more than one year. Therefore, we believe that it is more likely than not that the investments will be held until maturity or a forecasted recovery of fair value.</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June 30, 2025 and December 31, 2024.</w:t>
      </w:r>
    </w:p>
    <w:p>
      <w:pPr>
        <w:spacing w:after="0" w:line="12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See “Cash and Cash Equivalents” and “Short-Term Investments” captions of </w:t>
      </w:r>
      <w:r>
        <w:rPr>
          <w:rFonts w:ascii="Times New Roman" w:cs="Times New Roman" w:eastAsia="Times New Roman" w:hAnsi="Times New Roman"/>
          <w:sz w:val="18"/>
          <w:szCs w:val="18"/>
          <w:i w:val="1"/>
          <w:iCs w:val="1"/>
          <w:color w:val="auto"/>
        </w:rPr>
        <w:t>Note 2. Summary of Significant Accounting Policies</w:t>
      </w:r>
      <w:r>
        <w:rPr>
          <w:rFonts w:ascii="Times New Roman" w:cs="Times New Roman" w:eastAsia="Times New Roman" w:hAnsi="Times New Roman"/>
          <w:sz w:val="18"/>
          <w:szCs w:val="18"/>
          <w:color w:val="auto"/>
        </w:rPr>
        <w:t xml:space="preserve"> of our 2024 Form 10-K for more information on our accounting policies for cash, cash equivalents and short-term investments.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Valuation techniques used to measure fair value must maximize the use of observable inputs and minimize the use of unobservable inputs. The three-level hierarchy for the inputs to valuation techniques is briefly summarized as follows:</w:t>
      </w:r>
    </w:p>
    <w:p>
      <w:pPr>
        <w:spacing w:after="0" w:line="148" w:lineRule="exact"/>
        <w:rPr>
          <w:sz w:val="20"/>
          <w:szCs w:val="20"/>
          <w:color w:val="auto"/>
        </w:rPr>
      </w:pPr>
    </w:p>
    <w:p>
      <w:pPr>
        <w:ind w:left="1060" w:right="680" w:hanging="1038"/>
        <w:spacing w:after="0" w:line="237" w:lineRule="auto"/>
        <w:tabs>
          <w:tab w:leader="none" w:pos="1040" w:val="left"/>
        </w:tabs>
        <w:rPr>
          <w:sz w:val="20"/>
          <w:szCs w:val="20"/>
          <w:color w:val="auto"/>
        </w:rPr>
      </w:pPr>
      <w:r>
        <w:rPr>
          <w:rFonts w:ascii="Times New Roman" w:cs="Times New Roman" w:eastAsia="Times New Roman" w:hAnsi="Times New Roman"/>
          <w:sz w:val="18"/>
          <w:szCs w:val="18"/>
          <w:color w:val="auto"/>
        </w:rPr>
        <w:t>Level 1 –</w:t>
      </w:r>
      <w:r>
        <w:rPr>
          <w:sz w:val="20"/>
          <w:szCs w:val="20"/>
          <w:color w:val="auto"/>
        </w:rPr>
        <w:tab/>
      </w:r>
      <w:r>
        <w:rPr>
          <w:rFonts w:ascii="Times New Roman" w:cs="Times New Roman" w:eastAsia="Times New Roman" w:hAnsi="Times New Roman"/>
          <w:sz w:val="18"/>
          <w:szCs w:val="18"/>
          <w:color w:val="auto"/>
        </w:rPr>
        <w:t>Valuations are based on quoted prices in active markets for identical assets or liabilities and readily accessible by us at the reporting date.</w:t>
      </w:r>
    </w:p>
    <w:p>
      <w:pPr>
        <w:spacing w:after="0" w:line="64" w:lineRule="exact"/>
        <w:rPr>
          <w:sz w:val="20"/>
          <w:szCs w:val="20"/>
          <w:color w:val="auto"/>
        </w:rPr>
      </w:pPr>
    </w:p>
    <w:p>
      <w:pPr>
        <w:ind w:left="1060" w:right="560" w:hanging="1038"/>
        <w:spacing w:after="0" w:line="226" w:lineRule="auto"/>
        <w:tabs>
          <w:tab w:leader="none" w:pos="1040" w:val="left"/>
        </w:tabs>
        <w:rPr>
          <w:sz w:val="20"/>
          <w:szCs w:val="20"/>
          <w:color w:val="auto"/>
        </w:rPr>
      </w:pPr>
      <w:r>
        <w:rPr>
          <w:rFonts w:ascii="Times New Roman" w:cs="Times New Roman" w:eastAsia="Times New Roman" w:hAnsi="Times New Roman"/>
          <w:sz w:val="18"/>
          <w:szCs w:val="18"/>
          <w:color w:val="auto"/>
        </w:rPr>
        <w:t>Level 2 –</w:t>
      </w:r>
      <w:r>
        <w:rPr>
          <w:sz w:val="20"/>
          <w:szCs w:val="20"/>
          <w:color w:val="auto"/>
        </w:rPr>
        <w:tab/>
      </w:r>
      <w:r>
        <w:rPr>
          <w:rFonts w:ascii="Times New Roman" w:cs="Times New Roman" w:eastAsia="Times New Roman" w:hAnsi="Times New Roman"/>
          <w:sz w:val="18"/>
          <w:szCs w:val="18"/>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3" w:lineRule="exact"/>
        <w:rPr>
          <w:sz w:val="20"/>
          <w:szCs w:val="20"/>
          <w:color w:val="auto"/>
        </w:rPr>
      </w:pPr>
    </w:p>
    <w:p>
      <w:pPr>
        <w:ind w:left="20"/>
        <w:spacing w:after="0"/>
        <w:tabs>
          <w:tab w:leader="none" w:pos="1040" w:val="left"/>
        </w:tabs>
        <w:rPr>
          <w:sz w:val="20"/>
          <w:szCs w:val="20"/>
          <w:color w:val="auto"/>
        </w:rPr>
      </w:pPr>
      <w:r>
        <w:rPr>
          <w:rFonts w:ascii="Times New Roman" w:cs="Times New Roman" w:eastAsia="Times New Roman" w:hAnsi="Times New Roman"/>
          <w:sz w:val="18"/>
          <w:szCs w:val="18"/>
          <w:color w:val="auto"/>
        </w:rPr>
        <w:t>Level 3 –</w:t>
      </w:r>
      <w:r>
        <w:rPr>
          <w:sz w:val="20"/>
          <w:szCs w:val="20"/>
          <w:color w:val="auto"/>
        </w:rPr>
        <w:tab/>
      </w:r>
      <w:r>
        <w:rPr>
          <w:rFonts w:ascii="Times New Roman" w:cs="Times New Roman" w:eastAsia="Times New Roman" w:hAnsi="Times New Roman"/>
          <w:sz w:val="17"/>
          <w:szCs w:val="17"/>
          <w:color w:val="auto"/>
        </w:rPr>
        <w:t>Valuations based on unobservable inputs for which there is little or no market data, which require us to develop our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fair value of our financial assets that are measured or disclosed on a recurring basis by level within the fair value hierarchy:</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3"/>
                <w:szCs w:val="13"/>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60" w:type="dxa"/>
            <w:vAlign w:val="bottom"/>
          </w:tcPr>
          <w:p>
            <w:pPr>
              <w:spacing w:after="0"/>
              <w:rPr>
                <w:sz w:val="13"/>
                <w:szCs w:val="13"/>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29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U.S. government-sponsored agency</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bonds</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Yankee bonds</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9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principal outstanding under our term loans is subject to a variable interest rate and therefore, we believe the carrying amount of the term loan approximates fair value as of June 30, 2025 and December 31, 2024. See </w:t>
      </w:r>
      <w:r>
        <w:rPr>
          <w:rFonts w:ascii="Times New Roman" w:cs="Times New Roman" w:eastAsia="Times New Roman" w:hAnsi="Times New Roman"/>
          <w:sz w:val="18"/>
          <w:szCs w:val="18"/>
          <w:i w:val="1"/>
          <w:iCs w:val="1"/>
          <w:color w:val="auto"/>
        </w:rPr>
        <w:t>Note 8. Borrowing</w:t>
      </w:r>
      <w:r>
        <w:rPr>
          <w:rFonts w:ascii="Times New Roman" w:cs="Times New Roman" w:eastAsia="Times New Roman" w:hAnsi="Times New Roman"/>
          <w:sz w:val="18"/>
          <w:szCs w:val="18"/>
          <w:color w:val="auto"/>
        </w:rPr>
        <w:t xml:space="preserve"> for a description of the Level 2 inputs used to estimate the fair value of the liability.</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carrying value of the deferred royalty obligation related to the sale of future royalties approximates its fair value as of June 30, 2025 and December 31, 2024 and is based on our current estimates of future royalties and commercialization milestones expected to be paid to us by Kyowa Kirin over the life of the agreement. See </w:t>
      </w:r>
      <w:r>
        <w:rPr>
          <w:rFonts w:ascii="Times New Roman" w:cs="Times New Roman" w:eastAsia="Times New Roman" w:hAnsi="Times New Roman"/>
          <w:sz w:val="18"/>
          <w:szCs w:val="18"/>
          <w:i w:val="1"/>
          <w:iCs w:val="1"/>
          <w:color w:val="auto"/>
        </w:rPr>
        <w:t>Note 7. Deferred Royalty Obligation Related to the Sale of Future Royalties</w:t>
      </w:r>
      <w:r>
        <w:rPr>
          <w:rFonts w:ascii="Times New Roman" w:cs="Times New Roman" w:eastAsia="Times New Roman" w:hAnsi="Times New Roman"/>
          <w:sz w:val="18"/>
          <w:szCs w:val="18"/>
          <w:color w:val="auto"/>
        </w:rPr>
        <w:t xml:space="preserve"> for a description of the Level 3 inputs used to estimate the fair value of the liability.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20" w:type="dxa"/>
            <w:vAlign w:val="bottom"/>
          </w:tcPr>
          <w:p>
            <w:pPr>
              <w:spacing w:after="0"/>
              <w:rPr>
                <w:sz w:val="19"/>
                <w:szCs w:val="19"/>
                <w:color w:val="auto"/>
              </w:rPr>
            </w:pPr>
          </w:p>
        </w:tc>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r>
      <w:tr>
        <w:trPr>
          <w:trHeight w:val="230"/>
        </w:trPr>
        <w:tc>
          <w:tcPr>
            <w:tcW w:w="2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58,685</w:t>
            </w: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23"/>
        </w:trPr>
        <w:tc>
          <w:tcPr>
            <w:tcW w:w="20" w:type="dxa"/>
            <w:vAlign w:val="bottom"/>
          </w:tcPr>
          <w:p>
            <w:pPr>
              <w:spacing w:after="0"/>
              <w:rPr>
                <w:sz w:val="19"/>
                <w:szCs w:val="19"/>
                <w:color w:val="auto"/>
              </w:rPr>
            </w:pPr>
          </w:p>
        </w:tc>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91,184</w:t>
            </w:r>
          </w:p>
        </w:tc>
      </w:tr>
      <w:tr>
        <w:trPr>
          <w:trHeight w:val="20"/>
        </w:trPr>
        <w:tc>
          <w:tcPr>
            <w:tcW w:w="20" w:type="dxa"/>
            <w:vAlign w:val="bottom"/>
          </w:tcPr>
          <w:p>
            <w:pPr>
              <w:spacing w:after="0" w:line="20" w:lineRule="exact"/>
              <w:rPr>
                <w:sz w:val="1"/>
                <w:szCs w:val="1"/>
                <w:color w:val="auto"/>
              </w:rPr>
            </w:pPr>
          </w:p>
        </w:tc>
        <w:tc>
          <w:tcPr>
            <w:tcW w:w="7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Reported as</w:t>
            </w: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w:t>
            </w:r>
          </w:p>
        </w:tc>
      </w:tr>
      <w:tr>
        <w:trPr>
          <w:trHeight w:val="230"/>
        </w:trPr>
        <w:tc>
          <w:tcPr>
            <w:tcW w:w="20" w:type="dxa"/>
            <w:vAlign w:val="bottom"/>
          </w:tcPr>
          <w:p>
            <w:pPr>
              <w:spacing w:after="0"/>
              <w:rPr>
                <w:sz w:val="19"/>
                <w:szCs w:val="19"/>
                <w:color w:val="auto"/>
              </w:rPr>
            </w:pPr>
          </w:p>
        </w:tc>
        <w:tc>
          <w:tcPr>
            <w:tcW w:w="7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 non-current</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70,011</w:t>
            </w:r>
          </w:p>
        </w:tc>
      </w:tr>
      <w:tr>
        <w:trPr>
          <w:trHeight w:val="223"/>
        </w:trPr>
        <w:tc>
          <w:tcPr>
            <w:tcW w:w="20" w:type="dxa"/>
            <w:vAlign w:val="bottom"/>
          </w:tcPr>
          <w:p>
            <w:pPr>
              <w:spacing w:after="0"/>
              <w:rPr>
                <w:sz w:val="19"/>
                <w:szCs w:val="19"/>
                <w:color w:val="auto"/>
              </w:rPr>
            </w:pPr>
          </w:p>
        </w:tc>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91,184</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Prepaid commercial manufacturing with third-party CMOs not included in inventory was $12.7 million and $16.4 million as of June 30, 2025 and December 31, 2024, respectively. There were no prepayments expected to be converted into inventory after 12 months as of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5. REVENUE</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Disaggregation of total revenues by nature is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11"/>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4"/>
                <w:szCs w:val="24"/>
                <w:color w:val="auto"/>
              </w:rPr>
            </w:pPr>
          </w:p>
        </w:tc>
        <w:tc>
          <w:tcPr>
            <w:tcW w:w="276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157,891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supply revenue</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6,185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3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1,380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171,776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Sales, Net</w:t>
            </w: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82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product sales, net was as follows:</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7"/>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65,045</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4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109,448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63,806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3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25,032</w:t>
            </w: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37,146</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48,443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product sales,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157,891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116,103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sales, net as a percentage of total revenues</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product sales from Customers accounting for more than 10% of total revenues were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32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1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8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48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Customers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BioRidge Pharma, LLC</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61.1 %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74.2 %</w:t>
            </w:r>
          </w:p>
        </w:tc>
      </w:tr>
      <w:tr>
        <w:trPr>
          <w:trHeight w:val="23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Cardinal Health</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23.4 %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r>
      <w:tr>
        <w:trPr>
          <w:trHeight w:val="229"/>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Cencora (formerly AmerisourceBergen Drug Corporation)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20.5 %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3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McKesson Corporation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bl>
    <w:p>
      <w:pPr>
        <w:spacing w:after="0" w:line="126" w:lineRule="exact"/>
        <w:rPr>
          <w:sz w:val="20"/>
          <w:szCs w:val="20"/>
          <w:color w:val="auto"/>
        </w:rPr>
      </w:pPr>
    </w:p>
    <w:p>
      <w:pPr>
        <w:ind w:left="340" w:right="80" w:hanging="332"/>
        <w:spacing w:after="0" w:line="230" w:lineRule="auto"/>
        <w:tabs>
          <w:tab w:leader="none" w:pos="327"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of the above percentages exceeds 100% as the numerators used in the calculations represent gross product sales for each Customer, as opposed to product sales, net as presented in our condensed statements of operations and comprehensive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GTN Adjustments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activities and ending reserve balances for each significant category of GTN adjustments on product sales, net, which constitute variable consideration, were as follows: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Discounts and</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5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Copay Assistance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Wholesaler and</w:t>
            </w:r>
          </w:p>
        </w:tc>
        <w:tc>
          <w:tcPr>
            <w:tcW w:w="154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20" w:type="dxa"/>
            <w:vAlign w:val="bottom"/>
          </w:tcPr>
          <w:p>
            <w:pPr>
              <w:spacing w:after="0"/>
              <w:rPr>
                <w:sz w:val="21"/>
                <w:szCs w:val="21"/>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GPO Fees</w:t>
            </w: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and Returns</w:t>
            </w: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8"/>
              </w:rPr>
              <w:t>1,643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30"/>
        </w:trPr>
        <w:tc>
          <w:tcPr>
            <w:tcW w:w="514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Provisions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3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9,533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45,046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70,028</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(9,657)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(65,253)</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w w:val="98"/>
              </w:rPr>
              <w:t>1,519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21,001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32,063</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Provisions included approximately $3.8 million of favorable adjustment in the 2025 first quarter, resulting from changes in prior periods’ estimated product returns for XPHOZAH.</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COLLABORATION AND LICENSING AGREEMENTS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out-license to external partners for the development of tenapanor and commercialization of tenapanor outside of the U.S. We recognize revenue from our agreements with Kyowa Kirin, Fosun Pharma and Knight as licensing revenue, product supply revenue or non-cash royalty revenue related to the sale of future royalties. See </w:t>
      </w:r>
      <w:r>
        <w:rPr>
          <w:rFonts w:ascii="Times New Roman" w:cs="Times New Roman" w:eastAsia="Times New Roman" w:hAnsi="Times New Roman"/>
          <w:sz w:val="18"/>
          <w:szCs w:val="18"/>
          <w:i w:val="1"/>
          <w:iCs w:val="1"/>
          <w:color w:val="auto"/>
        </w:rPr>
        <w:t>Note 7. Collaboration and Licensing Agreements</w:t>
      </w:r>
      <w:r>
        <w:rPr>
          <w:rFonts w:ascii="Times New Roman" w:cs="Times New Roman" w:eastAsia="Times New Roman" w:hAnsi="Times New Roman"/>
          <w:sz w:val="18"/>
          <w:szCs w:val="18"/>
          <w:color w:val="auto"/>
        </w:rPr>
        <w:t xml:space="preserve"> and “Licensing Revenue Recognition” caption of </w:t>
      </w:r>
      <w:r>
        <w:rPr>
          <w:rFonts w:ascii="Times New Roman" w:cs="Times New Roman" w:eastAsia="Times New Roman" w:hAnsi="Times New Roman"/>
          <w:sz w:val="18"/>
          <w:szCs w:val="18"/>
          <w:i w:val="1"/>
          <w:iCs w:val="1"/>
          <w:color w:val="auto"/>
        </w:rPr>
        <w:t>Note 2.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Policies </w:t>
      </w:r>
      <w:r>
        <w:rPr>
          <w:rFonts w:ascii="Times New Roman" w:cs="Times New Roman" w:eastAsia="Times New Roman" w:hAnsi="Times New Roman"/>
          <w:sz w:val="18"/>
          <w:szCs w:val="18"/>
          <w:color w:val="auto"/>
        </w:rPr>
        <w:t>of our 2024 Form 10-K for more information on the nature, purpose, significant rights and obligations of the parties, as well as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for such revenue streams.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total revenues by collaboration partner:</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Fosun Pharma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Knight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licensing revenue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Kyowa Kirin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Knight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supply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Kyowa Kirin</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our current and non-current deferred revenue balances, which are all attributable to Kyowa Kirin:</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40" w:type="dxa"/>
            <w:vAlign w:val="bottom"/>
            <w:tcBorders>
              <w:bottom w:val="single" w:sz="8" w:color="auto"/>
            </w:tcBorders>
          </w:tcPr>
          <w:p>
            <w:pPr>
              <w:spacing w:after="0"/>
              <w:rPr>
                <w:sz w:val="20"/>
                <w:szCs w:val="20"/>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Non-Current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Non-Current</w:t>
            </w: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as of January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8,644</w:t>
            </w:r>
          </w:p>
        </w:tc>
      </w:tr>
      <w:tr>
        <w:trPr>
          <w:trHeight w:val="230"/>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product supply</w:t>
            </w:r>
          </w:p>
        </w:tc>
        <w:tc>
          <w:tcPr>
            <w:tcW w:w="22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5,213</w:t>
            </w:r>
          </w:p>
        </w:tc>
      </w:tr>
      <w:tr>
        <w:trPr>
          <w:trHeight w:val="230"/>
        </w:trPr>
        <w:tc>
          <w:tcPr>
            <w:tcW w:w="5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supply delivered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Reclassify amounts to be recognized in the next twelve months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(4,244)</w:t>
            </w:r>
          </w:p>
        </w:tc>
      </w:tr>
      <w:tr>
        <w:trPr>
          <w:trHeight w:val="248"/>
        </w:trPr>
        <w:tc>
          <w:tcPr>
            <w:tcW w:w="5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balance as of June 30,</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9,613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Significant developments and updates related to our collaboration and licensing agreements in the six months ended June 30, 2025 and 2024 are discussed below.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Kyowa Kirin</w:t>
      </w:r>
    </w:p>
    <w:p>
      <w:pPr>
        <w:spacing w:after="0" w:line="17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In February 2024, Kyowa Kirin announced the launch of tenapanor, marketed as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patients with CKD with hyperphosphatemia in Japan. In the three months ended March 31, 2024, we began to recognize non-cash royalty revenue related to the sale of future royalties, which was remitted to HCR in accordance with the HCR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Fosun Pharma</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February 2025, we announced the approval of an NDA for tenapanor for the control of hyperphosphatemia in adult patients with CKD undergoing hemodialysis by China’s Center for Drug Evaluation of the NMPA. This approval triggered a $5.0 million milestone to us under the terms of the Fosun Agreement, which was recorded as licensing revenue on our condensed statement of operations and comprehensive loss when earned during the 2025 first quarter and was received in April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AstraZeneca</w:t>
      </w:r>
    </w:p>
    <w:p>
      <w:pPr>
        <w:spacing w:after="0" w:line="175"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In connection with the AstraZeneca Termination Agreement, we recognized royalty expense as other cost of revenue in our condensed statements of operations and comprehensive loss of $3.8 million and $12.7 million in the three and six months ended June 30, 2025, and $7.9 million and $12.6 million in the three and six months ended June 30, 2024, respectively. As of June 30, 2025, we have fully recognized the $75.0 million royalty obligation.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DEFERRED ROYALTY OBLIGATION RELATED TO THE SALE OF FUTURE ROYALTIES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We and HCR have an agreement in which HCR agreed to pay up to $20.0 million in exchange for royalty payments and commercial milestone payments that we may receive under our Kyowa Kirin Agreement. See </w:t>
      </w:r>
      <w:r>
        <w:rPr>
          <w:rFonts w:ascii="Times New Roman" w:cs="Times New Roman" w:eastAsia="Times New Roman" w:hAnsi="Times New Roman"/>
          <w:sz w:val="18"/>
          <w:szCs w:val="18"/>
          <w:i w:val="1"/>
          <w:iCs w:val="1"/>
          <w:color w:val="auto"/>
        </w:rPr>
        <w:t>Note 8. Deferred Royalty Obligation Related to the Sale of Future Royalties</w:t>
      </w:r>
      <w:r>
        <w:rPr>
          <w:rFonts w:ascii="Times New Roman" w:cs="Times New Roman" w:eastAsia="Times New Roman" w:hAnsi="Times New Roman"/>
          <w:sz w:val="18"/>
          <w:szCs w:val="18"/>
          <w:color w:val="auto"/>
        </w:rPr>
        <w:t xml:space="preserve"> of our 2024 Form 10-K for further discussion on the nature, purpose, significant rights and obligations of the parties, as well as our accounting policies regarding the HCR Agreement.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related to the HCR Agreement is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80" w:type="dxa"/>
            <w:vAlign w:val="bottom"/>
          </w:tcPr>
          <w:p>
            <w:pPr>
              <w:spacing w:after="0"/>
              <w:rPr>
                <w:sz w:val="20"/>
                <w:szCs w:val="20"/>
                <w:color w:val="auto"/>
              </w:rPr>
            </w:pPr>
          </w:p>
        </w:tc>
        <w:tc>
          <w:tcPr>
            <w:tcW w:w="2720" w:type="dxa"/>
            <w:vAlign w:val="bottom"/>
            <w:gridSpan w:val="6"/>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(3,278)</w:t>
            </w:r>
          </w:p>
        </w:tc>
      </w:tr>
      <w:tr>
        <w:trPr>
          <w:trHeight w:val="234"/>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r>
      <w:tr>
        <w:trPr>
          <w:trHeight w:val="508"/>
        </w:trPr>
        <w:tc>
          <w:tcPr>
            <w:tcW w:w="20" w:type="dxa"/>
            <w:vAlign w:val="bottom"/>
          </w:tcPr>
          <w:p>
            <w:pPr>
              <w:spacing w:after="0"/>
              <w:rPr>
                <w:sz w:val="24"/>
                <w:szCs w:val="24"/>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royalty obligation balance as of January 1,</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r>
      <w:tr>
        <w:trPr>
          <w:trHeight w:val="229"/>
        </w:trPr>
        <w:tc>
          <w:tcPr>
            <w:tcW w:w="20" w:type="dxa"/>
            <w:vAlign w:val="bottom"/>
          </w:tcPr>
          <w:p>
            <w:pPr>
              <w:spacing w:after="0"/>
              <w:rPr>
                <w:sz w:val="19"/>
                <w:szCs w:val="19"/>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sale of future royalties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Royalty distributed to HCR</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Deferred royalty obligation balance as of June 30,</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23,104</w:t>
            </w:r>
          </w:p>
        </w:tc>
      </w:tr>
      <w:tr>
        <w:trPr>
          <w:trHeight w:val="21"/>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BORROWING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long-term borrowing under the 2022 Loan Agreement:</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9"/>
                <w:szCs w:val="19"/>
                <w:color w:val="auto"/>
              </w:rPr>
            </w:pPr>
          </w:p>
        </w:tc>
        <w:tc>
          <w:tcPr>
            <w:tcW w:w="4420" w:type="dxa"/>
            <w:vAlign w:val="bottom"/>
          </w:tcPr>
          <w:p>
            <w:pPr>
              <w:jc w:val="right"/>
              <w:ind w:right="1699"/>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19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20" w:type="dxa"/>
            <w:vAlign w:val="bottom"/>
            <w:tcBorders>
              <w:top w:val="single" w:sz="8" w:color="auto"/>
            </w:tcBorders>
            <w:shd w:val="clear" w:color="auto" w:fill="CCEEFF"/>
          </w:tcPr>
          <w:p>
            <w:pPr>
              <w:spacing w:after="0"/>
              <w:rPr>
                <w:sz w:val="17"/>
                <w:szCs w:val="17"/>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A Loan</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8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80" w:type="dxa"/>
            <w:vAlign w:val="bottom"/>
          </w:tcPr>
          <w:p>
            <w:pPr>
              <w:spacing w:after="0"/>
              <w:rPr>
                <w:sz w:val="18"/>
                <w:szCs w:val="18"/>
                <w:color w:val="auto"/>
              </w:rPr>
            </w:pPr>
          </w:p>
        </w:tc>
        <w:tc>
          <w:tcPr>
            <w:tcW w:w="44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7.95% + 0.022% + SOFR (subject to a floor of 1.0%)</w:t>
            </w: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B Loan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22,500</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7.95% + 0.022% + SOFR (subject to a floor of 1.0%)</w:t>
            </w: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C Loan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44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rPr>
              <w:t>4.25% + 0.022% + SOFR (subject to a floor of 4.7%)</w:t>
            </w: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D Loan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rPr>
              <w:t>4.00% + 0.022% + SOFR (subject to a floor of 4.7%)</w:t>
            </w: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E Loan</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4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color w:val="auto"/>
              </w:rPr>
              <w:t>—  4.00% + 0.022% + SOFR (subject to a floor of 4.7%)</w:t>
            </w: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principal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r>
      <w:tr>
        <w:trPr>
          <w:trHeight w:val="19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principal value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Pr>
          <w:p>
            <w:pPr>
              <w:spacing w:after="0"/>
              <w:rPr>
                <w:sz w:val="16"/>
                <w:szCs w:val="16"/>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Unamortized discount and debt issuance costs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shd w:val="clear" w:color="auto" w:fill="CCEEFF"/>
          </w:tcPr>
          <w:p>
            <w:pPr>
              <w:spacing w:after="0"/>
              <w:rPr>
                <w:sz w:val="19"/>
                <w:szCs w:val="19"/>
                <w:color w:val="auto"/>
              </w:rPr>
            </w:pPr>
          </w:p>
        </w:tc>
        <w:tc>
          <w:tcPr>
            <w:tcW w:w="4420" w:type="dxa"/>
            <w:vAlign w:val="bottom"/>
            <w:shd w:val="clear" w:color="auto" w:fill="CCEEFF"/>
          </w:tcPr>
          <w:p>
            <w:pPr>
              <w:spacing w:after="0"/>
              <w:rPr>
                <w:sz w:val="19"/>
                <w:szCs w:val="19"/>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Accreted value of final fee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8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r>
      <w:tr>
        <w:trPr>
          <w:trHeight w:val="212"/>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201,446</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150,853</w:t>
            </w:r>
          </w:p>
        </w:tc>
        <w:tc>
          <w:tcPr>
            <w:tcW w:w="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r>
      <w:tr>
        <w:trPr>
          <w:trHeight w:val="207"/>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r>
      <w:tr>
        <w:trPr>
          <w:trHeight w:val="237"/>
        </w:trPr>
        <w:tc>
          <w:tcPr>
            <w:tcW w:w="3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201,446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150,853</w:t>
            </w:r>
          </w:p>
        </w:tc>
        <w:tc>
          <w:tcPr>
            <w:tcW w:w="8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shd w:val="clear" w:color="auto" w:fill="CCEEFF"/>
          </w:tcPr>
          <w:p>
            <w:pPr>
              <w:spacing w:after="0"/>
              <w:rPr>
                <w:sz w:val="20"/>
                <w:szCs w:val="20"/>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we entered into an amendment to our 2022 Loan Agreement (the Fifth Amendment), by and among the Company, as borrower, SLR, as collateral agent and the lenders party thereto. The Fifth Amendment, among other things, (1) provided for the immediate draw of the principal amount of $50.0 million (the Term E Loan) on the closing date of the Fifth Amendment and (2) provides us with the option to draw an additional $100.0 million of committed senior secured term loans, consisting of two separate term loans, each in a principal amount of $50.0 million: (a) the first of which is available at the Company’s election through June 30, 2026 (the Term F Loan) and (b) the second of which is available at the Company’s election through December 20, 2026 (the Term G Loan and, together with the Term F Loan, the Incremental Term Loans). We concluded that the Fifth Amendment was a modification to the 2022 Loan Agreement and is accounted for accordingly.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for each of the Incremental Term Loans, if drawn, will be 4.95% plus the 1-month CME Term SOFR reference rate as published by the CME Term SOFR Administrator on the CME Term SOFR Administrator’s Website, subject to a SOFR floor of 3.50%. On the closing date of the Fifth Amendment, we paid (i) a fee of $0.3 million in connection with the funding of the Term E Loan, and (ii) a facility fee of $1.0 million with respect to the Incremental Term Loans.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Fifth Amendment, the maturity date for the Term E Loan (and the other outstanding term loans) remains July 1, 2028. We are permitted to make interest-only payments on the Term E Loan (and the other outstanding term loans) through July 1, 2028. The maturity date for each of the Incremental Term Loans will be July 1, 2030. We will be permitted to make interest-only payments on the Incremental Term Loans from the date each of the Incremental Term Loans is drawn through July 1, 2030. We will be obligated to pay a final fee equal to 3.45% of the aggregate original principal amount of the Incremental Term Loans, to the extent such loans are funded, upon the earliest of any final termination, acceleration, prepayment or July 1, 2030.</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2022 Loan Agreement contains certain covenants, including a single financial covenant that the sum of our net product revenue, calculated on a trailing six (6) month basis, plus unrestricted cash and cash equivalents that are subject to a first-priority perfected lien in favor of SLR, shall be greater than or equal to 100% of the principal amount outstanding under the 2022 Loan Agreement. In addition, the 2022 Loan Agreement contains subjective acceleration clauses to accelerate the maturity of outstanding principal amount in the event that a material adverse change has occurred within the business, operations or financial condition of the Company. As of June 30, 2025, the Company believes that the likelihood of the acceleration of the maturity due to subjective acceleration clauses is remote.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unaccreted final fee was $7.1 million and $5.4 million as of June 30, 2025 and December 31, 2024, respectively.</w:t>
      </w:r>
    </w:p>
    <w:p>
      <w:pPr>
        <w:spacing w:after="0" w:line="171"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As of June 30, 2025, our total future payment obligation related to the outstanding balance of the term loans, excluding interest payments, was $209.9 million, which is due on July 1, 2028.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details of our facility leases presented in our condensed balance sheets:</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Facilities</w:t>
            </w: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2,380</w:t>
            </w:r>
          </w:p>
        </w:tc>
      </w:tr>
      <w:tr>
        <w:trPr>
          <w:trHeight w:val="257"/>
        </w:trPr>
        <w:tc>
          <w:tcPr>
            <w:tcW w:w="7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1,562</w:t>
            </w: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r>
      <w:tr>
        <w:trPr>
          <w:trHeight w:val="248"/>
        </w:trPr>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2,585</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term (in years)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costs, which are included in operating expenses in our condensed statements of operations and comprehensive loss,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06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4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20"/>
                <w:szCs w:val="20"/>
                <w:color w:val="auto"/>
              </w:rPr>
            </w:pPr>
          </w:p>
        </w:tc>
      </w:tr>
      <w:tr>
        <w:trPr>
          <w:trHeight w:val="454"/>
        </w:trPr>
        <w:tc>
          <w:tcPr>
            <w:tcW w:w="9720" w:type="dxa"/>
            <w:vAlign w:val="bottom"/>
            <w:gridSpan w:val="12"/>
          </w:tcPr>
          <w:p>
            <w:pPr>
              <w:jc w:val="right"/>
              <w:ind w:right="360"/>
              <w:spacing w:after="0"/>
              <w:rPr>
                <w:sz w:val="20"/>
                <w:szCs w:val="20"/>
                <w:color w:val="auto"/>
              </w:rPr>
            </w:pPr>
            <w:r>
              <w:rPr>
                <w:rFonts w:ascii="Times New Roman" w:cs="Times New Roman" w:eastAsia="Times New Roman" w:hAnsi="Times New Roman"/>
                <w:sz w:val="18"/>
                <w:szCs w:val="18"/>
                <w:color w:val="auto"/>
                <w:w w:val="99"/>
              </w:rPr>
              <w:t>The following table summarizes our undiscounted cash payment obligations for our operating lease liabilities as of June 30, 2025: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Borders>
              <w:bottom w:val="single" w:sz="8" w:color="CCEEFF"/>
            </w:tcBorders>
          </w:tcPr>
          <w:p>
            <w:pPr>
              <w:spacing w:after="0"/>
              <w:rPr>
                <w:sz w:val="24"/>
                <w:szCs w:val="24"/>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20" w:type="dxa"/>
            <w:vAlign w:val="bottom"/>
            <w:tcBorders>
              <w:bottom w:val="single" w:sz="8" w:color="auto"/>
            </w:tcBorders>
          </w:tcPr>
          <w:p>
            <w:pPr>
              <w:spacing w:after="0"/>
              <w:rPr>
                <w:sz w:val="24"/>
                <w:szCs w:val="24"/>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2025</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tcPr>
          <w:p>
            <w:pPr>
              <w:spacing w:after="0"/>
              <w:rPr>
                <w:sz w:val="19"/>
                <w:szCs w:val="19"/>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0" w:type="dxa"/>
            <w:vAlign w:val="bottom"/>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19"/>
                <w:szCs w:val="19"/>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Imputed interest expenses</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Borders>
              <w:bottom w:val="single" w:sz="8" w:color="auto"/>
            </w:tcBorders>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10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 w:type="dxa"/>
            <w:vAlign w:val="bottom"/>
            <w:tcBorders>
              <w:bottom w:val="single" w:sz="8" w:color="auto"/>
            </w:tcBorders>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STOCKHOLDERS’ EQUITY</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In the six months ended June 30, 2025, we completed no sales pursuant to the 2023 Open Market Sales Agreement. As of June 30, 2025, we have completed sales pursuant to the 2023 Open Market Sales Agreement, resulting in the issuance of 16.8 million shares of our common stock and receipt of gross proceeds of $70.0 million at a weighted average sales price of approximately $4.17.</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EQUITY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recognized for stock options, RSUs and our ESPP is recorded as operating expenses in our condensed statements of operations and comprehensive loss,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total unrecognized stock-based compensation expense, net of estimated forfeitures, as of June 30, 2025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20" w:type="dxa"/>
            <w:vAlign w:val="bottom"/>
          </w:tcPr>
          <w:p>
            <w:pPr>
              <w:spacing w:after="0"/>
              <w:rPr>
                <w:sz w:val="17"/>
                <w:szCs w:val="17"/>
                <w:color w:val="auto"/>
              </w:rPr>
            </w:pPr>
          </w:p>
        </w:tc>
        <w:tc>
          <w:tcPr>
            <w:tcW w:w="24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Unrecognized Compensation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Remaining</w:t>
            </w:r>
          </w:p>
        </w:tc>
      </w:tr>
      <w:tr>
        <w:trPr>
          <w:trHeight w:val="176"/>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gridSpan w:val="2"/>
          </w:tcPr>
          <w:p>
            <w:pPr>
              <w:jc w:val="center"/>
              <w:ind w:right="4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20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Vesting Period</w:t>
            </w:r>
          </w:p>
        </w:tc>
      </w:tr>
      <w:tr>
        <w:trPr>
          <w:trHeight w:val="241"/>
        </w:trPr>
        <w:tc>
          <w:tcPr>
            <w:tcW w:w="6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r>
      <w:tr>
        <w:trPr>
          <w:trHeight w:val="22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grants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56,171</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 grants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70,930</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and related information for the six months ended June 30, 2025 is as follows: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2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2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38"/>
        </w:trPr>
        <w:tc>
          <w:tcPr>
            <w:tcW w:w="67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6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6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0"/>
        </w:trPr>
        <w:tc>
          <w:tcPr>
            <w:tcW w:w="67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Options forfeited or canceled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23"/>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as of June 30, 2025</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0"/>
        </w:trPr>
        <w:tc>
          <w:tcPr>
            <w:tcW w:w="67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RSUs activity and related information for the six months ended June 30, 2025 is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740" w:type="dxa"/>
            <w:vAlign w:val="bottom"/>
          </w:tcPr>
          <w:p>
            <w:pPr>
              <w:spacing w:after="0"/>
              <w:rPr>
                <w:sz w:val="18"/>
                <w:szCs w:val="18"/>
                <w:color w:val="auto"/>
              </w:rPr>
            </w:pPr>
          </w:p>
        </w:tc>
        <w:tc>
          <w:tcPr>
            <w:tcW w:w="2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 of RSUs</w:t>
            </w:r>
          </w:p>
        </w:tc>
        <w:tc>
          <w:tcPr>
            <w:tcW w:w="140" w:type="dxa"/>
            <w:vAlign w:val="bottom"/>
          </w:tcPr>
          <w:p>
            <w:pPr>
              <w:spacing w:after="0"/>
              <w:rPr>
                <w:sz w:val="18"/>
                <w:szCs w:val="18"/>
                <w:color w:val="auto"/>
              </w:rPr>
            </w:pPr>
          </w:p>
        </w:tc>
        <w:tc>
          <w:tcPr>
            <w:tcW w:w="1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 Value</w:t>
            </w:r>
          </w:p>
        </w:tc>
        <w:tc>
          <w:tcPr>
            <w:tcW w:w="0" w:type="dxa"/>
            <w:vAlign w:val="bottom"/>
          </w:tcPr>
          <w:p>
            <w:pPr>
              <w:spacing w:after="0"/>
              <w:rPr>
                <w:sz w:val="1"/>
                <w:szCs w:val="1"/>
                <w:color w:val="auto"/>
              </w:rPr>
            </w:pPr>
          </w:p>
        </w:tc>
      </w:tr>
      <w:tr>
        <w:trPr>
          <w:trHeight w:val="243"/>
        </w:trPr>
        <w:tc>
          <w:tcPr>
            <w:tcW w:w="6740" w:type="dxa"/>
            <w:vAlign w:val="bottom"/>
          </w:tcPr>
          <w:p>
            <w:pPr>
              <w:spacing w:after="0"/>
              <w:rPr>
                <w:sz w:val="21"/>
                <w:szCs w:val="21"/>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1"/>
                <w:szCs w:val="21"/>
                <w:color w:val="auto"/>
              </w:rPr>
            </w:pPr>
          </w:p>
        </w:tc>
        <w:tc>
          <w:tcPr>
            <w:tcW w:w="19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0" w:type="dxa"/>
            <w:vAlign w:val="bottom"/>
          </w:tcPr>
          <w:p>
            <w:pPr>
              <w:spacing w:after="0"/>
              <w:rPr>
                <w:sz w:val="1"/>
                <w:szCs w:val="1"/>
                <w:color w:val="auto"/>
              </w:rPr>
            </w:pPr>
          </w:p>
        </w:tc>
      </w:tr>
      <w:tr>
        <w:trPr>
          <w:trHeight w:val="223"/>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as of December 31, 2024</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 as of June 30, 2025</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issued approximately 0.2 million shares of our common stock under the ESPP. The shares were purchased by employees at an average purchase price of $4.56 per share, resulting in proceeds to us of approximately $1.0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for Services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we issued 0.1 million shares of our common stock to members of the board of directors who elected to receive stock in lieu of their cash fees under our Non-Employee Director Compensation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REPORTING</w:t>
      </w:r>
    </w:p>
    <w:p>
      <w:pPr>
        <w:spacing w:after="0" w:line="1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We operate in a single reportable segment. The CODM primarily uses aggregated net loss as reported on the condensed statements of operations and comprehensive loss to measure segment loss, supplemented by certain additional significant expense details reflected in the table below. There have been no changes in the determination of segmentation or the measurements used to determine reported segment loss discussed in our 2024 Form 10-K. See </w:t>
      </w:r>
      <w:r>
        <w:rPr>
          <w:rFonts w:ascii="Times New Roman" w:cs="Times New Roman" w:eastAsia="Times New Roman" w:hAnsi="Times New Roman"/>
          <w:sz w:val="18"/>
          <w:szCs w:val="18"/>
          <w:i w:val="1"/>
          <w:iCs w:val="1"/>
          <w:color w:val="auto"/>
        </w:rPr>
        <w:t>Note</w:t>
      </w:r>
    </w:p>
    <w:p>
      <w:pPr>
        <w:spacing w:after="0" w:line="1" w:lineRule="exact"/>
        <w:rPr>
          <w:sz w:val="20"/>
          <w:szCs w:val="20"/>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of our 2024 Form 10-K for more discussion on our segment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information regarding our single operating segment’s significant revenues, expenses and operating loss is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116,103</w:t>
            </w:r>
          </w:p>
        </w:tc>
      </w:tr>
      <w:tr>
        <w:trPr>
          <w:trHeight w:val="229"/>
        </w:trPr>
        <w:tc>
          <w:tcPr>
            <w:tcW w:w="51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r>
      <w:tr>
        <w:trPr>
          <w:trHeight w:val="22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119,245</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14,146</w:t>
            </w:r>
          </w:p>
        </w:tc>
      </w:tr>
      <w:tr>
        <w:trPr>
          <w:trHeight w:val="223"/>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16,564</w:t>
            </w:r>
          </w:p>
        </w:tc>
      </w:tr>
      <w:tr>
        <w:trPr>
          <w:trHeight w:val="230"/>
        </w:trPr>
        <w:tc>
          <w:tcPr>
            <w:tcW w:w="51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w:t>
            </w:r>
          </w:p>
        </w:tc>
      </w:tr>
      <w:tr>
        <w:trPr>
          <w:trHeight w:val="229"/>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expenses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76,692</w:t>
            </w:r>
          </w:p>
        </w:tc>
      </w:tr>
      <w:tr>
        <w:trPr>
          <w:trHeight w:val="230"/>
        </w:trPr>
        <w:tc>
          <w:tcPr>
            <w:tcW w:w="51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w:t>
            </w: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r>
      <w:tr>
        <w:trPr>
          <w:trHeight w:val="230"/>
        </w:trPr>
        <w:tc>
          <w:tcPr>
            <w:tcW w:w="51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8,902</w:t>
            </w:r>
          </w:p>
        </w:tc>
      </w:tr>
      <w:tr>
        <w:trPr>
          <w:trHeight w:val="223"/>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140,989</w:t>
            </w:r>
          </w:p>
        </w:tc>
      </w:tr>
      <w:tr>
        <w:trPr>
          <w:trHeight w:val="223"/>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loss from operations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w:t>
            </w:r>
          </w:p>
        </w:tc>
      </w:tr>
      <w:tr>
        <w:trPr>
          <w:trHeight w:val="230"/>
        </w:trPr>
        <w:tc>
          <w:tcPr>
            <w:tcW w:w="51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reconciliation items</w:t>
            </w:r>
            <w:r>
              <w:rPr>
                <w:rFonts w:ascii="Times New Roman" w:cs="Times New Roman" w:eastAsia="Times New Roman" w:hAnsi="Times New Roman"/>
                <w:sz w:val="23"/>
                <w:szCs w:val="23"/>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48"/>
        </w:trPr>
        <w:tc>
          <w:tcPr>
            <w:tcW w:w="5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Consolidated 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340" w:right="320" w:hanging="332"/>
        <w:spacing w:after="0" w:line="222" w:lineRule="auto"/>
        <w:tabs>
          <w:tab w:leader="none" w:pos="327"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 xml:space="preserve">“Other revenues” </w:t>
      </w:r>
      <w:r>
        <w:rPr>
          <w:rFonts w:ascii="Times New Roman" w:cs="Times New Roman" w:eastAsia="Times New Roman" w:hAnsi="Times New Roman"/>
          <w:sz w:val="14"/>
          <w:szCs w:val="14"/>
          <w:color w:val="auto"/>
        </w:rPr>
        <w:t>includes revenues from our collaboration partnerships, including licensing revenue, product supply revenue and non-cash royalty revenue related to the sale of future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royalties.</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Research and development, selling and general administrative expenses herein do not include certain allocated items, such as stock-based compensation expenses.</w:t>
      </w:r>
    </w:p>
    <w:p>
      <w:pPr>
        <w:spacing w:after="0" w:line="14" w:lineRule="exact"/>
        <w:rPr>
          <w:rFonts w:ascii="Times New Roman" w:cs="Times New Roman" w:eastAsia="Times New Roman" w:hAnsi="Times New Roman"/>
          <w:sz w:val="9"/>
          <w:szCs w:val="9"/>
          <w:color w:val="auto"/>
        </w:rPr>
      </w:pPr>
    </w:p>
    <w:p>
      <w:pPr>
        <w:ind w:left="340" w:right="60" w:hanging="332"/>
        <w:spacing w:after="0" w:line="221" w:lineRule="auto"/>
        <w:tabs>
          <w:tab w:leader="none" w:pos="327"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 xml:space="preserve">“Other segment expenses” </w:t>
      </w:r>
      <w:r>
        <w:rPr>
          <w:rFonts w:ascii="Times New Roman" w:cs="Times New Roman" w:eastAsia="Times New Roman" w:hAnsi="Times New Roman"/>
          <w:sz w:val="14"/>
          <w:szCs w:val="14"/>
          <w:color w:val="auto"/>
        </w:rPr>
        <w:t>primarily consists of allocated facilities, information technology and employee costs of approximately $3.2 million and $7.9 million for the three and six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June 30, 2025, and $4.6 million and $8.3 million for the three and six months ended June 30, 2024, respectively.</w:t>
      </w:r>
    </w:p>
    <w:p>
      <w:pPr>
        <w:spacing w:after="0" w:line="1" w:lineRule="exact"/>
        <w:rPr>
          <w:rFonts w:ascii="Times New Roman" w:cs="Times New Roman" w:eastAsia="Times New Roman" w:hAnsi="Times New Roman"/>
          <w:sz w:val="19"/>
          <w:szCs w:val="19"/>
          <w:color w:val="auto"/>
          <w:vertAlign w:val="superscript"/>
        </w:rPr>
      </w:pPr>
    </w:p>
    <w:p>
      <w:pPr>
        <w:ind w:left="320" w:hanging="312"/>
        <w:spacing w:after="0" w:line="192" w:lineRule="auto"/>
        <w:tabs>
          <w:tab w:leader="none" w:pos="32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i w:val="1"/>
          <w:iCs w:val="1"/>
          <w:color w:val="auto"/>
        </w:rPr>
        <w:t xml:space="preserve">“Other reconciliation items” </w:t>
      </w:r>
      <w:r>
        <w:rPr>
          <w:rFonts w:ascii="Times New Roman" w:cs="Times New Roman" w:eastAsia="Times New Roman" w:hAnsi="Times New Roman"/>
          <w:sz w:val="14"/>
          <w:szCs w:val="14"/>
          <w:color w:val="auto"/>
        </w:rPr>
        <w:t>includes interest expense, non-cash interest expense related to the sale of future royalties, provision for income taxes and other income, net.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and excludes any dilutive effect of stock-based awards. Diluted net loss per common share is computed giving effect to all potential dilutive common shares, including common stock issuable upon exercise of stock options, unvested restricted stock units and ESPP shares issuable pursuant to the current purchase period. As we had net losses for the six months ended June 30, 2025 and 2024, all potential common shares were determined to be anti-dilutive during those periods.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net loss per common share:</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233,819</w:t>
            </w:r>
          </w:p>
        </w:tc>
      </w:tr>
      <w:tr>
        <w:trPr>
          <w:trHeight w:val="223"/>
        </w:trPr>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per share of common stock - basic and diluted</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total numbers of securities that could potentially dilute net income per share in the future that were not considered in the diluted net loss per share calculations because the effect would have been anti-dilutive were as follows: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0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9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27,250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7,971</w:t>
            </w: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11,993</w:t>
            </w:r>
          </w:p>
        </w:tc>
        <w:tc>
          <w:tcPr>
            <w:tcW w:w="1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7,497</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shares issuable</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44,406</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35,957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42,070</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34,944</w:t>
            </w:r>
          </w:p>
        </w:tc>
      </w:tr>
      <w:tr>
        <w:trPr>
          <w:trHeight w:val="20"/>
        </w:trPr>
        <w:tc>
          <w:tcPr>
            <w:tcW w:w="5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(together, the Go and Morris actions).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motion(s) to dismiss in the lawsuits captioned Strezsak v. Ardelyx, Inc., et al., Case No. 4:21-cv-05868-HSG, and Siegel v. Ardelyx, Inc., et al., Case No. 5:21-cv-06228-HSG (together,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The Securities Class Actions were voluntarily dismissed on March 5, 2025. The court dismissed the Go and Morris actions on April 30, 2025.</w:t>
      </w:r>
    </w:p>
    <w:p>
      <w:pPr>
        <w:spacing w:after="0" w:line="1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July 17, 2024, in partnership with the AAKP and the NMQF, we filed a lawsuit in the U.S. District Court for the District of Columbia against CMS, claiming that CMS has violated its statutory and regulatory authority under MIPPA, which established the ESRD PPS bundled payment system for dialysis services in 2008. Specifically, the lawsuit claims that moving XPHOZAH, along with all oral-only drugs, into the ESRD PPS is inconsistent with MIPPA’s statutory provision, and contradicts CMS’s own regulations. XPHOZAH and other oral-only drugs, are not administered by dialysis providers and cannot be taken during the delivery of maintenance dialysis. On November 8, 2024, the U.S. District Court for the District of Columbia granted defendants’ Motion to Dismiss and denied plaintiffs Motion for Preliminary Injunction, or in the Alternative, for Expedited Summary Judgment. Following the District Court’s denial of plaintiffs’ Motion to Alter or Amend the Judgment, or in the Alternative, for an Injunction Pending Appeal, plaintiffs filed an Emergency Motion for an Administrative Stay and Injunction Pending Appeal, which was denied by the United States Court of Appeals for the District of Columbia Circuit. Appellants filed an initial brief in the appeal on February 4, 2025; Appellees filed an initial brief on March 6, 2025; and Appellants filed a reply brief March 27, 2025. Both Appellees and Appellants filed a final brief on April 10, 2025. Oral argument in the case has been scheduled for September 25,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August 16, 2024, a complaint was filed against us in the U.S. District Court of Massachusetts, captioned Yarborough v. Ardelyx, Inc., et al., No. 24-cv-12119 (D. Mass.). The complaint names the Company, Mike Raab, and Justin Renz as defendants and alleges violations of Sections 10(b) and 20(a) the Exchange Act and Rule 10b-5 promulgated thereunder, related to the our announcement on July 2, 2024 that it had chosen not to file an application for Transitional Drug Add-on Payment Adjustment for XPHOZAH (the “Yarborough Action”). The plaintiffs seek damages and interest, and an award of costs, including attorneys’ fees. The Court appointed Tate Wood as lead plaintiff on October 30, 2024. The lead plaintiff filed an amended complaint on January 13, 2025, in which he added Susan Rodriguez, Laura Williams and Elizabeth Grammer as additional defendants and removed Justin Renz as a defendant. The lead plaintiff purports to bring claims on behalf of all those who acquired Ardelyx common stock between February 22, 2024 and July 1, 2024. Defendants filed a motion to dismiss the amended complaint on March 14, 2025. Plaintiffs filed a response on May 13, 2025. Defendants filed a reply to plaintiffs’ response on June 23, 2025. We believe the plaintiffs’ claims are without merit.</w:t>
      </w:r>
    </w:p>
    <w:p>
      <w:pPr>
        <w:spacing w:after="0" w:line="13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In re Ardelyx, Inc. Stockholder Derivative Litigation, Case No. 1:24-cv-12302-LTS (D. Mass.). On November 7, 2024, the Court stayed the consolidated derivative action pending resolution of any and all motion(s) to dismiss in the Yarborough Action. We believe the plaintiffs’ claims are without merit.</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As of June 30, 2025, there is no litigation pending that would reasonably be expected to have a material adverse effect on our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2024 Form 10-K.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5"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18"/>
          <w:szCs w:val="18"/>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for the treatment of adults with IBS-C. Tenapanor, branded as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is approved in the U.S. to reduce serum phosphorus in adults with CKD on dialysis as add-on therapy in patients who have an inadequate response to phosphate binders or who are intolerant of any dose of phosphate binder therapy.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the </w:t>
      </w:r>
      <w:r>
        <w:rPr>
          <w:rFonts w:ascii="Times New Roman" w:cs="Times New Roman" w:eastAsia="Times New Roman" w:hAnsi="Times New Roman"/>
          <w:sz w:val="18"/>
          <w:szCs w:val="18"/>
          <w:i w:val="1"/>
          <w:iCs w:val="1"/>
          <w:color w:val="auto"/>
        </w:rPr>
        <w:t>Summary of Abbreviated Terms</w:t>
      </w:r>
      <w:r>
        <w:rPr>
          <w:rFonts w:ascii="Times New Roman" w:cs="Times New Roman" w:eastAsia="Times New Roman" w:hAnsi="Times New Roman"/>
          <w:sz w:val="18"/>
          <w:szCs w:val="18"/>
          <w:color w:val="auto"/>
        </w:rPr>
        <w:t xml:space="preserve"> at the end of this Quarterly Report on Form 10-Q for definitions of terms used throughout the document.</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committed to our mission of discovering, developing and commercializing first-in-class medicines that address unmet patient needs. Our principal strategy is to maintain our commercial momentum with our current products while identifying additional assets that leverage our core capabilities, including clinical, developmental and regulatory expertise and commercial excellence while maintaining a solid financial foundation, to support our future growth.</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priorities include: (i) accelerating IBSRELA growth momentum; (ii) executing our XPHOZAH strategy to grow utilization; (iii) building a pipeline focused on areas of unmet patient need; and (iv) continuing to deliver strong commercial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February 2025, we announced the approval of an NDA for tenapanor for the control of hyperphosphatemia in adult patients with CKD undergoing hemodialysis by China’s Center for Drug Evaluation of the NMPA. This approval triggered a $5.0 million milestone to us under the terms of the Fosun Agreement, which was recorded as licensing revenue on our condensed statement of operations and comprehensive loss when earned during the 2025 first quarter and was received in April 2025.</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we have fully recognized the $75.0 million royalty obligation under the AstraZeneca Termination Agreement.</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we entered into an amendment to our 2022 Loan Agreement (the Fifth Amendment), by and among the Company, as borrower, SLR, as collateral agent and the lenders party thereto. The Fifth Amendment, among other things, (1) provided for the immediate draw of the principal amount of $50.0 million (the Term E Loan) on the closing date of the Fifth Amendment and (2) provides us with the option to draw an additional $100.0 million of committed senior secured term loans, consisting of two separate term loans, each in a principal amount of $50.0 million: (a) the first of which is available at the Company’s election through June 30, 2026 (the Term F Loan) and (b) the second of which is available at the Company’s election through December 20, 2026 (the Term G Loan and, together with the Term F Loan, the Incremental Term Loans).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rate for the Term E Loan is 4.00% plus a rate equal to 0.022% plus 1-month SOFR reference rate, subject to a SOFR floor of 4.7%. The interest rate for each of the Incremental Term Loans, if drawn, will be 4.95% plus the 1-month CME Term SOFR reference rate as published by the CME Term SOFR Administrator on the CME Term SOFR Administrator’s Website, subject to a SOFR floor of 3.50%. On the closing date of the Fifth Amendment, we paid (i) a fee of $0.3 million in connection with the funding of the Term E Loan, and (ii) a facility fee of $1.0 million with respect to the Incremental Term Loans.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six months ended June 30, 2025 are not necessarily indicative of results to be expected for the entire year ending December 31, 2025, or for any other interim period or future year. See Part II, Item 7, “Management’s Discussion and Analysis of Financial Condition and Results of Operations,” of our 2024 Form 10-K to enhance the understanding of our financial metrics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total revenues: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11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18"/>
                <w:szCs w:val="18"/>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8"/>
                <w:szCs w:val="18"/>
                <w:color w:val="auto"/>
              </w:rPr>
            </w:pPr>
          </w:p>
        </w:tc>
      </w:tr>
      <w:tr>
        <w:trPr>
          <w:trHeight w:val="238"/>
        </w:trPr>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28"/>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supply revenue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Licensing revenue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175"/>
        </w:trPr>
        <w:tc>
          <w:tcPr>
            <w:tcW w:w="2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royalty revenue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4"/>
        </w:trPr>
        <w:tc>
          <w:tcPr>
            <w:tcW w:w="22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related to the sale of future</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48"/>
        </w:trPr>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04" w:lineRule="exact"/>
        <w:rPr>
          <w:sz w:val="20"/>
          <w:szCs w:val="20"/>
          <w:color w:val="auto"/>
        </w:rPr>
      </w:pPr>
    </w:p>
    <w:p>
      <w:pPr>
        <w:ind w:left="360" w:hanging="352"/>
        <w:spacing w:after="0"/>
        <w:tabs>
          <w:tab w:leader="none" w:pos="3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Percent change is not meaningful.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product sales, net by product:</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120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80" w:type="dxa"/>
            <w:vAlign w:val="bottom"/>
          </w:tcPr>
          <w:p>
            <w:pPr>
              <w:spacing w:after="0"/>
              <w:rPr>
                <w:sz w:val="18"/>
                <w:szCs w:val="18"/>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 vs. 2024</w:t>
            </w:r>
          </w:p>
        </w:tc>
      </w:tr>
      <w:tr>
        <w:trPr>
          <w:trHeight w:val="27"/>
        </w:trPr>
        <w:tc>
          <w:tcPr>
            <w:tcW w:w="2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3"/>
        </w:trPr>
        <w:tc>
          <w:tcPr>
            <w:tcW w:w="2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2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IBSRELA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29,600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45,642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29"/>
        </w:trPr>
        <w:tc>
          <w:tcPr>
            <w:tcW w:w="2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XPHOZAH</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17,486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41,788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0"/>
        </w:trPr>
        <w:tc>
          <w:tcPr>
            <w:tcW w:w="2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7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increase in IBSRELA product sales, net in the three and six months ended June 30, 2025 primarily reflected higher demand, driven by continued increase in awareness and prescriber experience, and to a lesser extent, higher net price.</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decrease in XPHOZAH product sales, net in the three and six months ended June 30, 2025 primarily reflected lower demand and lower net price, driven by the loss of XPHOZAH Medicare Part D reimbursement. As of January 1, 2025, the Centers of Medicare and Medicaid Services officially began the transition of oral only therapies, including XPHOZAH, into the End Stage Renal Disease Prospective Payment System. This decrease was partially offset by continued growth in other channels.</w:t>
      </w:r>
    </w:p>
    <w:p>
      <w:pPr>
        <w:spacing w:after="0" w:line="12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decrease in XPHOZAH product sales, net in the six months ended June 30, 2025 included the release of $3.8 million of prior periods’ estimated product returns for XPHOZAH in the 2025 first quarter.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supply revenue:</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Product supply revenue is primarily impacted by the timing of product supply shipments to our collaboration partners under our product supply agreements in support of non-U.S. launches. The product supply revenue was primarily attributable to Kyowa Kirin in the three and six months ended June 30,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7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Licensing revenue is primarily impacted by the timing of regulatory and commercial milestone achievements from our collaboration partners, as well as sales-based royalties received from Knight.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licensing revenue in the six months ended June 30, 2025 was primarily attributable to a $5.0 million milestone under the terms of the Fosun Agreement upon approval of an NDA for tenapanor for the control of hyperphosphatemia in adult patients with CKD undergoing hemodialysis by China’s Center for Drug Evaluation of the NMPA.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royalty revenue:</w:t>
      </w:r>
    </w:p>
    <w:p>
      <w:pPr>
        <w:spacing w:after="0" w:line="17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non-cash royalty revenue in the three and six months ended June 30, 2025 reflected royalties from Kyowa Kirin for sales of PHOZEVEL in Japan, which was launched in February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GTN Adjustments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gross product sales to product sales, net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16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40" w:type="dxa"/>
            <w:vAlign w:val="bottom"/>
          </w:tcPr>
          <w:p>
            <w:pPr>
              <w:spacing w:after="0"/>
              <w:rPr>
                <w:sz w:val="18"/>
                <w:szCs w:val="18"/>
                <w:color w:val="auto"/>
              </w:rPr>
            </w:pPr>
          </w:p>
        </w:tc>
        <w:tc>
          <w:tcPr>
            <w:tcW w:w="114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131,187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33,487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227,919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67,692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2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GTN adjustments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(41,110)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(25,109)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(70,028)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48"/>
        </w:trPr>
        <w:tc>
          <w:tcPr>
            <w:tcW w:w="21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17,486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41,788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bottom w:val="single" w:sz="8" w:color="CCEEFF"/>
            </w:tcBorders>
            <w:vMerge w:val="restart"/>
          </w:tcPr>
          <w:p>
            <w:pPr>
              <w:ind w:left="240"/>
              <w:spacing w:after="0" w:line="163" w:lineRule="exact"/>
              <w:rPr>
                <w:sz w:val="20"/>
                <w:szCs w:val="20"/>
                <w:color w:val="auto"/>
              </w:rPr>
            </w:pPr>
            <w:r>
              <w:rPr>
                <w:rFonts w:ascii="Times New Roman" w:cs="Times New Roman" w:eastAsia="Times New Roman" w:hAnsi="Times New Roman"/>
                <w:sz w:val="18"/>
                <w:szCs w:val="18"/>
                <w:color w:val="auto"/>
              </w:rPr>
              <w:t>GTN adjustment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1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increase in GTN adjustment percentage in the three and six months ended June 30, 2025 reflected the unfavorable payor mix shifts, primarily associated with loss of XPHOZAH Medicare Part D reimbursement.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GTN adjustment percentage in the six months ended June 30, 2025 included the favorable impact of a change in prior periods’ estimate of expected returns of XPHOZAH, which occurred in the 2025 first quarter.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activities and ending reserve balances for each significant category of GTN adjustments on product sales, net, which constitute variable consideration, were as follows: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Discounts and</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Rebates,</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Copay Assistance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Wholesaler and</w:t>
            </w:r>
          </w:p>
        </w:tc>
        <w:tc>
          <w:tcPr>
            <w:tcW w:w="15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2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Chargebacks</w:t>
            </w:r>
          </w:p>
        </w:tc>
        <w:tc>
          <w:tcPr>
            <w:tcW w:w="100" w:type="dxa"/>
            <w:vAlign w:val="bottom"/>
          </w:tcPr>
          <w:p>
            <w:pPr>
              <w:spacing w:after="0"/>
              <w:rPr>
                <w:sz w:val="21"/>
                <w:szCs w:val="21"/>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GPO Fees</w:t>
            </w:r>
          </w:p>
        </w:tc>
        <w:tc>
          <w:tcPr>
            <w:tcW w:w="180" w:type="dxa"/>
            <w:vAlign w:val="bottom"/>
          </w:tcPr>
          <w:p>
            <w:pPr>
              <w:spacing w:after="0"/>
              <w:rPr>
                <w:sz w:val="21"/>
                <w:szCs w:val="21"/>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Returns</w:t>
            </w:r>
          </w:p>
        </w:tc>
        <w:tc>
          <w:tcPr>
            <w:tcW w:w="3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14,475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27,288</w:t>
            </w:r>
          </w:p>
        </w:tc>
        <w:tc>
          <w:tcPr>
            <w:tcW w:w="0" w:type="dxa"/>
            <w:vAlign w:val="bottom"/>
          </w:tcPr>
          <w:p>
            <w:pPr>
              <w:spacing w:after="0"/>
              <w:rPr>
                <w:sz w:val="1"/>
                <w:szCs w:val="1"/>
                <w:color w:val="auto"/>
              </w:rPr>
            </w:pPr>
          </w:p>
        </w:tc>
      </w:tr>
      <w:tr>
        <w:trPr>
          <w:trHeight w:val="229"/>
        </w:trPr>
        <w:tc>
          <w:tcPr>
            <w:tcW w:w="52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Provisions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9,533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45,046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70,028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Credits/payments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(9,657)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(38,520)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rPr>
              <w:t>(65,253)</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650"/>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21,001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rPr>
              <w:t>32,063</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Provisions included approximately $3.8 million of favorable adjustment in the 2025 first quarter, resulting from changes in prior periods’ estimated product returns for XPHOZAH.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Below is a summary of our cost of goods sold, operating expenses, interest expense, non-cash interest expense related to the sale of future royalties and other income, net:</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2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cost of revenue</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184"/>
        </w:trPr>
        <w:tc>
          <w:tcPr>
            <w:tcW w:w="2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and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83,988</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167,210</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49,562</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8"/>
        </w:trPr>
        <w:tc>
          <w:tcPr>
            <w:tcW w:w="23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184"/>
        </w:trPr>
        <w:tc>
          <w:tcPr>
            <w:tcW w:w="2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related to the sale of future</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6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product sales: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increase in cost of product sales in the three and six months ended June 30, 2025 reflected higher product sales. A portion of the costs of IBSRELA and XPHOZAH units recognized as revenue during the three and six months ended June 30, 2025 was expensed as research and development expenses in periods prior to the commencement of capitalization of inventory costs for each respective product. The cost associated with inventory sold but previously expensed as research and development was $1.0 million and $1.7 million for the three and six months ended June 30, 2025, and $1.2 million and</w:t>
      </w:r>
    </w:p>
    <w:p>
      <w:pPr>
        <w:spacing w:after="0" w:line="3"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$2.4 million for the three and six months ended June 30, 2024, respectively. The value of inventory on hand as of June 30, 2025 and December 31, 2024 that was previously expensed as research and development was approximately $13.4 million and $19.6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cost of revenue:</w:t>
      </w:r>
    </w:p>
    <w:p>
      <w:pPr>
        <w:spacing w:after="0" w:line="17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increase in other cost of revenue in the three and six months ended June 30, 2025 primarily reflected higher product supply revenue and costs associated with that revenue.</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increase in other cost of revenue in the three months ended June 30, 2025 was partially offset by lower AstraZeneca royalties. Other cost of revenue related to the AstraZeneca Termination Agreement was $3.8 million and $12.7 million for the three and six months ended June 30, 2025, and $7.9 million and $12.6 million for the three and six months ended June 30, 2024, respectively. As of June 30, 2025, the total $75.0 million royalty obligation has been fully recognized.</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research and development expenses: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00" w:type="dxa"/>
            <w:vAlign w:val="bottom"/>
          </w:tcPr>
          <w:p>
            <w:pPr>
              <w:spacing w:after="0"/>
              <w:rPr>
                <w:sz w:val="17"/>
                <w:szCs w:val="17"/>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0" w:type="dxa"/>
            <w:vAlign w:val="bottom"/>
          </w:tcPr>
          <w:p>
            <w:pPr>
              <w:spacing w:after="0"/>
              <w:rPr>
                <w:sz w:val="1"/>
                <w:szCs w:val="1"/>
                <w:color w:val="auto"/>
              </w:rPr>
            </w:pPr>
          </w:p>
        </w:tc>
      </w:tr>
      <w:tr>
        <w:trPr>
          <w:trHeight w:val="228"/>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23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External R&amp;D and other</w:t>
            </w: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1,302</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Employee-related expenses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Facilities, equipment,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depreciation and other</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line="156" w:lineRule="exact"/>
              <w:rPr>
                <w:sz w:val="20"/>
                <w:szCs w:val="20"/>
                <w:color w:val="auto"/>
              </w:rPr>
            </w:pPr>
            <w:r>
              <w:rPr>
                <w:rFonts w:ascii="Times New Roman" w:cs="Times New Roman" w:eastAsia="Times New Roman" w:hAnsi="Times New Roman"/>
                <w:sz w:val="18"/>
                <w:szCs w:val="18"/>
                <w:color w:val="auto"/>
              </w:rPr>
              <w:t>Total research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tcPr>
          <w:p>
            <w:pPr>
              <w:spacing w:after="0"/>
              <w:rPr>
                <w:sz w:val="13"/>
                <w:szCs w:val="13"/>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2,904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expenses</w:t>
            </w:r>
          </w:p>
        </w:tc>
        <w:tc>
          <w:tcPr>
            <w:tcW w:w="1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increase in R&amp;D expenses in the three and six months ended June 30, 2025 primarily reflected the increase in employee-related expenses, driven by higher headcount to support medical engagement with scientific communities in the areas of gastroenterology and nephrology related to our marketed products, as well as higher external R&amp;D and other expenses associated with life cycle management. These increases included incremental stock-based compensation expenses of $0.1 million and $1.7 million in the three and six months ended June 30, 2025,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in the three and six months ended June 30, 2025 primarily reflected increased commercialization and administrative costs to support net sales growth of IBSRELA and XPHOZAH. The increases consisted of spending for disease awareness initiatives, patient affordability, access support and related patient awareness, as well as increased commercial infrastructure. In addition, these increases were attributable to increased headcount, including incremental stock-based compensation expenses of $0.8 million and $3.7 million in the three and six months ended June 30, 2025,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in the three and six months ended June 30, 2025 primarily reflected a higher loan balance resulting from the Term D Loan draw in October 2024.</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in the six months ended June 30, 2025 was also attributable to a full 2025 first quarter of interest expense related to the Term C Loan draw in March 2024, as compared to a partial 2024 first quarter of interest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Related to the Sale of Future Royalties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increase in non-cash interest expense related to the sale of future royalties in the three and six months ended June 30, 2025 primarily reflected the increasing outstanding balance of the deferred royalty obligation attributable to the imputed interest accrued on the outstanding balance, partially offset by royalties received from Kyowa Kirin related to the sale of PHOZEVEL, which were remitted to HCR.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Other income, net consists of interest income earned on our cash, cash equivalents and short-term investments and currency exchange gains and losses. In the three and six months ended June 30, 2024, other income, net also included the periodic revaluation of our previously outstanding 2022 Exit Fee related to our 2022 Loan Agreement that was settled in October 2024.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cash, cash equivalents and short-term investments: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60" w:type="dxa"/>
            <w:vAlign w:val="bottom"/>
          </w:tcPr>
          <w:p>
            <w:pPr>
              <w:spacing w:after="0"/>
              <w:rPr>
                <w:sz w:val="20"/>
                <w:szCs w:val="20"/>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20"/>
                <w:szCs w:val="20"/>
                <w:color w:val="auto"/>
              </w:rPr>
            </w:pPr>
          </w:p>
        </w:tc>
        <w:tc>
          <w:tcPr>
            <w:tcW w:w="1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25,113</w:t>
            </w:r>
          </w:p>
        </w:tc>
        <w:tc>
          <w:tcPr>
            <w:tcW w:w="8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7"/>
              </w:rPr>
              <w:t>(36,761)</w:t>
            </w:r>
          </w:p>
        </w:tc>
        <w:tc>
          <w:tcPr>
            <w:tcW w:w="2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3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liquid funds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w w:val="97"/>
              </w:rPr>
              <w:t>(11,648)</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regularly assess our cash position and our working capital needs to execute our strategy. Our primary uses of cash to date have been to fund research and development expenditures related to our development of tenapanor and to support the commercialization of our marketed products. We have funded our operations primarily from the sale of common stock, product sales, funds from our collaboration partnerships, funds from our loan agreements with SLR, as well as sale of future royalties to HCR. We expect that we will increasingly rely on cash generated from operations to fund our operating plan while maintaining financial flexibility from our ability to source cash from future equity sales and debt financing.</w:t>
      </w:r>
    </w:p>
    <w:p>
      <w:pPr>
        <w:spacing w:after="0" w:line="1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January 2023, we filed a registration statement on Form S-3, which became effective in January 2023,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In the six months ended June 30, 2025, we completed no sales pursuant to the 2023 Open Market Sales Agreement. As of June 30, 2025, we have completed sales pursuant to the 2023 Open Market Sales Agreement, resulting in the issuance of 16.8 million shares of our common stock and receipt of gross proceeds of $70.0 million at a weighted average sales price of approximately $4.17.</w:t>
      </w:r>
    </w:p>
    <w:p>
      <w:pPr>
        <w:spacing w:after="0" w:line="13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have a loan and security agreement (as amended, the 2022 Loan Agreement) with SLR. The 2022 Loan Agreement provides a total of $300.0 million, of which $200.0 million has been drawn and outstanding as of June 30, 2025, including $50.0 million of the Term E Loan drawn during the three months ended June 30, 2025. The additional available borrowings of $100.0 million consist of the Term F Loan and the Term G Loan, each in the amount of $50.0 million. The Term F Loan and the Term G Loan may be drawn at the Company’s election by June 30, 2026 and December 20, 2026, respectively. The borrowings under the 2022 Loan Agreement bear interest at SOFR plus a spread based on our public debt rating. We classify the outstanding borrowings under the 2022 Loan Agreement as long-term based on their maturity date. See </w:t>
      </w:r>
      <w:r>
        <w:rPr>
          <w:rFonts w:ascii="Times New Roman" w:cs="Times New Roman" w:eastAsia="Times New Roman" w:hAnsi="Times New Roman"/>
          <w:sz w:val="18"/>
          <w:szCs w:val="18"/>
          <w:i w:val="1"/>
          <w:iCs w:val="1"/>
          <w:color w:val="auto"/>
        </w:rPr>
        <w:t>Note 9. Borrowing</w:t>
      </w:r>
      <w:r>
        <w:rPr>
          <w:rFonts w:ascii="Times New Roman" w:cs="Times New Roman" w:eastAsia="Times New Roman" w:hAnsi="Times New Roman"/>
          <w:sz w:val="18"/>
          <w:szCs w:val="18"/>
          <w:color w:val="auto"/>
        </w:rPr>
        <w:t xml:space="preserve"> of our 2024 Form 10-K and </w:t>
      </w:r>
      <w:r>
        <w:rPr>
          <w:rFonts w:ascii="Times New Roman" w:cs="Times New Roman" w:eastAsia="Times New Roman" w:hAnsi="Times New Roman"/>
          <w:sz w:val="18"/>
          <w:szCs w:val="18"/>
          <w:i w:val="1"/>
          <w:iCs w:val="1"/>
          <w:color w:val="auto"/>
        </w:rPr>
        <w:t>Note 8. Borrowing</w:t>
      </w:r>
      <w:r>
        <w:rPr>
          <w:rFonts w:ascii="Times New Roman" w:cs="Times New Roman" w:eastAsia="Times New Roman" w:hAnsi="Times New Roman"/>
          <w:sz w:val="18"/>
          <w:szCs w:val="18"/>
          <w:color w:val="auto"/>
        </w:rPr>
        <w:t xml:space="preserve"> of this Quarterly Report on Form 10-Q for further discussion.</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believe our available cash, cash equivalents and short-term investments as of June 30, 2025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as described in Part II, Item 1A, “Risk Factors,”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79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 ACTIVITIES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18"/>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340" w:type="dxa"/>
            <w:vAlign w:val="bottom"/>
          </w:tcPr>
          <w:p>
            <w:pPr>
              <w:spacing w:after="0"/>
              <w:rPr>
                <w:sz w:val="24"/>
                <w:szCs w:val="24"/>
                <w:color w:val="auto"/>
              </w:rPr>
            </w:pPr>
          </w:p>
        </w:tc>
        <w:tc>
          <w:tcPr>
            <w:tcW w:w="25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 2025 vs. 2024</w:t>
            </w:r>
          </w:p>
        </w:tc>
      </w:tr>
      <w:tr>
        <w:trPr>
          <w:trHeight w:val="22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(63,799)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(55,120)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20" w:type="dxa"/>
            <w:vAlign w:val="bottom"/>
          </w:tcPr>
          <w:p>
            <w:pPr>
              <w:spacing w:after="0"/>
              <w:rPr>
                <w:sz w:val="19"/>
                <w:szCs w:val="19"/>
                <w:color w:val="auto"/>
              </w:rPr>
            </w:pPr>
          </w:p>
        </w:tc>
        <w:tc>
          <w:tcPr>
            <w:tcW w:w="12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37,774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6"/>
              </w:rPr>
              <w:t>20,961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51,138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6"/>
              </w:rPr>
              <w:t>54,579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25,113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6"/>
              </w:rPr>
              <w:t>20,420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increased in the six months ended June 30, 2025 primarily due to higher expenses to support our commercial growth and higher disbursements for previously accrued royalties under the AstraZeneca Termination Agreement. This increase was partially offset by cash inflows from higher product sales, net and timing of collection of our accounts receivable.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increased in the six months ended June 30, 2025 primarily due to the timing of our investment maturities and purchases.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decreased in the six months ended June 30, 2025 due to receipts from the Term E Loan, net of costs ($48.7 million) and the issuance of common stock under our equity incentive and stock purchase plans, which were lower than receipts from the Term C Loan, net of costs ($49.8 million) and the issuance of common stock under our equity incentive and stock purchase plans in the six months ended June 30, 2024.</w:t>
      </w:r>
    </w:p>
    <w:p>
      <w:pPr>
        <w:spacing w:after="0" w:line="118" w:lineRule="exact"/>
        <w:rPr>
          <w:sz w:val="20"/>
          <w:szCs w:val="20"/>
          <w:color w:val="auto"/>
        </w:rPr>
      </w:pPr>
    </w:p>
    <w:p>
      <w:pPr>
        <w:ind w:right="40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Interest Rate Risk</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subject to market risks, including interest rate fluctuation exposure through our investments, in the ordinary course of our business.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As of June 30, 2025, we had cash, cash equivalents and short-term investments of $238.5 million, which consisted of bank deposits and money market funds, as well as high quality fixed income instruments, including commercial paper, U.S. government-sponsored agency bonds, U.S. treasury securities, corporate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are subject to interest rate fluctuation exposure through our borrowings under the 2022 Loan Agreement, which bear interest at SOFR plus a spread based on our public debt rating. A hypothetical increase in one-month CME Term SOFR of 100 basis points above the current one-month CME Term SOFR rate would have increased our interest expense by approximately $0.4 million for the six months ended June 30, 2025. As of June 30, 2025, we had an aggregate principal amount of $200.0 million outstanding pursuant to our 2022 Loan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majority of our transactions are denominated in U.S. dollars. However, we do have certain transactions that are denominated in currencies other than the U.S. dollar, primarily Swiss francs, Japanese yen and the Euro, and we therefore are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As of June 30, 2025, we had no open forward foreign currency exchange contracts.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June 30, 2025.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June 30, 2025, our disclosure controls and procedures were effective at a reasonable assurance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were no changes in our internal control over financial reporting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under the “Legal Proceedings and Claims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caption of </w:t>
      </w:r>
      <w:r>
        <w:rPr>
          <w:rFonts w:ascii="Times New Roman" w:cs="Times New Roman" w:eastAsia="Times New Roman" w:hAnsi="Times New Roman"/>
          <w:sz w:val="18"/>
          <w:szCs w:val="18"/>
          <w:i w:val="1"/>
          <w:iCs w:val="1"/>
          <w:color w:val="auto"/>
        </w:rPr>
        <w:t>Note 14. Commitments and Contingencies</w:t>
      </w:r>
      <w:r>
        <w:rPr>
          <w:rFonts w:ascii="Times New Roman" w:cs="Times New Roman" w:eastAsia="Times New Roman" w:hAnsi="Times New Roman"/>
          <w:sz w:val="18"/>
          <w:szCs w:val="18"/>
          <w:color w:val="auto"/>
        </w:rPr>
        <w:t xml:space="preserve"> which we incorporated here by reference.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17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in each year since our inception, and we expect to continue to incur operating losses in the future as we incur additional expenses related to our ongoing operations and our pursuit of future business opportunities.</w:t>
      </w:r>
    </w:p>
    <w:p>
      <w:pPr>
        <w:spacing w:after="0" w:line="10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In March 2022, we commenced the commercialization of our first product, IBSRELA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(tenapanor) for the treatment of IBS-C in adult patients. In November 2023, we commenced the commercialization of XPHOZAH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(tenapanor) for the reduction of serum phosphorus in adults with CKD on dialysis as add-on therapy in patients who have an inadequate response to phosphate binders or who are intolerant of any dose of phosphate binder therapy.</w:t>
      </w:r>
    </w:p>
    <w:p>
      <w:pPr>
        <w:spacing w:after="0" w:line="14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incurred losses in each year since our inception in October 2007, and we do not know whether or when we will become profitable. We continue to incur significant commercialization, development and additional expenses related to our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operations and pursuit of future business opportunities. As of June 30, 2025, we had an accumulated deficit of $945.6 million.</w:t>
      </w:r>
    </w:p>
    <w:p>
      <w:pPr>
        <w:spacing w:after="0" w:line="17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expect to continue to incur operating losses for the foreseeable future as we incur expenses related to our ongoing operations and our pursuit of future business opportunities.</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prior losses, combined with any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In general, if a corporation undergoes an “ownership change,” generally defined as a cumulative change of more than 50 percentage points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spacing w:after="0" w:line="13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financing for the foreseeable future as we invest in the growth of IBSRELA and XPHOZAH in the U.S. and build a pipeline. The inability to access necessary capital when needed on acceptable terms, or at all, could force us to reduce our efforts to commercialize IBSRELA and/or XPHOZAH, or to delay or limit our pursuit of other future business opportunities.</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including costs associated with our efforts to commercialize IBSRELA and XPHOZAH; conducting pediatric clinical trials for IBSRELA; manufacturing for IBSRELA and XPHOZAH; investments to build a pipeline; and research and development related to potential new product candidates. The inability to access necessary capital when needed on acceptable terms, or at all, could force us to reduce our efforts to commercialize IBSRELA and/or XPHOZAH or otherwise delay or limit our pursuit of future business opportunities. Our future funding requirements will depend on many factors, including, but not limited to:</w:t>
      </w:r>
    </w:p>
    <w:p>
      <w:pPr>
        <w:spacing w:after="0" w:line="1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generate product revenue from sales of IBSRELA and XPHOZAH;</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spacing w:after="0" w:line="121"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third-party reimbursement for IBSRELA;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selling and marketing costs associated with IBSRELA and XPHOZAH;</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milestones or royalties from our collaboration partners,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IBSRELA and XPHOZAH are commercialized in other ex-U.S. territories;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necessary to expand our business;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requirements for the discovery and/or development of other potential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 necessary to respond to technological and market developments;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interest and principal related to our loan and security agreement entered into with SLR, as amended to date.</w:t>
      </w:r>
    </w:p>
    <w:p>
      <w:pPr>
        <w:spacing w:after="0" w:line="17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other future business opportunities.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generated limited revenue from product sales and may never be profitable for a full fiscal year.</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generated limited revenue from product sales and have incurred significant net losses in each year since inception. We began selling IBSRELA in the U.S. in March 2022 and we began selling XPHOZAH in the U.S. in November 2023. We have no other products approved for sale.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ISBRELA and XPHOZAH and to increase market share for both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sufficient market acceptance of IBSRELA as a viable treatment option for IBS-C;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XPHOZAH;</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spacing w:after="0" w:line="121"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 adequate level of coverage and reimbursement for IBSRELA by third-party payors;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an adequate (in amount and quality) supply of product to support the market demand for IBSRELA and XPHOZAH;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71"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With respect to our commercialization of IBSRELA and XPHOZAH, our revenue will be dependent, in part, upon the size of the markets in the U.S., the label for which approval was granted, accepted price for the product, and the ability to secure and maintain adequate reimbursement. Beginning January 1, 2025, XPHOZAH, along with other oral ESRD related drugs without injectable or intravenous equivalents, are now included in the ESRD PPS, thereby eliminating coverage for XPHOZAH and these other ESRD related drugs under Medicare Part D as of such date. The inclusion of XPHOZAH in the ESRD PPS creates additional uncertainty as to the commercial opportunity for XPHOZAH. See “—</w:t>
      </w:r>
      <w:r>
        <w:rPr>
          <w:rFonts w:ascii="Times New Roman" w:cs="Times New Roman" w:eastAsia="Times New Roman" w:hAnsi="Times New Roman"/>
          <w:sz w:val="18"/>
          <w:szCs w:val="18"/>
          <w:i w:val="1"/>
          <w:iCs w:val="1"/>
          <w:color w:val="auto"/>
        </w:rPr>
        <w:t>XPHOZAH is now included in the ESRD PPS,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January 1, 2025, which means 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Additionally, if the number of adult patients for IBSRELA and/or XPHOZAH is not as significant as we estimate, coverage and reimbursement for either IBSRELA or XPHOZAH are not available in the manner and to the extent we expect, or the reasonably accepted population for treatment is narrowed by competition, physician choice or treatment guidelines, we may not generate significant revenue from sales of IBSRELA or XPHOZAH. Even if we achieve profitability on a quarterly basis in the future, we may not be able to sustain profitability for a full fiscal year.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Risks Related to Our Business</w:t>
      </w:r>
    </w:p>
    <w:p>
      <w:pPr>
        <w:spacing w:after="0" w:line="171"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began selling IBSRELA in the U.S. in March 2022. The overall commercial success of IBSRELA will depend on a number of factors, including the following:</w:t>
      </w:r>
    </w:p>
    <w:p>
      <w:pPr>
        <w:spacing w:after="0" w:line="108" w:lineRule="exact"/>
        <w:rPr>
          <w:sz w:val="20"/>
          <w:szCs w:val="20"/>
          <w:color w:val="auto"/>
        </w:rPr>
      </w:pPr>
    </w:p>
    <w:p>
      <w:pPr>
        <w:ind w:left="660" w:right="5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provide an adequate (in amount and quality) supply of product to support the market demand for IBSRELA;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sustain an adequate level of coverage and reimbursement for IBSRELA by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IBSRELA as a treatment for adult patients with IBS-C;</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IBSRELA will be subject to price negotiations under the IRA, and the timing and impact of those price negotiations on the revenue from product sales of IBSRELA;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treatable patient population;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increase the market share of IBSRELA;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market access and marketing efforts;</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view IBSRELA as a safe and effective treatment for adult patients with IBS-C, which will impact the adoption of IBSRELA by physicians for the treatment of IBS-C;</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IBSRELA compared to alternative and competing treatments;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IBSRELA;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lawsuits in connection with enforcing intellectual property rights in and to IBSRELA;</w:t>
      </w:r>
    </w:p>
    <w:p>
      <w:pPr>
        <w:spacing w:after="0" w:line="171"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third-party interference, opposition, derivation or similar proceedings with respect to our patent rights directed to IBSRELA, and avoiding other challenges to our patent rights and patent infringement claims;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IBSRELA following approval.</w:t>
      </w:r>
    </w:p>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spacing w:after="0" w:line="12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we will achieve sufficient market acceptance for XPHOZAH, or that we will be able to secure and maintain adequate coverage and reimbursement for XPHOZAH, or generate sufficient revenue from product sales of</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XPHOZAH. The inclusion of XPHOZAH in the ESRD PPS creates additional uncertainty as to the commercial opportunity for XPHOZAH.</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began selling XPHOZAH in the U.S. in November 2023. The overall commercial success of XPHOZAH will depend on a number of factors, including the following:</w:t>
      </w:r>
    </w:p>
    <w:p>
      <w:pPr>
        <w:spacing w:after="0" w:line="108" w:lineRule="exact"/>
        <w:rPr>
          <w:sz w:val="20"/>
          <w:szCs w:val="20"/>
          <w:color w:val="auto"/>
        </w:rPr>
      </w:pPr>
    </w:p>
    <w:p>
      <w:pPr>
        <w:ind w:left="660" w:right="10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w:t>
      </w:r>
    </w:p>
    <w:p>
      <w:pPr>
        <w:spacing w:after="0" w:line="121"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12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third-party manufacturers we contract with to provide an adequate (in amount and quality) supply of product to support the market demand for XPHOZAH;</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content and breadth of the label that has been approved by the U.S. FDA for XPHOZAH will materially and adversely impact our ability to commercialize the product for the approved indication;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 of XPHOZAH;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XPHOZAH as safe, effective and well-tolerated by patients and the medical community;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commercialization of IBSRELA and XPHOZAH and the complex pricing and reimbursement negotiations that may arise with marketing products containing the same active ingredient at different doses for separate indications;</w:t>
      </w:r>
    </w:p>
    <w:p>
      <w:pPr>
        <w:spacing w:after="0" w:line="10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relative cost, relative safety and relative efficacy of XPHOZAH compared to alternative and competing treatments;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sustaining an adequate level of coverage and reimbursement for XPHOZAH by third-party payors;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lawsuits in connection with enforcing intellectual property rights in and to XPHOZAH;</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involvement in third-party interference, opposition, derivation or similar proceedings with respect to our patent rights, and avoiding other challenges to our patent rights and patent infringement claims;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tolerability profile of XPHOZAH following approval.</w:t>
      </w:r>
    </w:p>
    <w:p>
      <w:pPr>
        <w:spacing w:after="0" w:line="171"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There is no guarantee that we will achieve sufficient market acceptance for XPHOZAH, or that we will be able to secure and maintain adequate coverage and reimbursement for XPHOZAH, or generate sufficient revenue from product sales of XPHOZAH. The inclusion of XPHOZAH in the ESRD PPS creates additional uncertainty as to the commercial opportunity for XPHOZAH. See “—</w:t>
      </w:r>
      <w:r>
        <w:rPr>
          <w:rFonts w:ascii="Times New Roman" w:cs="Times New Roman" w:eastAsia="Times New Roman" w:hAnsi="Times New Roman"/>
          <w:sz w:val="18"/>
          <w:szCs w:val="18"/>
          <w:i w:val="1"/>
          <w:iCs w:val="1"/>
          <w:color w:val="auto"/>
        </w:rPr>
        <w:t>XPHOZAH is now included in the ESRD PPS,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January 1, 2025, which means 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below.</w:t>
      </w:r>
    </w:p>
    <w:p>
      <w:pPr>
        <w:spacing w:after="0" w:line="125"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XPHOZAH is now included in the ESRD PPS, effective January 1, 2025, which means coverage for XPHOZAH for Medicare beneficiaries is no longer available under Medicare Part D, and as a result the revenue that we may generate on sales of XPHOZAH will be negatively and materially impacted.</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2011, the CMS, an agency within the United States Department of Health and Human Services responsible for administering the Medicare program, implemented the ESRD PPS, a new PPS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CMS included XPHOZAH in the ESRD PPS, effective January 1, 2025, which means coverage for XPHOZAH for Medicare beneficiaries is no longer available under Medicare Part D, and as a result the revenue that we may generate on sales of XPHOZAH will be negatively and materially impacted.</w:t>
      </w:r>
    </w:p>
    <w:p>
      <w:pPr>
        <w:spacing w:after="0" w:line="13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extent to which the inclusion of XPHOZAH in the ESRD PPS will materially and adversely impact our XPHOZAH business is dependent on the following: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access to XPHOZAH is impacted by the elimination of Medicare Part D coverage for XPHOZAH which occurred on January 1, 2025, and the extent to which this change will interfere with the shared decision-making between healthcare professionals and their patients, regardless of insurance coverage; and</w:t>
      </w:r>
    </w:p>
    <w:p>
      <w:pPr>
        <w:spacing w:after="0" w:line="121"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IBSRELA and/or XPHOZAH may cause undesirable side effects or have other properties that could limit the commercial success of the products.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spacing w:after="0" w:line="12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collaboration partner may be required to recall the product;</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 including the imposition of a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collaboration partner may be subject to fines, injunctions or the imposition of civil or criminal penalties;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labeling statements, such as a “black box” warning or a contraindication;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7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spacing w:after="0" w:line="82"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U.S., CMS decides whether and to what extent a new drug will be covered and reimbursed under Medicare. Private payors tend to follow the coverage reimbursement policies established by CMS to a substantial degree. Beginning January 1, 2025, XPHOZAH, along with other oral ESRD related drugs without injectable or intravenous equivalents, are now included in the ESRD PPS, thereby eliminating coverage for XPHOZAH and these other ESRD related drugs under Medicare Part D as of such date. See “—</w:t>
      </w:r>
      <w:r>
        <w:rPr>
          <w:rFonts w:ascii="Times New Roman" w:cs="Times New Roman" w:eastAsia="Times New Roman" w:hAnsi="Times New Roman"/>
          <w:sz w:val="18"/>
          <w:szCs w:val="18"/>
          <w:i w:val="1"/>
          <w:iCs w:val="1"/>
          <w:color w:val="auto"/>
        </w:rPr>
        <w:t>XPHOZAH is now included in the ESRD PPS, effective January 1, 2025, which means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spacing w:after="0" w:line="10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spacing w:after="0" w:line="12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facilities used by our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cGMP requirements, for manufacture of both active drug substances and finished drug products.</w:t>
      </w:r>
    </w:p>
    <w:p>
      <w:pPr>
        <w:spacing w:after="0" w:line="12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spacing w:after="0" w:line="14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our CMOs fail to adhere to applicable cGMP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depend on CMOs, many of whom are our single source manufacturers.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Many of our CMOs are currently single source manufacturers. While we try to obtain multiple sources whenever possible, similar to other commercial pharmaceutical companies, three stages of our manufacturing process are currently completed by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single source, which exposes us to a number of risks related to our supply chain, including delivery failure and drug shortages. To date, we have no qualified alternative sources for these single source CMOs.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w:t>
      </w:r>
    </w:p>
    <w:p>
      <w:pPr>
        <w:spacing w:after="0" w:line="1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 we currently and may in the future rely on foreign CMOs and CROs. Such foreign CMOs and CROs may be subject to U.S. legislation, sanctions, trade restrictions and other foreign regulatory requirements which could increase the cost or reduce the supply of material available to us, delay the procurement or supply of such material or have an adverse effect on our ability to secure significant commitments from governments to purchase our potential therapies.</w:t>
      </w:r>
    </w:p>
    <w:p>
      <w:pPr>
        <w:spacing w:after="0" w:line="12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spacing w:after="0" w:line="13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February 23, 2022, we entered into a loan and security agreement (the 2022 Loan Agreement) with SLR as collateral agent and the lenders listed in the 2022 Loan Agreement (collectively, the 2022 Lenders). The 2022 Loan Agreement was subsequently amended in August 2022 (the First Amendment), February 2023 (the Second Amendment), October 2023 (the Third Amendment), October 2024 (Fourth Amendment), and June 2025 (Fifth Amendment). The loan was funded in the amount of $27.5 million on February 23, 2022 and additional amounts of $22.5 million, $50.0 million, $50.0 million and $50.0 million were drawn on October 19, 2023, March 1, 2024, October 29, 2024 and June 30, 2025, respectively. In addition, we have the option to draw up to an additional $100.0 million, consisting of two separate term loans, each in a principal amount of $50.0 million: (a) the first of which is available at the Company’s election through June 30, 2026 and (b) the second of which is available at the Company’s election through December 20,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Lenders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Related to Our Business and Industry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our competitors may discover, develop or commercialize products faster or more successfully than us.</w:t>
      </w:r>
    </w:p>
    <w:p>
      <w:pPr>
        <w:spacing w:after="0" w:line="175"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spacing w:after="0" w:line="12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spacing w:after="0" w:line="1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to the currently available phosphate binders, we are aware of at least four phosphate binders in development, including AP-301, developed by Alebund Pharmaceutical (Hong Kong) Limited and currently in Phase 3; VS-505, developed by Vidasym and currently in clinical development; TS-172, developed by Taisho Pharmaceuticals and currently in Phase 2; and OLC, developed by Unicycive Therapeutics, which has announced its plans to seek U.S. FDA approval via the 505(b)(2) pathway. OLC has demonstrated pharmacodynamic bioequivalence to Fosrenol. Additionally, Alebund is developing AP-306, an inhibitor of phosphate transporters NaPi-2b, PiT-1, and PiT-2, thus far studied in a Phase 2 clinical trial.</w:t>
      </w:r>
    </w:p>
    <w:p>
      <w:pPr>
        <w:spacing w:after="0" w:line="129"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difficulties in managing our current activities and growth given our level of managerial, operational, financial and other resources.</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commercialization activities effectively;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clinical trials effectively;</w:t>
      </w:r>
    </w:p>
    <w:p>
      <w:pPr>
        <w:spacing w:after="0" w:line="171"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internal development efforts effectively while carrying out our contractual obligations to licensors, contractors, collaborators, government agencies and other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motivate our remaining employees and potentially identify, recruit and integrate additional employees.</w:t>
      </w:r>
    </w:p>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If we are unable to maintain or expand our managerial, operational, financial and other resources to the extent required to manage our development and commercialization activities, our business will be materially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175"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color w:val="auto"/>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18" w:lineRule="exact"/>
        <w:rPr>
          <w:sz w:val="20"/>
          <w:szCs w:val="20"/>
          <w:color w:val="auto"/>
        </w:rPr>
      </w:pPr>
    </w:p>
    <w:p>
      <w:pPr>
        <w:ind w:left="660" w:right="6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up-front, milestone and royalty payments, equity investments and financial support of new research and development candidates including increase of personnel, all of which may be substantial;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higher-than-expected acquisition and integration costs;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17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IBSRELA and/or XPHOZAH.</w:t>
      </w:r>
    </w:p>
    <w:p>
      <w:pPr>
        <w:spacing w:after="0" w:line="10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3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the product;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co-promote IBSRELA and/or XPHOZAH.</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retain and motivate our executives, senior management and key personnel, our business will suffer.</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sales and marketing, clinical, medical, business development, manufacturing, finance and administrative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0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FTC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3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DPF, rendering the DPF effective as a GDPR transfer mechanism to U.S. entities self-certified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spacing w:after="0" w:line="1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we use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expand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2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2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information technology systems and infrastructure, and those of our current and any future collaborators, CROs, contractors and consultants and other third parties on which we rely, are vulnerable to attack, damage and interruption from computer viruses, malware (e.g., ransomware), natural disasters, terrorism, war, telecommunication and electrical failures, cyber-attacks or cyber-intrusions over the Internet, phishing attacks and other social engineering schemes, attachments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emails, human error, fraud, denial or degradation of service attacks, sophisticated nation-state and nation-state-supported actors or unauthorized access or use by persons inside our organization, or persons with access to systems inside our organization.</w:t>
      </w:r>
    </w:p>
    <w:p>
      <w:pPr>
        <w:spacing w:after="0" w:line="1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spacing w:after="0" w:line="14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spacing w:after="0" w:line="13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spacing w:after="0" w:line="12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Fosun Pharma for commercialization of tenapanor for hyperphosphatemia and IBS-C in China and related territories; in Canada with Knight for commercialization of tenapanor for IBS-C and hyperphosphatemia; and with METiS for the development and commercialization of a portfolio of TGR5 agonist compounds for all therapeutic areas. While we may pursue future collaborations, we face significant competition in seeking appropriate collaboration partners, and the process to identify an appropriate partner and negotiate appropriate terms is time-consuming and complex. Delays in identifying suitable additional collaboration partners and entering into agreements to commercialize our products in ex-U.S. territories and/or develop our product candidates will delay commercialization thereof, which may reduce their competitiveness even if they reach the market. There is no guarantee that our current collaboration partnerships or any such arrangements we enter into in the future will be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w:t>
      </w:r>
    </w:p>
    <w:p>
      <w:pPr>
        <w:spacing w:after="0" w:line="1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w:t>
      </w:r>
    </w:p>
    <w:p>
      <w:pPr>
        <w:spacing w:after="0" w:line="12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conduct of additional clinical trials, we could encounter delays in our development if any clinical trials are suspended or terminated by us, by the IRBs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addition, 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spacing w:after="0" w:line="13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do not have the ability to independently conduct nonclinical studies or clinical trials.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GCPs for clinical studies. GLPs and GCPs are regulations and guidelines enforced by the U.S. FDA, the Competent Authorities of the Member States of the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spacing w:after="0" w:line="13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the U.S., and may otherwise engage in business outside of the U.S., including entering into additional contractual agreements with third parties.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additional risks related to entering these international business markets and relationships, including:</w:t>
      </w:r>
    </w:p>
    <w:p>
      <w:pPr>
        <w:spacing w:after="0" w:line="153"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U.S. and foreign drug import and export rules;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foreign countries;</w:t>
      </w:r>
    </w:p>
    <w:p>
      <w:pPr>
        <w:spacing w:after="0" w:line="171" w:lineRule="exact"/>
        <w:rPr>
          <w:rFonts w:ascii="Times New Roman" w:cs="Times New Roman" w:eastAsia="Times New Roman" w:hAnsi="Times New Roman"/>
          <w:sz w:val="18"/>
          <w:szCs w:val="18"/>
          <w:color w:val="auto"/>
        </w:rPr>
      </w:pPr>
    </w:p>
    <w:p>
      <w:pPr>
        <w:ind w:left="660" w:hanging="328"/>
        <w:spacing w:after="0" w:line="312" w:lineRule="auto"/>
        <w:tabs>
          <w:tab w:leader="none" w:pos="65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policies governing the terms of foreign trade, and in particular increased trade restrictions, tariffs or taxes on imports or exports from or to countries where we manufacture or, sell, or our partners sell, our products to may affect the prices of and demand for our products;</w:t>
      </w:r>
    </w:p>
    <w:p>
      <w:pPr>
        <w:spacing w:after="0" w:line="85"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7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resulting from development work conducted by these distributors;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may adversely impact our business and operating results.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currently rely on foreign third-party manufacturers. The U.S. government and persons involved in the current administration have made statements and taken certain actions that may lead to potential changes to U.S. and international trade policies. The extent and duration of any tariffs and the resulting impact on general economic conditions and on our business are uncertain and depend on various factors, such as negotiations between the United States and other countries, the response of such countries, exemptions or exclusions that may be granted, and the availability and cost of alternative sources of supply of materials we purchase from companies in other countries targeted with tariffs.</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unfavorable government policies on international trade, such as export controls, capital controls or tariffs, may increase the cost of manufacturing our product candidates and platform materials, affect the demand for IBSRELA and XPHOZAH, and import or export of API and finished product. If any new tariffs, export controls, legislation and/or regulations are implemented, or if existing trade agreements are renegotiated or, in particular, if the U.S. government takes retaliatory trade actions due to the recent trade tension, such changes could have an adverse effect on our business, financial condition and results of operations.</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legislative or regulatory reforms to the U.S. healthcare system, including those related to drug pricing, may affect our ability to commercialize our marketed products profitably.</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April 15, 2025, President Trump issued an Executive Order which directs HHS to take steps to reduce the prices of pharmaceutical products. Subsequently, on May 12, 2025, President Trump issued an additional Executive Order calling on pharmaceutical manufacturers to voluntarily reduce the prices of medicines in the United States. The Executive Order directs the Secretary of HHS to communicate most-favored-nation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The implications of these actions remain unclear, however, these regulatory developments, depending on whether and how they may be enacted, as well as others that may be adopted in the future, may result in downward pressure on the price that we receive for IBSRELA and XPHOZAH. Accordingly, such measures, if enacted, could have an adverse effect on our revenue and may affect our overall financial condition and ability to commercialize our products profitably.</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05"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2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If a natural disaster, power outage or other event occurred that prevented us from using all or a significant portion of our leased facilities, including our California facility, it may be difficult or time consuming to restore some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7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spacing w:after="0" w:line="12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3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08"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 or fines;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4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existing regulatory approvals;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of our ongoing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submitted by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or our CMOs’ operations;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7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U.S. or abroad.</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and certain regulatory agencies, such as the U.S. FDA, have had to furlough critical U.S. FDA employees and stop critical activities.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CMOs are subject to significant regulation with respect to manufacturing IBSRELA and XPHOZAH. The manufacturing facilities on which we rely may not continue to meet regulatory requirements or may not be able to meet supply demands.</w:t>
      </w:r>
    </w:p>
    <w:p>
      <w:pPr>
        <w:spacing w:after="0" w:line="10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spacing w:after="0" w:line="13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3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1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or are found to have failed to comply with U.S. FDA and other regulations related to the promotion of our products for unapproved uses, other sales practices, as well as the design and implementation of our patient assistance programs, we could be subject to criminal penalties, substantial fines or other sanctions and damage awards.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regulations relating to the promotion of products for unapproved uses and the design and implementation of patient assistance programs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other sales practices, as well as the design and implementation of patient assistance programs,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FFDCA,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3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the U.S. FDA or any other governmental agency initiates an enforcement action against us or if we are the subject of a qui tam suit and it is determined that we violated U.S. FDA or other regulations relating to the promotion of our products and/or the design and implementation of our patient assistance programs,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IBSRELA and/or XPHOZAH may cause or contribute to adverse medical events that we are required to report to regulatory agencies and if we fail to do so we could be subject to sanctions that would materially harm our business.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spacing w:after="0" w:line="12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collaboration partners, consultants, CMOs and vendors may engage in misconduct or other improper activities, including noncompliance with regulatory standards and requirements.</w:t>
      </w:r>
    </w:p>
    <w:p>
      <w:pPr>
        <w:spacing w:after="0" w:line="10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approvals in foreign jurisdictions would prevent us from marketing our products internationally.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Before the Marketing Authorization is granted, the European Medicines Agency or the competent authorities of the Member States of the EEA make an assessment of the risk-benefit balance of the product on the basis of scientific criteria concerning its quality, safety and efficacy.</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spacing w:after="0" w:line="13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spacing w:after="0" w:line="10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spacing w:after="0" w:line="122" w:lineRule="exact"/>
        <w:rPr>
          <w:sz w:val="20"/>
          <w:szCs w:val="20"/>
          <w:color w:val="auto"/>
        </w:rPr>
      </w:pPr>
    </w:p>
    <w:p>
      <w:pPr>
        <w:ind w:left="660" w:right="1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spacing w:after="0" w:line="129" w:lineRule="exact"/>
        <w:rPr>
          <w:rFonts w:ascii="Times New Roman" w:cs="Times New Roman" w:eastAsia="Times New Roman" w:hAnsi="Times New Roman"/>
          <w:sz w:val="18"/>
          <w:szCs w:val="18"/>
          <w:color w:val="auto"/>
        </w:rPr>
      </w:pPr>
    </w:p>
    <w:p>
      <w:pPr>
        <w:jc w:val="both"/>
        <w:ind w:left="660" w:right="1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including the False Claims Act,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Act;</w:t>
      </w:r>
    </w:p>
    <w:p>
      <w:pPr>
        <w:spacing w:after="0" w:line="125"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21"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spacing w:after="0" w:line="121"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requirements under the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spacing w:after="0" w:line="129"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pricing information and marketing expenditures; and</w:t>
      </w:r>
    </w:p>
    <w:p>
      <w:pPr>
        <w:spacing w:after="0" w:line="107"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European and other foreign law equivalents of each of the laws, including reporting requirements detailing interactions with and payments to healthcare providers.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13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33"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replacement, or discontinuance of one or more of our products;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 keeping.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MDRP and extended the rebate program to individuals enrolled in Medicaid managed care organizations, established annual fees and taxes on manufacturers of certain branded prescription drugs, and created a new Medicare Part D coverage gap discount program, which was replaced by a new manufacturer discount program on January 1, 2025 (as discussed below), in which manufacturers were required to offer 70% point-of-sale discounts off negotiated prices of applicable brand drugs to eligible beneficiaries during their coverage gap period as a condition for the manufacturer’s outpatient drugs to be covered under Medicare Part D.</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Moreover, beginning January 1, 2025, XPHOZAH, along with other oral ESRD related drugs without injectable or intravenous equivalents, are now included in the ESRD PPS, thereby eliminating coverage under Medicare Part D as of such date. See “—</w:t>
      </w:r>
      <w:r>
        <w:rPr>
          <w:rFonts w:ascii="Times New Roman" w:cs="Times New Roman" w:eastAsia="Times New Roman" w:hAnsi="Times New Roman"/>
          <w:sz w:val="18"/>
          <w:szCs w:val="18"/>
          <w:i w:val="1"/>
          <w:iCs w:val="1"/>
          <w:color w:val="auto"/>
        </w:rPr>
        <w:t>XPHOZAH is now included in the ESRD PPS,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January 1, 2025, which means coverage for XPHOZAH for Medicare beneficiaries is no longer available under Medicare Part D, and as a result the revenue that we may generate on sales of XPHOZAH will be negatively and materially impacted</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AMP.</w:t>
      </w:r>
    </w:p>
    <w:p>
      <w:pPr>
        <w:spacing w:after="0" w:line="13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IRA was signed into law. Among other things, the IRA requires manufacturers of certain drugs to engage in price negotiations with Medicare which will start to take effect in 2026, imposes rebates under Medicare Part B and Medicare Part D to penalize price increases that outpace inflation (first due in 2023), and replaces the Part D coverage gap discount program with a new discounting program (which began on January 1, 2025). Under the IRA, small molecule drugs and biologics first become eligible for price negotiation seven and eleven years, respectively, after U.S. FDA approval. The IRA permits the Secretary of HHS to implement many of these provisions through guidance, as opposed to regulation, for the initial years. CMS has published the negotiated prices for the initial ten drugs, which will first be effective in 2026, and the list of the subsequent 15 drugs that will be subject to negotiation. Each year thereafter, more Part B and Part D products will become subject to the HHS price negotiation program, although the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MDRP or other governmental pricing programs in the U.S., we could be subject to additional reimbursement requirements, penalties, sanctions and fines, which could have a material adverse effect on our business, results of operations and financial condition.</w:t>
      </w:r>
    </w:p>
    <w:p>
      <w:pPr>
        <w:spacing w:after="0" w:line="12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We participate in the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AMP and the best price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best price,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spacing w:after="0" w:line="12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Federal law requires that a manufacturer that participates in the MDRP also participate in the 340B program in order for federal funds to be available for the manufacturer’s drugs under Medicaid. We participate in the 340B program, which is administered by the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spacing w:after="0" w:line="13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In order to be eligible to have drug products paid for with federal funds under Medicaid and purchased by certain federal agencies and grantees, we also participate in the U.S. VA/FSS pricing program. Under the VA/FSS program, we are obligated to report the Non-FAMP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spacing w:after="0" w:line="11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will depend on our ability to obtain, maintain and protect our intellectual property rights.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spacing w:after="0" w:line="1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3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spacing w:after="0" w:line="13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future protection for our proprietary rights is uncertain, and we cannot ensure that:</w:t>
      </w:r>
    </w:p>
    <w:p>
      <w:pPr>
        <w:spacing w:after="0" w:line="171" w:lineRule="exact"/>
        <w:rPr>
          <w:sz w:val="20"/>
          <w:szCs w:val="20"/>
          <w:color w:val="auto"/>
        </w:rPr>
      </w:pPr>
    </w:p>
    <w:p>
      <w:pPr>
        <w:ind w:left="660" w:right="3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patents, or any of our pending patent applications, if issued, will include claims having a scope sufficient to protect our products or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pending patent applications will issue as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make the inventions covered by each of our patents and pending patent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the first to file patent applications for these inventions;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will not develop, manufacture and/or commercialize similar or alternative products or technologies that do not infringe our patents;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challenged patents will ultimately be found to be valid and enforceable;</w:t>
      </w:r>
    </w:p>
    <w:p>
      <w:pPr>
        <w:spacing w:after="0" w:line="17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issued to us will provide a basis for an exclusive market for our commercially viable products or technologies will provide us with any competitive advantages or will not be challenged by third parties;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develop additional proprietary technologies or products that are separately patentable;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activities or products will not infringe upon the patents of others.</w:t>
      </w:r>
    </w:p>
    <w:p>
      <w:pPr>
        <w:spacing w:after="0" w:line="16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3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infringement claims against us, third parties may also raise similar claims before administrative bodies in the U.S. or abroad. Such mechanisms include reexamination, post grant review, inter parties review, derivation or opposition proceedings before the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spacing w:after="0" w:line="13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successfully enforce our intellectual property rights, the commercial value of IBSRELA and XPHOZAH or other product candidates may be adversely affected and we may not be able to compete effectively in our market.</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spacing w:after="0" w:line="1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noninfringement is unpredictable. With respect to validity, for example, we cannot be certain that there is no invalidating prior art, of which we and the patent examiner were unaware during prosecution. If a defendant were to prevail on a legal assertion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spacing w:after="0" w:line="12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U.S., the Hatch-Waxman Act provides non-patent regulatory exclusivity for five years from the date of the first U.S. FDA approval of a drug containing an NCE. The U.S. FDA is prohibited during those five years from approving an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cases where NCE exclusivity has been granted for an NDA, as in the case of IBSRELA, if an ANDA sponsor has provided a Paragraph IV certification to the U.S.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U.S. Patent No. 8,541,448 covering tenapanor was subject to patent term adjustment under the American Inventors Protection Act for delays by the USPTO in granting the patent. Additionally, following the approval by the U.S. FDA for our NDA to market tenapanor for IBS-C, this patent was granted patent term extension under the Hatch-Waxman Act and together with patent term adjustment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Europe’s new Unified Patent Court may, in particular, present uncertainties for our ability to protect and enforce our patent rights against competitors in Europe. In 2012, the EU Patent Package regulations were passed with the goal of providing a single pan-European Unitary Patent and a new UPC, for litigation involving European patents. Implementation of the EU Patent Package entered into force on June 1, 2023. Under the UPC, all European patents, including those issued prior to ratification of the EU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3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spacing w:after="0" w:line="1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consider proprietary trade secrets, confidential know-how and unpatented know-how to be important to our business. We seek to protect our confidential proprietary information, in part, by entering into confidentiality agreements and invention assignment agreements with parties who have access to them, including our employees, consultants, scientific advisors, contractors, CROs, contract manufacturers, collaborators and other third parties, that are designed to protect our proprietary information. However, we cannot be certain that such agreements have been entered into with all relevant parties that may have or have had access to our trade secrets or proprietary technology, and we cannot be certain that our trade secrets and other confidential proprietary information will not be disclosed or that competitors will not otherwise gain access to our trade secrets and other confidential proprietary technology, or independently develop substantially equivalent information and techniques. For example, any of these parties with whom we have entered into such confidentiality or invention assignment agreements may breach the agreements and disclose our proprietary information, including trade secrets, and we may not be able to obtain adequate remedies for such breaches. 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Monitoring unauthorized uses and disclosures of our intellectual property is difficult, and we do not know, whether the steps we have taken to protect our intellectual property will be effective.</w:t>
      </w:r>
    </w:p>
    <w:p>
      <w:pPr>
        <w:spacing w:after="0" w:line="13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Unauthorized parties may also attempt to copy or reverse engineer certain aspects of our products that we consider proprietary. We may not be able to obtain adequate remedies in the event of such unauthorized use. Enforcing a claim that a party illegally disclosed or misappropriated a trade secret can be difficult, expensive and time consuming, and the outcome is unpredictable. In addition, some courts inside and outside the United States are less willing or unwilling to protect trade secrets. Trade secrets will also over time be disseminated within the industry through independent development, the publication of journal articles and the movement of personnel skilled in the art from company to company or academic institutions to industry scientific positions. Though our agreements with third parties typically restrict the ability of our advisors, employees, collaborators, licensors, suppliers, third-party contractors and consultants to publish data potentially relating to our trade secrets and proprietary information, our agreements may contain certain limited publication rights. In addition, if any of our trade secrets were to be lawfully obtained or independently developed by a competitor, we would have no right to prevent such competitor from using that technology or information to compete with us, which could harm our competitive position. Despite employing the contractual and other security precautions described above, the need to share trade secrets increases the risk that such trade secrets become known by our competitors, are incorporated (inadvertently or not) into the technology of others, or are disclosed or used in violation of these agreements. If any of these events occurs or if we otherwise lose protection for our trade secrets, the value of such information may be greatly reduced and our competitive position, business, financial condition, results of operations and prospects would be harmed.</w:t>
      </w:r>
    </w:p>
    <w:p>
      <w:pPr>
        <w:spacing w:after="0" w:line="1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current or future registered or unregistered trademarks or trade names may be challenged, infringed, circumvented or declared generic or descriptive, cancelled or determined to be infringing on other marks. We may not be able to protect or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preserve our rights to these trademarks and trade names or may be forced to stop using those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competitive position, business, financial condition, results of operations and prospects.</w:t>
      </w:r>
    </w:p>
    <w:p>
      <w:pPr>
        <w:spacing w:after="0" w:line="13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3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be volatile and our stockholders may not be able to resell shares of our common stock at or above the price they paid.</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lack of success with regards to our commercialization of IBSRELA and XPHOZAH;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regulatory inspections of our facilities or those of our CMOs, or specific label restrictions or patient populations for XPHOZAH’s use, or changes or delays in the regulatory review process;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coverage and reimbursement for XPHOZAH alone or with other oral ESRD related drugs without injectable or intravenous equivalents;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current or future collaboration partnerships;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therapeutic innovations or new products or strategic transactions by us or our competitors;</w:t>
      </w:r>
    </w:p>
    <w:p>
      <w:pPr>
        <w:spacing w:after="0" w:line="17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actions taken by regulatory agencies with respect to our product label, our clinical trials, manufacturing supply chain or sales and marketing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laws or regulations applicable to our approved products 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testing and clinical trials;</w:t>
      </w:r>
    </w:p>
    <w:p>
      <w:pPr>
        <w:spacing w:after="0" w:line="171"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any of our projected timelines or goals with regard to the commercialization of IBSRELA and XPOHZAH, or the clinical development and commercialization of any of our product candidates;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license or discover additional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actions in which we may become involved;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obtain adequate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our competitors or the pharmaceutical industry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expected product sales and profitability;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supply or distribution shortages;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or other U.S. or foreign regulatory actions affecting us or our industry or other healthcare reform measures in the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or recommendations by securities analysts;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executive officers and directors or our stockholders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debt securities and sales or licensing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overall fluctuations in the U.S. equity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management personnel.</w:t>
      </w:r>
    </w:p>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w:t>
      </w: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lawsuit and the attention of our management would be diverted from the operation of our business, which could seriously harm our financial position. Any adverse determination in litigation could also subject us to significant liabilities.</w:t>
      </w:r>
    </w:p>
    <w:p>
      <w:pPr>
        <w:spacing w:after="0" w:line="104"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spacing w:after="0" w:line="12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a “smaller reporting company” and as a result we are or will be subject to certain enhanced disclosure requirements which will require us to incur significant expenses and expend time and resources.</w:t>
      </w:r>
    </w:p>
    <w:p>
      <w:pPr>
        <w:spacing w:after="0" w:line="10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no longer a “smaller reporting company,”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 or other regulatory authorities, which would require additional financial and management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incur significant legal, accounting and other expenses as a public company, including costs resulting from public company reporting obligations under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40"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global economic environment.</w:t>
      </w:r>
    </w:p>
    <w:p>
      <w:pPr>
        <w:spacing w:after="0" w:line="17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was closed by the California Department of Financial Protection and Innovation, which appointed the U.S. Federal Deposit Insurance Corporation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spacing w:after="0" w:line="1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3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22" w:lineRule="exact"/>
        <w:rPr>
          <w:sz w:val="20"/>
          <w:szCs w:val="20"/>
          <w:color w:val="auto"/>
        </w:rPr>
      </w:pPr>
    </w:p>
    <w:p>
      <w:pPr>
        <w:ind w:left="660" w:right="6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two-thirds of the shares entitled to vote to remove a director for cause, and the prohibition on removal of directors without cause;</w:t>
      </w:r>
    </w:p>
    <w:p>
      <w:pPr>
        <w:spacing w:after="0" w:line="107" w:lineRule="exact"/>
        <w:rPr>
          <w:rFonts w:ascii="Times New Roman" w:cs="Times New Roman" w:eastAsia="Times New Roman" w:hAnsi="Times New Roman"/>
          <w:sz w:val="18"/>
          <w:szCs w:val="18"/>
          <w:color w:val="auto"/>
        </w:rPr>
      </w:pPr>
    </w:p>
    <w:p>
      <w:pPr>
        <w:jc w:val="both"/>
        <w:ind w:left="660" w:right="4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1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07"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provisions would apply even if we were to receive an offer that some stockholders may consider beneficial.</w:t>
      </w:r>
    </w:p>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1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08" w:lineRule="exact"/>
        <w:rPr>
          <w:sz w:val="20"/>
          <w:szCs w:val="20"/>
          <w:color w:val="auto"/>
        </w:rPr>
      </w:pPr>
    </w:p>
    <w:p>
      <w:pPr>
        <w:ind w:left="660" w:right="4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71" w:lineRule="exact"/>
        <w:rPr>
          <w:rFonts w:ascii="Times New Roman" w:cs="Times New Roman" w:eastAsia="Times New Roman" w:hAnsi="Times New Roman"/>
          <w:sz w:val="18"/>
          <w:szCs w:val="18"/>
          <w:color w:val="auto"/>
        </w:rPr>
      </w:pPr>
    </w:p>
    <w:p>
      <w:pPr>
        <w:jc w:val="both"/>
        <w:ind w:left="660" w:right="560" w:hanging="328"/>
        <w:spacing w:after="0" w:line="312" w:lineRule="auto"/>
        <w:tabs>
          <w:tab w:leader="none" w:pos="6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85" w:lineRule="exact"/>
        <w:rPr>
          <w:rFonts w:ascii="Times New Roman" w:cs="Times New Roman" w:eastAsia="Times New Roman" w:hAnsi="Times New Roman"/>
          <w:sz w:val="17"/>
          <w:szCs w:val="17"/>
          <w:color w:val="auto"/>
        </w:rPr>
      </w:pPr>
    </w:p>
    <w:p>
      <w:pPr>
        <w:ind w:left="660" w:right="18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future business opportunities. Additionally, the terms of our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25" w:lineRule="exact"/>
        <w:rPr>
          <w:sz w:val="20"/>
          <w:szCs w:val="20"/>
          <w:color w:val="auto"/>
        </w:rPr>
      </w:pPr>
    </w:p>
    <w:p>
      <w:pPr>
        <w:ind w:right="6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USE OF PROCEEDS AND ISSUER PURCHASES OF EQUITY SECURITIES </w:t>
      </w:r>
      <w:r>
        <w:rPr>
          <w:rFonts w:ascii="Times New Roman" w:cs="Times New Roman" w:eastAsia="Times New Roman" w:hAnsi="Times New Roman"/>
          <w:sz w:val="18"/>
          <w:szCs w:val="18"/>
          <w:b w:val="1"/>
          <w:bCs w:val="1"/>
          <w:i w:val="1"/>
          <w:iCs w:val="1"/>
          <w:color w:val="auto"/>
        </w:rPr>
        <w:t>Unregistered Sales of Equity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Plans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certain of our Section 16 officers and directors adopted or terminated contracts, instructions or written plans for the purchase or sale of our securities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97155</wp:posOffset>
            </wp:positionV>
            <wp:extent cx="7106285" cy="11315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6285" cy="1131570"/>
                    </a:xfrm>
                    <a:prstGeom prst="rect">
                      <a:avLst/>
                    </a:prstGeom>
                    <a:noFill/>
                  </pic:spPr>
                </pic:pic>
              </a:graphicData>
            </a:graphic>
          </wp:anchor>
        </w:drawing>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418"/>
        </w:trPr>
        <w:tc>
          <w:tcPr>
            <w:tcW w:w="2700" w:type="dxa"/>
            <w:vAlign w:val="bottom"/>
            <w:tcBorders>
              <w:top w:val="single" w:sz="8" w:color="auto"/>
              <w:right w:val="single" w:sz="8" w:color="auto"/>
            </w:tcBorders>
          </w:tcPr>
          <w:p>
            <w:pPr>
              <w:spacing w:after="0"/>
              <w:rPr>
                <w:sz w:val="24"/>
                <w:szCs w:val="24"/>
                <w:color w:val="auto"/>
              </w:rPr>
            </w:pPr>
          </w:p>
        </w:tc>
        <w:tc>
          <w:tcPr>
            <w:tcW w:w="1200" w:type="dxa"/>
            <w:vAlign w:val="bottom"/>
            <w:tcBorders>
              <w:top w:val="single" w:sz="8" w:color="auto"/>
              <w:right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Arrangement</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Name and Title of Director or</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4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Rule 10b5-</w:t>
            </w:r>
          </w:p>
        </w:tc>
        <w:tc>
          <w:tcPr>
            <w:tcW w:w="1040" w:type="dxa"/>
            <w:vAlign w:val="bottom"/>
            <w:tcBorders>
              <w:right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Non-Rule</w:t>
            </w:r>
          </w:p>
        </w:tc>
        <w:tc>
          <w:tcPr>
            <w:tcW w:w="13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Available to be</w:t>
            </w:r>
          </w:p>
        </w:tc>
        <w:tc>
          <w:tcPr>
            <w:tcW w:w="1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w:t>
            </w:r>
          </w:p>
        </w:tc>
        <w:tc>
          <w:tcPr>
            <w:tcW w:w="1200" w:type="dxa"/>
            <w:vAlign w:val="bottom"/>
            <w:tcBorders>
              <w:bottom w:val="single" w:sz="8" w:color="auto"/>
              <w:right w:val="single" w:sz="8" w:color="auto"/>
            </w:tcBorders>
            <w:vMerge w:val="continue"/>
          </w:tcPr>
          <w:p>
            <w:pPr>
              <w:spacing w:after="0"/>
              <w:rPr>
                <w:sz w:val="21"/>
                <w:szCs w:val="21"/>
                <w:color w:val="auto"/>
              </w:rPr>
            </w:pPr>
          </w:p>
        </w:tc>
        <w:tc>
          <w:tcPr>
            <w:tcW w:w="1960" w:type="dxa"/>
            <w:vAlign w:val="bottom"/>
            <w:tcBorders>
              <w:bottom w:val="single" w:sz="8" w:color="auto"/>
              <w:right w:val="single" w:sz="8" w:color="auto"/>
            </w:tcBorders>
            <w:vMerge w:val="continue"/>
          </w:tcPr>
          <w:p>
            <w:pPr>
              <w:spacing w:after="0"/>
              <w:rPr>
                <w:sz w:val="21"/>
                <w:szCs w:val="21"/>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10b5-1**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7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Laura Williams, Chief Patient</w:t>
            </w:r>
          </w:p>
        </w:tc>
        <w:tc>
          <w:tcPr>
            <w:tcW w:w="120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27, 2025</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04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130,000</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May 1, 2026</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 Intended to satisfy the affirmative defense conditions of Rule 10b5-1(c)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Not intended to satisfy the affirmative defense conditions of Rule 10b5-1(c)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ectPr>
          <w:pgSz w:w="11900" w:h="16838" w:orient="portrait"/>
          <w:cols w:equalWidth="0" w:num="1">
            <w:col w:w="11100"/>
          </w:cols>
          <w:pgMar w:left="320" w:top="337" w:right="47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80" w:type="dxa"/>
            <w:vAlign w:val="bottom"/>
            <w:tcBorders>
              <w:bottom w:val="single" w:sz="8" w:color="auto"/>
            </w:tcBorders>
          </w:tcPr>
          <w:p>
            <w:pPr>
              <w:spacing w:after="0"/>
              <w:rPr>
                <w:sz w:val="20"/>
                <w:szCs w:val="20"/>
                <w:color w:val="auto"/>
              </w:rPr>
            </w:pPr>
          </w:p>
        </w:tc>
      </w:tr>
      <w:tr>
        <w:trPr>
          <w:trHeight w:val="237"/>
        </w:trPr>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40" w:type="dxa"/>
            <w:vAlign w:val="bottom"/>
            <w:gridSpan w:val="1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r>
      <w:tr>
        <w:trPr>
          <w:trHeight w:val="182"/>
        </w:trPr>
        <w:tc>
          <w:tcPr>
            <w:tcW w:w="90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4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Certificate of Incorporation.</w:t>
              </w:r>
            </w:hyperlink>
          </w:p>
        </w:tc>
        <w:tc>
          <w:tcPr>
            <w:tcW w:w="80" w:type="dxa"/>
            <w:vAlign w:val="bottom"/>
          </w:tcPr>
          <w:p>
            <w:pPr>
              <w:spacing w:after="0"/>
              <w:rPr>
                <w:sz w:val="15"/>
                <w:szCs w:val="15"/>
                <w:color w:val="auto"/>
              </w:rPr>
            </w:pPr>
          </w:p>
        </w:tc>
        <w:tc>
          <w:tcPr>
            <w:tcW w:w="7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06/24/2024</w:t>
            </w:r>
          </w:p>
        </w:tc>
        <w:tc>
          <w:tcPr>
            <w:tcW w:w="80" w:type="dxa"/>
            <w:vAlign w:val="bottom"/>
          </w:tcPr>
          <w:p>
            <w:pPr>
              <w:spacing w:after="0"/>
              <w:rPr>
                <w:sz w:val="15"/>
                <w:szCs w:val="15"/>
                <w:color w:val="auto"/>
              </w:rPr>
            </w:pPr>
          </w:p>
        </w:tc>
        <w:tc>
          <w:tcPr>
            <w:tcW w:w="9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Certificate of Amendment to Amended and Restated Certificate of Incorporation.</w:t>
              </w:r>
            </w:hyperlink>
          </w:p>
        </w:tc>
        <w:tc>
          <w:tcPr>
            <w:tcW w:w="260" w:type="dxa"/>
            <w:vAlign w:val="bottom"/>
            <w:gridSpan w:val="2"/>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06/20/2023</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9"/>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Second Amended and Restated Bylaws.</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08/04/2025</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9"/>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First Amendment to the Ardelyx, Inc. Amended and Restated 2014 Equity Plan</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06/18/2025</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Amendment.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Amendment Number 4 to Lease Agreement by and between Ardelyx, Inc, and</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Prospect Fifth Avenue, LLC.</w:t>
            </w:r>
          </w:p>
        </w:tc>
        <w:tc>
          <w:tcPr>
            <w:tcW w:w="3540" w:type="dxa"/>
            <w:vAlign w:val="bottom"/>
            <w:tcBorders>
              <w:top w:val="single" w:sz="8" w:color="0000FF"/>
            </w:tcBorders>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Offer Letter, dated April 10, 2025 by and between Ardelyx, Inc. and James P.</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Brady.</w:t>
            </w:r>
          </w:p>
        </w:tc>
        <w:tc>
          <w:tcPr>
            <w:tcW w:w="2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19"/>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Fifth Amendment to Loan and Security Agreement, dated June 30, 2025, by and</w:t>
              </w:r>
            </w:hyperlink>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07/03/2025</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among the Company, SLR Investment Corp., as collateral agent, and the lenders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party thereto.</w:t>
              </w:r>
            </w:hyperlink>
          </w:p>
        </w:tc>
        <w:tc>
          <w:tcPr>
            <w:tcW w:w="482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6"/>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30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55"/>
        </w:trPr>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360" w:type="dxa"/>
            <w:vAlign w:val="bottom"/>
            <w:gridSpan w:val="7"/>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268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The following financial statements, formatted in Inline Extensible Business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19"/>
          </w:tcPr>
          <w:p>
            <w:pPr>
              <w:spacing w:after="0" w:line="204" w:lineRule="exact"/>
              <w:rPr>
                <w:sz w:val="20"/>
                <w:szCs w:val="20"/>
                <w:color w:val="auto"/>
              </w:rPr>
            </w:pPr>
            <w:r>
              <w:rPr>
                <w:rFonts w:ascii="Times New Roman" w:cs="Times New Roman" w:eastAsia="Times New Roman" w:hAnsi="Times New Roman"/>
                <w:sz w:val="18"/>
                <w:szCs w:val="18"/>
                <w:color w:val="auto"/>
              </w:rPr>
              <w:t>Reporting Language (XBRL): (i) Condensed Balance Sheets as of June 30, 2025</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ind w:left="1020" w:right="3360"/>
        <w:spacing w:after="0" w:line="220" w:lineRule="auto"/>
        <w:rPr>
          <w:sz w:val="20"/>
          <w:szCs w:val="20"/>
          <w:color w:val="auto"/>
        </w:rPr>
      </w:pPr>
      <w:r>
        <w:rPr>
          <w:rFonts w:ascii="Times New Roman" w:cs="Times New Roman" w:eastAsia="Times New Roman" w:hAnsi="Times New Roman"/>
          <w:sz w:val="17"/>
          <w:szCs w:val="17"/>
          <w:color w:val="auto"/>
        </w:rPr>
        <w:t>and December 31, 2024, (ii) Condensed Statements of Operations and Comprehensive Loss for the three and six months ended June 30, 2025 and 2024, (iii) Condensed Statements of Changes in Stockholders’ Equity for the three and</w:t>
      </w:r>
    </w:p>
    <w:p>
      <w:pPr>
        <w:spacing w:after="0" w:line="2" w:lineRule="exact"/>
        <w:rPr>
          <w:sz w:val="20"/>
          <w:szCs w:val="20"/>
          <w:color w:val="auto"/>
        </w:rPr>
      </w:pPr>
    </w:p>
    <w:p>
      <w:pPr>
        <w:ind w:left="1020" w:right="3560"/>
        <w:spacing w:after="0" w:line="218" w:lineRule="auto"/>
        <w:rPr>
          <w:sz w:val="20"/>
          <w:szCs w:val="20"/>
          <w:color w:val="auto"/>
        </w:rPr>
      </w:pPr>
      <w:r>
        <w:rPr>
          <w:rFonts w:ascii="Times New Roman" w:cs="Times New Roman" w:eastAsia="Times New Roman" w:hAnsi="Times New Roman"/>
          <w:sz w:val="18"/>
          <w:szCs w:val="18"/>
          <w:color w:val="auto"/>
        </w:rPr>
        <w:t>six months ended June 30, 2025 and 2024, (iv) Condensed Statements of Cash Flows for the six months ended June 30, 2025 and 2024, and (v) Notes to Unaudited Condensed Financial Statements.</w:t>
      </w:r>
    </w:p>
    <w:p>
      <w:pPr>
        <w:spacing w:after="0" w:line="10" w:lineRule="exact"/>
        <w:rPr>
          <w:sz w:val="20"/>
          <w:szCs w:val="20"/>
          <w:color w:val="auto"/>
        </w:rPr>
      </w:pPr>
    </w:p>
    <w:p>
      <w:pPr>
        <w:ind w:left="1020" w:right="3660" w:hanging="994"/>
        <w:spacing w:after="0" w:line="237"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9525</wp:posOffset>
            </wp:positionV>
            <wp:extent cx="643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1048" w:lineRule="exact"/>
        <w:rPr>
          <w:sz w:val="20"/>
          <w:szCs w:val="20"/>
          <w:color w:val="auto"/>
        </w:rPr>
      </w:pPr>
    </w:p>
    <w:p>
      <w:pPr>
        <w:sectPr>
          <w:pgSz w:w="11900" w:h="16838" w:orient="portrait"/>
          <w:cols w:equalWidth="0" w:num="2">
            <w:col w:w="10220" w:space="160"/>
            <w:col w:w="720"/>
          </w:cols>
          <w:pgMar w:left="320" w:top="337" w:right="479" w:bottom="1440" w:gutter="0" w:footer="0" w:header="0"/>
          <w:type w:val="continuous"/>
        </w:sect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certification attached as Exhibit 32.1 that accompanies this Quarterly Report on Form 10-Q, is deemed furnished and not filed with the SEC and is not to be incorporated by reference into any filing of Ardelyx, Inc. under the Securities Act of 1933, as amended,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97" w:lineRule="exact"/>
        <w:rPr>
          <w:sz w:val="20"/>
          <w:szCs w:val="20"/>
          <w:color w:val="auto"/>
        </w:rPr>
      </w:pPr>
    </w:p>
    <w:p>
      <w:pPr>
        <w:ind w:left="20"/>
        <w:spacing w:after="0"/>
        <w:tabs>
          <w:tab w:leader="none" w:pos="5440" w:val="left"/>
          <w:tab w:leader="none" w:pos="59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34290</wp:posOffset>
            </wp:positionV>
            <wp:extent cx="33261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Joseph Reilly</w:t>
      </w:r>
    </w:p>
    <w:p>
      <w:pPr>
        <w:spacing w:after="0" w:line="3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Senior Vice President and Chief Accounting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7" w:right="1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SUMMARY OF ABBREVIATED TERMS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Throughout this Quarterly Report on Form 10-Q, we have used terms which are defined below:</w:t>
      </w:r>
    </w:p>
    <w:p>
      <w:pPr>
        <w:spacing w:after="0" w:line="196" w:lineRule="exact"/>
        <w:rPr>
          <w:sz w:val="20"/>
          <w:szCs w:val="20"/>
          <w:color w:val="auto"/>
        </w:rPr>
      </w:pPr>
    </w:p>
    <w:tbl>
      <w:tblPr>
        <w:tblLayout w:type="fixed"/>
        <w:tblInd w:w="13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340B Program</w:t>
            </w:r>
          </w:p>
        </w:tc>
        <w:tc>
          <w:tcPr>
            <w:tcW w:w="42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Public Health Service’s 340B Drug Pricing Program</w:t>
            </w:r>
          </w:p>
        </w:tc>
        <w:tc>
          <w:tcPr>
            <w:tcW w:w="1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GTN</w:t>
            </w:r>
          </w:p>
        </w:tc>
        <w:tc>
          <w:tcPr>
            <w:tcW w:w="4340" w:type="dxa"/>
            <w:vAlign w:val="bottom"/>
            <w:tcBorders>
              <w:top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gross-to-net</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AAKP</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American Association of Kidney Patients</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HCR</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HealthCare Royalty Partners IV, L.P.</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ACA</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Affordable Care Act</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HCR Agreement</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Royalty and Sales Milestone Interest Acquisition Agreement</w:t>
            </w:r>
          </w:p>
        </w:tc>
      </w:tr>
      <w:tr>
        <w:trPr>
          <w:trHeight w:val="162"/>
        </w:trPr>
        <w:tc>
          <w:tcPr>
            <w:tcW w:w="1180" w:type="dxa"/>
            <w:vAlign w:val="bottom"/>
            <w:tcBorders>
              <w:lef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AI Technologies</w:t>
            </w:r>
          </w:p>
        </w:tc>
        <w:tc>
          <w:tcPr>
            <w:tcW w:w="4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Artificial intelligence, machine learning and certain automated</w:t>
            </w:r>
          </w:p>
        </w:tc>
        <w:tc>
          <w:tcPr>
            <w:tcW w:w="13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HHS</w:t>
            </w:r>
          </w:p>
        </w:tc>
        <w:tc>
          <w:tcPr>
            <w:tcW w:w="4340" w:type="dxa"/>
            <w:vAlign w:val="bottom"/>
            <w:tcBorders>
              <w:right w:val="single" w:sz="8" w:color="auto"/>
            </w:tcBorders>
          </w:tcPr>
          <w:p>
            <w:pPr>
              <w:ind w:left="180"/>
              <w:spacing w:after="0" w:line="162" w:lineRule="exact"/>
              <w:rPr>
                <w:sz w:val="20"/>
                <w:szCs w:val="20"/>
                <w:color w:val="auto"/>
              </w:rPr>
            </w:pPr>
            <w:r>
              <w:rPr>
                <w:rFonts w:ascii="Times New Roman" w:cs="Times New Roman" w:eastAsia="Times New Roman" w:hAnsi="Times New Roman"/>
                <w:sz w:val="16"/>
                <w:szCs w:val="16"/>
                <w:color w:val="auto"/>
              </w:rPr>
              <w:t>Department of Health and Human Services</w:t>
            </w:r>
          </w:p>
        </w:tc>
      </w:tr>
      <w:tr>
        <w:trPr>
          <w:trHeight w:val="213"/>
        </w:trPr>
        <w:tc>
          <w:tcPr>
            <w:tcW w:w="1180" w:type="dxa"/>
            <w:vAlign w:val="bottom"/>
            <w:tcBorders>
              <w:left w:val="single" w:sz="8" w:color="auto"/>
            </w:tcBorders>
          </w:tcPr>
          <w:p>
            <w:pPr>
              <w:spacing w:after="0"/>
              <w:rPr>
                <w:sz w:val="18"/>
                <w:szCs w:val="18"/>
                <w:color w:val="auto"/>
              </w:rPr>
            </w:pP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decision-making technologies</w:t>
            </w:r>
          </w:p>
        </w:tc>
        <w:tc>
          <w:tcPr>
            <w:tcW w:w="1320" w:type="dxa"/>
            <w:vAlign w:val="bottom"/>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r>
      <w:tr>
        <w:trPr>
          <w:trHeight w:val="165"/>
        </w:trPr>
        <w:tc>
          <w:tcPr>
            <w:tcW w:w="1180" w:type="dxa"/>
            <w:vAlign w:val="bottom"/>
            <w:tcBorders>
              <w:left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AMP</w:t>
            </w:r>
          </w:p>
        </w:tc>
        <w:tc>
          <w:tcPr>
            <w:tcW w:w="420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average manufacturer price</w:t>
            </w:r>
          </w:p>
        </w:tc>
        <w:tc>
          <w:tcPr>
            <w:tcW w:w="13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HIPAA</w:t>
            </w:r>
          </w:p>
        </w:tc>
        <w:tc>
          <w:tcPr>
            <w:tcW w:w="4340" w:type="dxa"/>
            <w:vAlign w:val="bottom"/>
            <w:tcBorders>
              <w:right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Health Insurance Portability and Accountability Act of 1996,</w:t>
            </w:r>
          </w:p>
        </w:tc>
      </w:tr>
      <w:tr>
        <w:trPr>
          <w:trHeight w:val="216"/>
        </w:trPr>
        <w:tc>
          <w:tcPr>
            <w:tcW w:w="118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 amended, and regulations promulgated thereunder</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ANDA</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abbreviated New Drug Application</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HRSA</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Health Resources and Services Administration</w:t>
            </w:r>
          </w:p>
        </w:tc>
      </w:tr>
      <w:tr>
        <w:trPr>
          <w:trHeight w:val="165"/>
        </w:trPr>
        <w:tc>
          <w:tcPr>
            <w:tcW w:w="1180" w:type="dxa"/>
            <w:vAlign w:val="bottom"/>
            <w:tcBorders>
              <w:left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2024 Form 10-K</w:t>
            </w:r>
          </w:p>
        </w:tc>
        <w:tc>
          <w:tcPr>
            <w:tcW w:w="420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Annual Report on Form 10-K for the year ended December 31,</w:t>
            </w:r>
          </w:p>
        </w:tc>
        <w:tc>
          <w:tcPr>
            <w:tcW w:w="13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IBS-C</w:t>
            </w:r>
          </w:p>
        </w:tc>
        <w:tc>
          <w:tcPr>
            <w:tcW w:w="4340" w:type="dxa"/>
            <w:vAlign w:val="bottom"/>
            <w:tcBorders>
              <w:right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irritable bowel syndrome with constipation</w:t>
            </w:r>
          </w:p>
        </w:tc>
      </w:tr>
      <w:tr>
        <w:trPr>
          <w:trHeight w:val="210"/>
        </w:trPr>
        <w:tc>
          <w:tcPr>
            <w:tcW w:w="118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2024 filed with the SEC on February 20, 2025</w:t>
            </w:r>
          </w:p>
        </w:tc>
        <w:tc>
          <w:tcPr>
            <w:tcW w:w="1320" w:type="dxa"/>
            <w:vAlign w:val="bottom"/>
            <w:shd w:val="clear" w:color="auto" w:fill="CCEEFF"/>
          </w:tcPr>
          <w:p>
            <w:pPr>
              <w:spacing w:after="0"/>
              <w:rPr>
                <w:sz w:val="18"/>
                <w:szCs w:val="18"/>
                <w:color w:val="auto"/>
              </w:rPr>
            </w:pPr>
          </w:p>
        </w:tc>
        <w:tc>
          <w:tcPr>
            <w:tcW w:w="4340" w:type="dxa"/>
            <w:vAlign w:val="bottom"/>
            <w:tcBorders>
              <w:right w:val="single" w:sz="8" w:color="auto"/>
            </w:tcBorders>
            <w:shd w:val="clear" w:color="auto" w:fill="CCEEFF"/>
          </w:tcPr>
          <w:p>
            <w:pPr>
              <w:spacing w:after="0"/>
              <w:rPr>
                <w:sz w:val="18"/>
                <w:szCs w:val="18"/>
                <w:color w:val="auto"/>
              </w:rPr>
            </w:pPr>
          </w:p>
        </w:tc>
      </w:tr>
      <w:tr>
        <w:trPr>
          <w:trHeight w:val="168"/>
        </w:trPr>
        <w:tc>
          <w:tcPr>
            <w:tcW w:w="1180" w:type="dxa"/>
            <w:vAlign w:val="bottom"/>
            <w:tcBorders>
              <w:left w:val="single" w:sz="8" w:color="auto"/>
            </w:tcBorders>
            <w:shd w:val="clear" w:color="auto" w:fill="CCEEFF"/>
          </w:tcPr>
          <w:p>
            <w:pPr>
              <w:spacing w:after="0"/>
              <w:rPr>
                <w:sz w:val="14"/>
                <w:szCs w:val="14"/>
                <w:color w:val="auto"/>
              </w:rPr>
            </w:pPr>
          </w:p>
        </w:tc>
        <w:tc>
          <w:tcPr>
            <w:tcW w:w="4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340" w:type="dxa"/>
            <w:vAlign w:val="bottom"/>
            <w:tcBorders>
              <w:right w:val="single" w:sz="8" w:color="auto"/>
            </w:tcBorders>
            <w:shd w:val="clear" w:color="auto" w:fill="CCEEFF"/>
          </w:tcPr>
          <w:p>
            <w:pPr>
              <w:spacing w:after="0"/>
              <w:rPr>
                <w:sz w:val="14"/>
                <w:szCs w:val="14"/>
                <w:color w:val="auto"/>
              </w:rPr>
            </w:pP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API</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active pharmaceutical ingredient</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IND</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Investigational New Drug</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AstraZeneca</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AstraZeneca AB</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IRA</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Inflation Reduction Act of 2022</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ASU</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Accounting Standards Update</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IRB</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institutional review board</w:t>
            </w:r>
          </w:p>
        </w:tc>
      </w:tr>
      <w:tr>
        <w:trPr>
          <w:trHeight w:val="165"/>
        </w:trPr>
        <w:tc>
          <w:tcPr>
            <w:tcW w:w="1180" w:type="dxa"/>
            <w:vAlign w:val="bottom"/>
            <w:tcBorders>
              <w:left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CCPA</w:t>
            </w:r>
          </w:p>
        </w:tc>
        <w:tc>
          <w:tcPr>
            <w:tcW w:w="420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California Consumer Privacy Act, as amended by the</w:t>
            </w:r>
          </w:p>
        </w:tc>
        <w:tc>
          <w:tcPr>
            <w:tcW w:w="13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Jefferies</w:t>
            </w:r>
          </w:p>
        </w:tc>
        <w:tc>
          <w:tcPr>
            <w:tcW w:w="4340" w:type="dxa"/>
            <w:vAlign w:val="bottom"/>
            <w:tcBorders>
              <w:right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Jefferies, LLC</w:t>
            </w:r>
          </w:p>
        </w:tc>
      </w:tr>
      <w:tr>
        <w:trPr>
          <w:trHeight w:val="216"/>
        </w:trPr>
        <w:tc>
          <w:tcPr>
            <w:tcW w:w="118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California Privacy Rights Act</w:t>
            </w:r>
          </w:p>
        </w:tc>
        <w:tc>
          <w:tcPr>
            <w:tcW w:w="1320" w:type="dxa"/>
            <w:vAlign w:val="bottom"/>
            <w:shd w:val="clear" w:color="auto" w:fill="CCEEFF"/>
          </w:tcPr>
          <w:p>
            <w:pPr>
              <w:spacing w:after="0"/>
              <w:rPr>
                <w:sz w:val="18"/>
                <w:szCs w:val="18"/>
                <w:color w:val="auto"/>
              </w:rPr>
            </w:pPr>
          </w:p>
        </w:tc>
        <w:tc>
          <w:tcPr>
            <w:tcW w:w="4340" w:type="dxa"/>
            <w:vAlign w:val="bottom"/>
            <w:tcBorders>
              <w:right w:val="single" w:sz="8" w:color="auto"/>
            </w:tcBorders>
            <w:shd w:val="clear" w:color="auto" w:fill="CCEEFF"/>
          </w:tcPr>
          <w:p>
            <w:pPr>
              <w:spacing w:after="0"/>
              <w:rPr>
                <w:sz w:val="18"/>
                <w:szCs w:val="18"/>
                <w:color w:val="auto"/>
              </w:rPr>
            </w:pP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cGMP</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current Good Manufacturing Practice</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Kyowa Kirin</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Kyowa Kirin Co., Ltd.</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CKD</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chronic kidney disease</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Knight</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Knight Therapeutics, Inc.</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CME</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Chicago Mercantile Exchange</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MDRP</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Medicaid Drug Rebate Program</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CMO</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contract manufacturing organization</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METiS</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METiS Therapeutics, Inc.</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CMS</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Centers for Medicare &amp; Medicaid Services</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MHLW</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Ministry of Health, Labour and Welfare</w:t>
            </w:r>
          </w:p>
        </w:tc>
      </w:tr>
      <w:tr>
        <w:trPr>
          <w:trHeight w:val="165"/>
        </w:trPr>
        <w:tc>
          <w:tcPr>
            <w:tcW w:w="1180" w:type="dxa"/>
            <w:vAlign w:val="bottom"/>
            <w:tcBorders>
              <w:left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CRO</w:t>
            </w:r>
          </w:p>
        </w:tc>
        <w:tc>
          <w:tcPr>
            <w:tcW w:w="420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contract research organization</w:t>
            </w:r>
          </w:p>
        </w:tc>
        <w:tc>
          <w:tcPr>
            <w:tcW w:w="13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MIPPA</w:t>
            </w:r>
          </w:p>
        </w:tc>
        <w:tc>
          <w:tcPr>
            <w:tcW w:w="4340" w:type="dxa"/>
            <w:vAlign w:val="bottom"/>
            <w:tcBorders>
              <w:right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Medicare Improvements for Patients and</w:t>
            </w:r>
          </w:p>
        </w:tc>
      </w:tr>
      <w:tr>
        <w:trPr>
          <w:trHeight w:val="216"/>
        </w:trPr>
        <w:tc>
          <w:tcPr>
            <w:tcW w:w="118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Providers Act</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CODM</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Chief Operating Decision Maker</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OLC</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Oxylanthanum Carbonate</w:t>
            </w:r>
          </w:p>
        </w:tc>
      </w:tr>
      <w:tr>
        <w:trPr>
          <w:trHeight w:val="165"/>
        </w:trPr>
        <w:tc>
          <w:tcPr>
            <w:tcW w:w="1180" w:type="dxa"/>
            <w:vAlign w:val="bottom"/>
            <w:tcBorders>
              <w:left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Customers</w:t>
            </w:r>
          </w:p>
        </w:tc>
        <w:tc>
          <w:tcPr>
            <w:tcW w:w="5520" w:type="dxa"/>
            <w:vAlign w:val="bottom"/>
            <w:gridSpan w:val="2"/>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collectively, major wholesalers, specialty pharmacies and GPOs NCE</w:t>
            </w:r>
          </w:p>
        </w:tc>
        <w:tc>
          <w:tcPr>
            <w:tcW w:w="4340" w:type="dxa"/>
            <w:vAlign w:val="bottom"/>
            <w:tcBorders>
              <w:right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new chemical entity</w:t>
            </w:r>
          </w:p>
        </w:tc>
      </w:tr>
      <w:tr>
        <w:trPr>
          <w:trHeight w:val="216"/>
        </w:trPr>
        <w:tc>
          <w:tcPr>
            <w:tcW w:w="1180" w:type="dxa"/>
            <w:vAlign w:val="bottom"/>
            <w:tcBorders>
              <w:left w:val="single" w:sz="8" w:color="auto"/>
            </w:tcBorders>
            <w:shd w:val="clear" w:color="auto" w:fill="CCEEFF"/>
          </w:tcPr>
          <w:p>
            <w:pPr>
              <w:spacing w:after="0"/>
              <w:rPr>
                <w:sz w:val="18"/>
                <w:szCs w:val="18"/>
                <w:color w:val="auto"/>
              </w:rPr>
            </w:pP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(IBSRELA) and specialty wholesaler (XPHOZAH)</w:t>
            </w:r>
          </w:p>
        </w:tc>
        <w:tc>
          <w:tcPr>
            <w:tcW w:w="1320" w:type="dxa"/>
            <w:vAlign w:val="bottom"/>
            <w:shd w:val="clear" w:color="auto" w:fill="CCEEFF"/>
          </w:tcPr>
          <w:p>
            <w:pPr>
              <w:spacing w:after="0"/>
              <w:rPr>
                <w:sz w:val="18"/>
                <w:szCs w:val="18"/>
                <w:color w:val="auto"/>
              </w:rPr>
            </w:pPr>
          </w:p>
        </w:tc>
        <w:tc>
          <w:tcPr>
            <w:tcW w:w="4340" w:type="dxa"/>
            <w:vAlign w:val="bottom"/>
            <w:tcBorders>
              <w:right w:val="single" w:sz="8" w:color="auto"/>
            </w:tcBorders>
            <w:shd w:val="clear" w:color="auto" w:fill="CCEEFF"/>
          </w:tcPr>
          <w:p>
            <w:pPr>
              <w:spacing w:after="0"/>
              <w:rPr>
                <w:sz w:val="18"/>
                <w:szCs w:val="18"/>
                <w:color w:val="auto"/>
              </w:rPr>
            </w:pP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DPF</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EU-US Data Privacy Framework</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NDA</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New Drug Application</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EEA</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European Economic Area</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NH3</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sodium hydrogen exchange 3</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NMPA</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National Medical Products Administration</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ESRD</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End-Stage Renal Disease</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NOL</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operating loss</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ESRD PPS</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End-Stage Renal Disease Prospective Payment System</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NMQF</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National Minority Quality Forum</w:t>
            </w:r>
          </w:p>
        </w:tc>
      </w:tr>
      <w:tr>
        <w:trPr>
          <w:trHeight w:val="165"/>
        </w:trPr>
        <w:tc>
          <w:tcPr>
            <w:tcW w:w="1180" w:type="dxa"/>
            <w:vAlign w:val="bottom"/>
            <w:tcBorders>
              <w:left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EU Patent</w:t>
            </w:r>
          </w:p>
        </w:tc>
        <w:tc>
          <w:tcPr>
            <w:tcW w:w="420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European Patent Package</w:t>
            </w:r>
          </w:p>
        </w:tc>
        <w:tc>
          <w:tcPr>
            <w:tcW w:w="1320" w:type="dxa"/>
            <w:vAlign w:val="bottom"/>
            <w:shd w:val="clear" w:color="auto" w:fill="CCEEFF"/>
          </w:tcPr>
          <w:p>
            <w:pPr>
              <w:ind w:left="60"/>
              <w:spacing w:after="0" w:line="165" w:lineRule="exact"/>
              <w:rPr>
                <w:sz w:val="20"/>
                <w:szCs w:val="20"/>
                <w:color w:val="auto"/>
              </w:rPr>
            </w:pPr>
            <w:r>
              <w:rPr>
                <w:rFonts w:ascii="Times New Roman" w:cs="Times New Roman" w:eastAsia="Times New Roman" w:hAnsi="Times New Roman"/>
                <w:sz w:val="16"/>
                <w:szCs w:val="16"/>
                <w:color w:val="auto"/>
              </w:rPr>
              <w:t>Non-FAMP</w:t>
            </w:r>
          </w:p>
        </w:tc>
        <w:tc>
          <w:tcPr>
            <w:tcW w:w="4340" w:type="dxa"/>
            <w:vAlign w:val="bottom"/>
            <w:tcBorders>
              <w:right w:val="single" w:sz="8" w:color="auto"/>
            </w:tcBorders>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Non-Federal Average Manufacturer Price</w:t>
            </w:r>
          </w:p>
        </w:tc>
      </w:tr>
      <w:tr>
        <w:trPr>
          <w:trHeight w:val="216"/>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Package</w:t>
            </w:r>
          </w:p>
        </w:tc>
        <w:tc>
          <w:tcPr>
            <w:tcW w:w="4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340" w:type="dxa"/>
            <w:vAlign w:val="bottom"/>
            <w:tcBorders>
              <w:right w:val="single" w:sz="8" w:color="auto"/>
            </w:tcBorders>
            <w:shd w:val="clear" w:color="auto" w:fill="CCEEFF"/>
          </w:tcPr>
          <w:p>
            <w:pPr>
              <w:spacing w:after="0"/>
              <w:rPr>
                <w:sz w:val="18"/>
                <w:szCs w:val="18"/>
                <w:color w:val="auto"/>
              </w:rPr>
            </w:pP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Exchange Act</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Securities Exchange Act of 1934, as amended</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R&amp;D</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FASB</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Financial Accounting Standards Board</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REMS</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Risk Evaluation and Mitigation Strategy</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FDA</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Food and Drug Administration</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RSU</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restricted stock units</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FFDCA</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Federal Food, Drug, and Cosmetic Act</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SLR</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SLR Investment Corp.</w:t>
            </w:r>
          </w:p>
        </w:tc>
      </w:tr>
      <w:tr>
        <w:trPr>
          <w:trHeight w:val="162"/>
        </w:trPr>
        <w:tc>
          <w:tcPr>
            <w:tcW w:w="1180" w:type="dxa"/>
            <w:vAlign w:val="bottom"/>
            <w:tcBorders>
              <w:left w:val="single" w:sz="8" w:color="auto"/>
            </w:tcBorders>
          </w:tcPr>
          <w:p>
            <w:pPr>
              <w:ind w:left="20"/>
              <w:spacing w:after="0" w:line="162" w:lineRule="exact"/>
              <w:rPr>
                <w:sz w:val="20"/>
                <w:szCs w:val="20"/>
                <w:color w:val="auto"/>
              </w:rPr>
            </w:pPr>
            <w:r>
              <w:rPr>
                <w:rFonts w:ascii="Times New Roman" w:cs="Times New Roman" w:eastAsia="Times New Roman" w:hAnsi="Times New Roman"/>
                <w:sz w:val="16"/>
                <w:szCs w:val="16"/>
                <w:color w:val="auto"/>
              </w:rPr>
              <w:t>Fosun Pharma</w:t>
            </w:r>
          </w:p>
        </w:tc>
        <w:tc>
          <w:tcPr>
            <w:tcW w:w="42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Shanghai Fosun Pharmaceutical Industrial Development Co.</w:t>
            </w:r>
          </w:p>
        </w:tc>
        <w:tc>
          <w:tcPr>
            <w:tcW w:w="13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color w:val="auto"/>
              </w:rPr>
              <w:t>SEC</w:t>
            </w:r>
          </w:p>
        </w:tc>
        <w:tc>
          <w:tcPr>
            <w:tcW w:w="4340" w:type="dxa"/>
            <w:vAlign w:val="bottom"/>
            <w:tcBorders>
              <w:right w:val="single" w:sz="8" w:color="auto"/>
            </w:tcBorders>
          </w:tcPr>
          <w:p>
            <w:pPr>
              <w:ind w:left="180"/>
              <w:spacing w:after="0" w:line="162" w:lineRule="exact"/>
              <w:rPr>
                <w:sz w:val="20"/>
                <w:szCs w:val="20"/>
                <w:color w:val="auto"/>
              </w:rPr>
            </w:pPr>
            <w:r>
              <w:rPr>
                <w:rFonts w:ascii="Times New Roman" w:cs="Times New Roman" w:eastAsia="Times New Roman" w:hAnsi="Times New Roman"/>
                <w:sz w:val="16"/>
                <w:szCs w:val="16"/>
                <w:color w:val="auto"/>
              </w:rPr>
              <w:t>Securities and Exchange Commission</w:t>
            </w:r>
          </w:p>
        </w:tc>
      </w:tr>
      <w:tr>
        <w:trPr>
          <w:trHeight w:val="213"/>
        </w:trPr>
        <w:tc>
          <w:tcPr>
            <w:tcW w:w="1180" w:type="dxa"/>
            <w:vAlign w:val="bottom"/>
            <w:tcBorders>
              <w:left w:val="single" w:sz="8" w:color="auto"/>
            </w:tcBorders>
          </w:tcPr>
          <w:p>
            <w:pPr>
              <w:spacing w:after="0"/>
              <w:rPr>
                <w:sz w:val="18"/>
                <w:szCs w:val="18"/>
                <w:color w:val="auto"/>
              </w:rPr>
            </w:pP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Ltd.</w:t>
            </w:r>
          </w:p>
        </w:tc>
        <w:tc>
          <w:tcPr>
            <w:tcW w:w="1320" w:type="dxa"/>
            <w:vAlign w:val="bottom"/>
          </w:tcPr>
          <w:p>
            <w:pPr>
              <w:spacing w:after="0"/>
              <w:rPr>
                <w:sz w:val="18"/>
                <w:szCs w:val="18"/>
                <w:color w:val="auto"/>
              </w:rPr>
            </w:pPr>
          </w:p>
        </w:tc>
        <w:tc>
          <w:tcPr>
            <w:tcW w:w="4340" w:type="dxa"/>
            <w:vAlign w:val="bottom"/>
            <w:tcBorders>
              <w:right w:val="single" w:sz="8" w:color="auto"/>
            </w:tcBorders>
          </w:tcPr>
          <w:p>
            <w:pPr>
              <w:spacing w:after="0"/>
              <w:rPr>
                <w:sz w:val="18"/>
                <w:szCs w:val="18"/>
                <w:color w:val="auto"/>
              </w:rPr>
            </w:pP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FSS</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Federal Supply Schedule</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SOFR</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Secured Overnight Financing Rate</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FTC</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Federal Trade Commission</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TDAPA</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Transitional Drug Add-on Payment Adjustment</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generally accepted accounting principles</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UPC</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European Unified Patent Court</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GCP</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 Clinical Practice</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U.S.</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r>
      <w:tr>
        <w:trPr>
          <w:trHeight w:val="219"/>
        </w:trPr>
        <w:tc>
          <w:tcPr>
            <w:tcW w:w="118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GDPR</w:t>
            </w:r>
          </w:p>
        </w:tc>
        <w:tc>
          <w:tcPr>
            <w:tcW w:w="4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European Union General Data Protection Regulation</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USPTO</w:t>
            </w:r>
          </w:p>
        </w:tc>
        <w:tc>
          <w:tcPr>
            <w:tcW w:w="4340" w:type="dxa"/>
            <w:vAlign w:val="bottom"/>
            <w:tcBorders>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Patent and Trademark Office</w:t>
            </w:r>
          </w:p>
        </w:tc>
      </w:tr>
      <w:tr>
        <w:trPr>
          <w:trHeight w:val="213"/>
        </w:trPr>
        <w:tc>
          <w:tcPr>
            <w:tcW w:w="118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GLP</w:t>
            </w:r>
          </w:p>
        </w:tc>
        <w:tc>
          <w:tcPr>
            <w:tcW w:w="42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Good Laboratory Practice</w:t>
            </w:r>
          </w:p>
        </w:tc>
        <w:tc>
          <w:tcPr>
            <w:tcW w:w="13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VA</w:t>
            </w:r>
          </w:p>
        </w:tc>
        <w:tc>
          <w:tcPr>
            <w:tcW w:w="4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Department of Veterans Affairs</w:t>
            </w:r>
          </w:p>
        </w:tc>
      </w:tr>
      <w:tr>
        <w:trPr>
          <w:trHeight w:val="216"/>
        </w:trPr>
        <w:tc>
          <w:tcPr>
            <w:tcW w:w="1180" w:type="dxa"/>
            <w:vAlign w:val="bottom"/>
            <w:tcBorders>
              <w:left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GPO</w:t>
            </w:r>
          </w:p>
        </w:tc>
        <w:tc>
          <w:tcPr>
            <w:tcW w:w="4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group purchasing organization</w:t>
            </w:r>
          </w:p>
        </w:tc>
        <w:tc>
          <w:tcPr>
            <w:tcW w:w="1320" w:type="dxa"/>
            <w:vAlign w:val="bottom"/>
            <w:tcBorders>
              <w:bottom w:val="single" w:sz="8" w:color="auto"/>
            </w:tcBorders>
            <w:shd w:val="clear" w:color="auto" w:fill="CCEEFF"/>
          </w:tcPr>
          <w:p>
            <w:pPr>
              <w:spacing w:after="0"/>
              <w:rPr>
                <w:sz w:val="18"/>
                <w:szCs w:val="18"/>
                <w:color w:val="auto"/>
              </w:rPr>
            </w:pPr>
          </w:p>
        </w:tc>
        <w:tc>
          <w:tcPr>
            <w:tcW w:w="4340" w:type="dxa"/>
            <w:vAlign w:val="bottom"/>
            <w:tcBorders>
              <w:bottom w:val="single" w:sz="8" w:color="auto"/>
              <w:right w:val="single" w:sz="8" w:color="auto"/>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60"/>
          </w:cols>
          <w:pgMar w:left="320" w:top="337" w:right="4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FOURTH AMENDMENT TO COMMERCIAL LEASE</w:t>
      </w:r>
    </w:p>
    <w:p>
      <w:pPr>
        <w:spacing w:after="0" w:line="2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The Parties hereto, </w:t>
      </w:r>
      <w:r>
        <w:rPr>
          <w:rFonts w:ascii="Times New Roman" w:cs="Times New Roman" w:eastAsia="Times New Roman" w:hAnsi="Times New Roman"/>
          <w:sz w:val="21"/>
          <w:szCs w:val="21"/>
          <w:b w:val="1"/>
          <w:bCs w:val="1"/>
          <w:color w:val="auto"/>
        </w:rPr>
        <w:t>Prospect Fifth Ave LLC</w:t>
      </w:r>
      <w:r>
        <w:rPr>
          <w:rFonts w:ascii="Times New Roman" w:cs="Times New Roman" w:eastAsia="Times New Roman" w:hAnsi="Times New Roman"/>
          <w:sz w:val="21"/>
          <w:szCs w:val="21"/>
          <w:color w:val="auto"/>
        </w:rPr>
        <w:t xml:space="preserve">, (“Landlord”) and </w:t>
      </w:r>
      <w:r>
        <w:rPr>
          <w:rFonts w:ascii="Times New Roman" w:cs="Times New Roman" w:eastAsia="Times New Roman" w:hAnsi="Times New Roman"/>
          <w:sz w:val="21"/>
          <w:szCs w:val="21"/>
          <w:b w:val="1"/>
          <w:bCs w:val="1"/>
          <w:color w:val="auto"/>
        </w:rPr>
        <w:t>Ardelyx, Inc.</w:t>
      </w:r>
      <w:r>
        <w:rPr>
          <w:rFonts w:ascii="Times New Roman" w:cs="Times New Roman" w:eastAsia="Times New Roman" w:hAnsi="Times New Roman"/>
          <w:sz w:val="21"/>
          <w:szCs w:val="21"/>
          <w:color w:val="auto"/>
        </w:rPr>
        <w:t xml:space="preserve"> ( “Tenant”) are Parties under a certain Commercial Lease dated December 30, 2020, a Commencement Date Agreement dated March 18, 2021, a First Amendment of Lease dated April 9, 2021, a Second Amendment to Commercial Lease dated August 18, 2023, and a Third Amendment to Commercial Lease dated April 12, 2024 (collectively the “Lease Agreement”) for approximately 22,903 rentable square feet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and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floors at 400 Fifth Avenue, Waltham, MA (“Building”), Suites 200, 210, and 300 hereby agree as follows:</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WHEREAS, the Parties have agreed to amend the Lease Agreement by this Fourth Amendment to Commercial Lease (“Fourth Amendment”) to expand the Leased Premises by leasing Suite 310 for approximately 4,247 rentable square feet on the third floor of the Building, and to adjust relevant provisions of the Lease Agreement pursuant to the terms and conditions stated herein. Capitalized terms used but not otherwise defined herein shall have the meaning assigned to them in the Lease Agreement;</w:t>
      </w:r>
    </w:p>
    <w:p>
      <w:pPr>
        <w:spacing w:after="0" w:line="2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WHEREAS, the Parties acknowledge and agree that the validity, effectiveness, and enforceability of this Fourth Amendment is expressly contingent upon i) Landlord executing a separate agreement with a third party for the surrender of Suite 310 and ii) said third party completely vacating Suite 310;</w:t>
      </w:r>
    </w:p>
    <w:p>
      <w:pPr>
        <w:spacing w:after="0" w:line="22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NOW THEREFORE, for mutual consideration, the receipt of which is hereby acknowledged by both Parties, effective on and after the date this Fourth Amendment is fully executed by both Parties, Landlord and Tenant hereby agree to amend the Lease Agreement as follows:</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BASIC DATA:</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 is hereby amended so as to add the following language to the provision “</w:t>
      </w:r>
      <w:r>
        <w:rPr>
          <w:rFonts w:ascii="Times New Roman" w:cs="Times New Roman" w:eastAsia="Times New Roman" w:hAnsi="Times New Roman"/>
          <w:sz w:val="22"/>
          <w:szCs w:val="22"/>
          <w:b w:val="1"/>
          <w:bCs w:val="1"/>
          <w:color w:val="auto"/>
        </w:rPr>
        <w:t>Premises Rentable Area</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Suite 310 Expansion Premises: </w:t>
      </w:r>
      <w:r>
        <w:rPr>
          <w:rFonts w:ascii="Times New Roman" w:cs="Times New Roman" w:eastAsia="Times New Roman" w:hAnsi="Times New Roman"/>
          <w:sz w:val="22"/>
          <w:szCs w:val="22"/>
          <w:color w:val="auto"/>
        </w:rPr>
        <w:t>Upon the Suite 310 Expansion Premises Commencement Date (as defined below),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Leased Premises shall be expanded by adding approximately 4,247 rentable square feet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floor of the Building, specifically Suite 310. Unless otherwise expressly stated, all references to “Premises” or “Leased Premises” shall apply to and include Suites 200, 210, 300, and 310 totaling approximately 27,150 rentable square feet upon the Suite 310 Expansion Premises Commencement Date which is targeted for August 1, 2025.</w:t>
      </w:r>
    </w:p>
    <w:p>
      <w:pPr>
        <w:spacing w:after="0" w:line="24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BASIC DATA:</w:t>
      </w:r>
    </w:p>
    <w:p>
      <w:pPr>
        <w:spacing w:after="0" w:line="3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2"/>
          <w:szCs w:val="22"/>
          <w:color w:val="auto"/>
        </w:rPr>
        <w:t>Section 1.2 is hereby amended so as to add the provision “</w:t>
      </w:r>
      <w:r>
        <w:rPr>
          <w:rFonts w:ascii="Times New Roman" w:cs="Times New Roman" w:eastAsia="Times New Roman" w:hAnsi="Times New Roman"/>
          <w:sz w:val="22"/>
          <w:szCs w:val="22"/>
          <w:b w:val="1"/>
          <w:bCs w:val="1"/>
          <w:color w:val="auto"/>
        </w:rPr>
        <w:t>Suite 310 Expansion Premises Commencement Date</w:t>
      </w:r>
      <w:r>
        <w:rPr>
          <w:rFonts w:ascii="Times New Roman" w:cs="Times New Roman" w:eastAsia="Times New Roman" w:hAnsi="Times New Roman"/>
          <w:sz w:val="22"/>
          <w:szCs w:val="22"/>
          <w:color w:val="auto"/>
        </w:rPr>
        <w:t>” with the following:</w:t>
      </w:r>
    </w:p>
    <w:p>
      <w:pPr>
        <w:sectPr>
          <w:pgSz w:w="11900" w:h="16838" w:orient="portrait"/>
          <w:cols w:equalWidth="0" w:num="1">
            <w:col w:w="11240"/>
          </w:cols>
          <w:pgMar w:left="320" w:top="126" w:right="339" w:bottom="1440" w:gutter="0" w:footer="0" w:header="0"/>
        </w:sectPr>
      </w:pPr>
    </w:p>
    <w:bookmarkStart w:id="67" w:name="page68"/>
    <w:bookmarkEnd w:id="67"/>
    <w:p>
      <w:pPr>
        <w:spacing w:after="0" w:line="248" w:lineRule="exact"/>
        <w:rPr>
          <w:sz w:val="20"/>
          <w:szCs w:val="20"/>
          <w:color w:val="auto"/>
        </w:rPr>
      </w:pPr>
    </w:p>
    <w:p>
      <w:pPr>
        <w:jc w:val="both"/>
        <w:ind w:left="660" w:right="2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Suite 310 Expansion Premises Commencement Date: </w:t>
      </w:r>
      <w:r>
        <w:rPr>
          <w:rFonts w:ascii="Times New Roman" w:cs="Times New Roman" w:eastAsia="Times New Roman" w:hAnsi="Times New Roman"/>
          <w:sz w:val="22"/>
          <w:szCs w:val="22"/>
          <w:color w:val="auto"/>
        </w:rPr>
        <w:t>Suite 310 Expansion Premises Commencement Date shall begin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Substantial Completion (as defined in Section 4.3 below) of the Landlord’s Work (as defined in Section 4.3 below), which as of the date of this Fourth Amendment, is estimated by the Parties to be August 1, 2025.</w:t>
      </w:r>
    </w:p>
    <w:p>
      <w:pPr>
        <w:spacing w:after="0" w:line="2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BASIC DATA:</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Section 1.2 is hereby amended so as to delete the complete provision “</w:t>
      </w:r>
      <w:r>
        <w:rPr>
          <w:rFonts w:ascii="Times New Roman" w:cs="Times New Roman" w:eastAsia="Times New Roman" w:hAnsi="Times New Roman"/>
          <w:sz w:val="21"/>
          <w:szCs w:val="21"/>
          <w:b w:val="1"/>
          <w:bCs w:val="1"/>
          <w:color w:val="auto"/>
        </w:rPr>
        <w:t>Escalation Factor</w:t>
      </w:r>
      <w:r>
        <w:rPr>
          <w:rFonts w:ascii="Times New Roman" w:cs="Times New Roman" w:eastAsia="Times New Roman" w:hAnsi="Times New Roman"/>
          <w:sz w:val="21"/>
          <w:szCs w:val="21"/>
          <w:color w:val="auto"/>
        </w:rPr>
        <w:t>” and replace with the following:</w:t>
      </w:r>
    </w:p>
    <w:p>
      <w:pPr>
        <w:spacing w:after="0" w:line="257" w:lineRule="exact"/>
        <w:rPr>
          <w:sz w:val="20"/>
          <w:szCs w:val="20"/>
          <w:color w:val="auto"/>
        </w:rPr>
      </w:pPr>
    </w:p>
    <w:p>
      <w:pPr>
        <w:jc w:val="both"/>
        <w:ind w:left="66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Escalation Factor: </w:t>
      </w:r>
      <w:r>
        <w:rPr>
          <w:rFonts w:ascii="Times New Roman" w:cs="Times New Roman" w:eastAsia="Times New Roman" w:hAnsi="Times New Roman"/>
          <w:sz w:val="22"/>
          <w:szCs w:val="22"/>
          <w:color w:val="auto"/>
        </w:rPr>
        <w:t>20.20%, as computed in accordance with the Escalation Factor Computation. Upon the Suite 310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Expansion Premises Commencement Date, the Escalation Factor shall increase to 23.95% through the Expiration Date unless otherwise agreed by the parties in a further amendment to this Lease.</w:t>
      </w:r>
    </w:p>
    <w:p>
      <w:pPr>
        <w:spacing w:after="0" w:line="2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BASIC DATA:</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 is hereby amended so as to delete the complete provision “</w:t>
      </w:r>
      <w:r>
        <w:rPr>
          <w:rFonts w:ascii="Times New Roman" w:cs="Times New Roman" w:eastAsia="Times New Roman" w:hAnsi="Times New Roman"/>
          <w:sz w:val="22"/>
          <w:szCs w:val="22"/>
          <w:b w:val="1"/>
          <w:bCs w:val="1"/>
          <w:color w:val="auto"/>
        </w:rPr>
        <w:t>Initial Term</w:t>
      </w:r>
      <w:r>
        <w:rPr>
          <w:rFonts w:ascii="Times New Roman" w:cs="Times New Roman" w:eastAsia="Times New Roman" w:hAnsi="Times New Roman"/>
          <w:sz w:val="22"/>
          <w:szCs w:val="22"/>
          <w:color w:val="auto"/>
        </w:rPr>
        <w:t>” and replace with the following:</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TERM:</w:t>
      </w:r>
    </w:p>
    <w:p>
      <w:pPr>
        <w:spacing w:after="0" w:line="32" w:lineRule="exact"/>
        <w:rPr>
          <w:sz w:val="20"/>
          <w:szCs w:val="20"/>
          <w:color w:val="auto"/>
        </w:rPr>
      </w:pPr>
    </w:p>
    <w:p>
      <w:pPr>
        <w:jc w:val="both"/>
        <w:ind w:left="660" w:right="20"/>
        <w:spacing w:after="0" w:line="248" w:lineRule="auto"/>
        <w:rPr>
          <w:sz w:val="20"/>
          <w:szCs w:val="20"/>
          <w:color w:val="auto"/>
        </w:rPr>
      </w:pPr>
      <w:r>
        <w:rPr>
          <w:rFonts w:ascii="Times New Roman" w:cs="Times New Roman" w:eastAsia="Times New Roman" w:hAnsi="Times New Roman"/>
          <w:sz w:val="22"/>
          <w:szCs w:val="22"/>
          <w:b w:val="1"/>
          <w:bCs w:val="1"/>
          <w:color w:val="auto"/>
        </w:rPr>
        <w:t xml:space="preserve">Suite 310 Expansion Premises Term: </w:t>
      </w:r>
      <w:r>
        <w:rPr>
          <w:rFonts w:ascii="Times New Roman" w:cs="Times New Roman" w:eastAsia="Times New Roman" w:hAnsi="Times New Roman"/>
          <w:sz w:val="22"/>
          <w:szCs w:val="22"/>
          <w:color w:val="auto"/>
        </w:rPr>
        <w:t>The Suite 310 Expansion Premises Term shall begin on the Suite 310 Expansion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Commencement Date and shall end on July 31, 2029 (“Expiration Date”).</w:t>
      </w:r>
    </w:p>
    <w:p>
      <w:pPr>
        <w:spacing w:after="0" w:line="232"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22"/>
          <w:szCs w:val="22"/>
          <w:b w:val="1"/>
          <w:bCs w:val="1"/>
          <w:color w:val="auto"/>
        </w:rPr>
        <w:t>Initial Premises Initial Term</w:t>
      </w:r>
      <w:r>
        <w:rPr>
          <w:rFonts w:ascii="Times New Roman" w:cs="Times New Roman" w:eastAsia="Times New Roman" w:hAnsi="Times New Roman"/>
          <w:sz w:val="22"/>
          <w:szCs w:val="22"/>
          <w:color w:val="auto"/>
        </w:rPr>
        <w:t>: The Initial Term for the Initial Premises shall begin on Commencement Date as defined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Commencement Date Agreement and shall end on the above-defined Expiration Date of July 31, 2029 so as to be co-terminus.</w:t>
      </w:r>
    </w:p>
    <w:p>
      <w:pPr>
        <w:spacing w:after="0" w:line="215" w:lineRule="exact"/>
        <w:rPr>
          <w:sz w:val="20"/>
          <w:szCs w:val="20"/>
          <w:color w:val="auto"/>
        </w:rPr>
      </w:pPr>
    </w:p>
    <w:p>
      <w:pPr>
        <w:jc w:val="both"/>
        <w:ind w:left="660"/>
        <w:spacing w:after="0" w:line="275" w:lineRule="auto"/>
        <w:rPr>
          <w:sz w:val="20"/>
          <w:szCs w:val="20"/>
          <w:color w:val="auto"/>
        </w:rPr>
      </w:pPr>
      <w:r>
        <w:rPr>
          <w:rFonts w:ascii="Times New Roman" w:cs="Times New Roman" w:eastAsia="Times New Roman" w:hAnsi="Times New Roman"/>
          <w:sz w:val="22"/>
          <w:szCs w:val="22"/>
          <w:b w:val="1"/>
          <w:bCs w:val="1"/>
          <w:color w:val="auto"/>
        </w:rPr>
        <w:t>Substitute Premises Initial Term</w:t>
      </w:r>
      <w:r>
        <w:rPr>
          <w:rFonts w:ascii="Times New Roman" w:cs="Times New Roman" w:eastAsia="Times New Roman" w:hAnsi="Times New Roman"/>
          <w:sz w:val="22"/>
          <w:szCs w:val="22"/>
          <w:color w:val="auto"/>
        </w:rPr>
        <w:t>: The Substitute Premises Initial Term for the Substitute Premises shall begin on April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 2024 and end on the above-defined Expiration Date of July 31, 2029 so as to be co-terminus.</w:t>
      </w:r>
    </w:p>
    <w:p>
      <w:pPr>
        <w:spacing w:after="0" w:line="20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BASIC DATA:</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 is hereby amended so as to delete the complete provision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and replace with the following:</w:t>
      </w:r>
    </w:p>
    <w:p>
      <w:pPr>
        <w:spacing w:after="0" w:line="255" w:lineRule="exact"/>
        <w:rPr>
          <w:sz w:val="20"/>
          <w:szCs w:val="20"/>
          <w:color w:val="auto"/>
        </w:rPr>
      </w:pPr>
    </w:p>
    <w:p>
      <w:pPr>
        <w:jc w:val="both"/>
        <w:ind w:left="660"/>
        <w:spacing w:after="0" w:line="208" w:lineRule="auto"/>
        <w:rPr>
          <w:sz w:val="20"/>
          <w:szCs w:val="20"/>
          <w:color w:val="auto"/>
        </w:rPr>
      </w:pPr>
      <w:r>
        <w:rPr>
          <w:rFonts w:ascii="Times New Roman" w:cs="Times New Roman" w:eastAsia="Times New Roman" w:hAnsi="Times New Roman"/>
          <w:sz w:val="22"/>
          <w:szCs w:val="22"/>
          <w:b w:val="1"/>
          <w:bCs w:val="1"/>
          <w:color w:val="auto"/>
        </w:rPr>
        <w:t xml:space="preserve">Premises: </w:t>
      </w:r>
      <w:r>
        <w:rPr>
          <w:rFonts w:ascii="Times New Roman" w:cs="Times New Roman" w:eastAsia="Times New Roman" w:hAnsi="Times New Roman"/>
          <w:sz w:val="22"/>
          <w:szCs w:val="22"/>
          <w:color w:val="auto"/>
        </w:rPr>
        <w:t>Prior to the Suite 310 Expansion Premises Commencement Date, the portions of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(Suites 200 and 210)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(Suite 300) floors of the Building totaling approximately 22,903 rentable square feet. Upon the Suite 310 Expansion Premises Commencement Date, the portions of the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(Suites 200 and 210) and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(Suites 300 and 310) floors of the Building totaling approximately 27,150 rentable square feet.</w:t>
      </w:r>
    </w:p>
    <w:p>
      <w:pPr>
        <w:spacing w:after="0" w:line="25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u w:val="single" w:color="auto"/>
          <w:color w:val="auto"/>
        </w:rPr>
        <w:t>BASIC DATA</w:t>
      </w:r>
      <w:r>
        <w:rPr>
          <w:rFonts w:ascii="Times New Roman" w:cs="Times New Roman" w:eastAsia="Times New Roman" w:hAnsi="Times New Roman"/>
          <w:sz w:val="21"/>
          <w:szCs w:val="21"/>
          <w:b w:val="1"/>
          <w:bCs w:val="1"/>
          <w:color w:val="auto"/>
        </w:rPr>
        <w:t>:</w:t>
      </w:r>
    </w:p>
    <w:p>
      <w:pPr>
        <w:spacing w:after="0" w:line="32"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Section 1.2 is hereby amended so as to delete the complete provisions “</w:t>
      </w:r>
      <w:r>
        <w:rPr>
          <w:rFonts w:ascii="Times New Roman" w:cs="Times New Roman" w:eastAsia="Times New Roman" w:hAnsi="Times New Roman"/>
          <w:sz w:val="22"/>
          <w:szCs w:val="22"/>
          <w:b w:val="1"/>
          <w:bCs w:val="1"/>
          <w:color w:val="auto"/>
        </w:rPr>
        <w:t>Basic Rent</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Additional Free Rent</w:t>
      </w:r>
      <w:r>
        <w:rPr>
          <w:rFonts w:ascii="Times New Roman" w:cs="Times New Roman" w:eastAsia="Times New Roman" w:hAnsi="Times New Roman"/>
          <w:sz w:val="22"/>
          <w:szCs w:val="22"/>
          <w:color w:val="auto"/>
        </w:rPr>
        <w:t>” and replace with the following: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Initial Premises Basic Rent (Suites 210 &amp; 300):</w:t>
      </w:r>
    </w:p>
    <w:tbl>
      <w:tblPr>
        <w:tblLayout w:type="fixed"/>
        <w:tblInd w:w="660" w:type="dxa"/>
        <w:tblCellMar>
          <w:top w:w="0" w:type="dxa"/>
          <w:left w:w="0" w:type="dxa"/>
          <w:bottom w:w="0" w:type="dxa"/>
          <w:right w:w="0" w:type="dxa"/>
        </w:tblCellMar>
      </w:tblPr>
      <w:tr>
        <w:trPr>
          <w:trHeight w:val="237"/>
        </w:trPr>
        <w:tc>
          <w:tcPr>
            <w:tcW w:w="1580" w:type="dxa"/>
            <w:vAlign w:val="bottom"/>
          </w:tcPr>
          <w:p>
            <w:pPr>
              <w:spacing w:after="0" w:line="238" w:lineRule="exact"/>
              <w:rPr>
                <w:sz w:val="20"/>
                <w:szCs w:val="20"/>
                <w:color w:val="auto"/>
              </w:rPr>
            </w:pPr>
            <w:r>
              <w:rPr>
                <w:rFonts w:ascii="Times New Roman" w:cs="Times New Roman" w:eastAsia="Times New Roman" w:hAnsi="Times New Roman"/>
                <w:sz w:val="22"/>
                <w:szCs w:val="22"/>
                <w:color w:val="auto"/>
              </w:rPr>
              <w:t>Monthly Period</w:t>
            </w:r>
          </w:p>
        </w:tc>
        <w:tc>
          <w:tcPr>
            <w:tcW w:w="1020" w:type="dxa"/>
            <w:vAlign w:val="bottom"/>
            <w:gridSpan w:val="2"/>
          </w:tcPr>
          <w:p>
            <w:pPr>
              <w:ind w:left="220"/>
              <w:spacing w:after="0" w:line="238" w:lineRule="exact"/>
              <w:rPr>
                <w:sz w:val="20"/>
                <w:szCs w:val="20"/>
                <w:color w:val="auto"/>
              </w:rPr>
            </w:pPr>
            <w:r>
              <w:rPr>
                <w:rFonts w:ascii="Times New Roman" w:cs="Times New Roman" w:eastAsia="Times New Roman" w:hAnsi="Times New Roman"/>
                <w:sz w:val="22"/>
                <w:szCs w:val="22"/>
                <w:color w:val="auto"/>
              </w:rPr>
              <w:t>per r.s.f.</w:t>
            </w:r>
          </w:p>
        </w:tc>
        <w:tc>
          <w:tcPr>
            <w:tcW w:w="2000" w:type="dxa"/>
            <w:vAlign w:val="bottom"/>
            <w:gridSpan w:val="3"/>
          </w:tcPr>
          <w:p>
            <w:pPr>
              <w:ind w:left="120"/>
              <w:spacing w:after="0" w:line="238" w:lineRule="exact"/>
              <w:rPr>
                <w:sz w:val="20"/>
                <w:szCs w:val="20"/>
                <w:color w:val="auto"/>
              </w:rPr>
            </w:pPr>
            <w:r>
              <w:rPr>
                <w:rFonts w:ascii="Times New Roman" w:cs="Times New Roman" w:eastAsia="Times New Roman" w:hAnsi="Times New Roman"/>
                <w:sz w:val="22"/>
                <w:szCs w:val="22"/>
                <w:color w:val="auto"/>
              </w:rPr>
              <w:t>Monthly Payment</w:t>
            </w:r>
          </w:p>
        </w:tc>
      </w:tr>
      <w:tr>
        <w:trPr>
          <w:trHeight w:val="289"/>
        </w:trPr>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5/1/2025 – 9/30/2025</w:t>
            </w:r>
          </w:p>
        </w:tc>
        <w:tc>
          <w:tcPr>
            <w:tcW w:w="920" w:type="dxa"/>
            <w:vAlign w:val="bottom"/>
            <w:tcBorders>
              <w:top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$30.63</w:t>
            </w:r>
          </w:p>
        </w:tc>
        <w:tc>
          <w:tcPr>
            <w:tcW w:w="14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$32,835.36</w:t>
            </w:r>
          </w:p>
        </w:tc>
        <w:tc>
          <w:tcPr>
            <w:tcW w:w="120" w:type="dxa"/>
            <w:vAlign w:val="bottom"/>
          </w:tcPr>
          <w:p>
            <w:pPr>
              <w:spacing w:after="0"/>
              <w:rPr>
                <w:sz w:val="24"/>
                <w:szCs w:val="24"/>
                <w:color w:val="auto"/>
              </w:rPr>
            </w:pPr>
          </w:p>
        </w:tc>
      </w:tr>
      <w:tr>
        <w:trPr>
          <w:trHeight w:val="514"/>
        </w:trPr>
        <w:tc>
          <w:tcPr>
            <w:tcW w:w="46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rPr>
              <w:t>Substitute Premises Basic Rent (Suite 200):</w:t>
            </w:r>
          </w:p>
        </w:tc>
      </w:tr>
      <w:tr>
        <w:trPr>
          <w:trHeight w:val="230"/>
        </w:trPr>
        <w:tc>
          <w:tcPr>
            <w:tcW w:w="15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Monthly Period</w:t>
            </w:r>
          </w:p>
        </w:tc>
        <w:tc>
          <w:tcPr>
            <w:tcW w:w="10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2"/>
                <w:szCs w:val="22"/>
                <w:color w:val="auto"/>
              </w:rPr>
              <w:t>per r.s.f.</w:t>
            </w:r>
          </w:p>
        </w:tc>
        <w:tc>
          <w:tcPr>
            <w:tcW w:w="20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22"/>
                <w:szCs w:val="22"/>
                <w:color w:val="auto"/>
              </w:rPr>
              <w:t>Monthly Payment</w:t>
            </w:r>
          </w:p>
        </w:tc>
      </w:tr>
      <w:tr>
        <w:trPr>
          <w:trHeight w:val="289"/>
        </w:trPr>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2/1/2025 – 9/30/2025</w:t>
            </w:r>
          </w:p>
        </w:tc>
        <w:tc>
          <w:tcPr>
            <w:tcW w:w="920" w:type="dxa"/>
            <w:vAlign w:val="bottom"/>
            <w:tcBorders>
              <w:top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$34.21</w:t>
            </w:r>
          </w:p>
        </w:tc>
        <w:tc>
          <w:tcPr>
            <w:tcW w:w="14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$28,619.52</w:t>
            </w:r>
          </w:p>
        </w:tc>
        <w:tc>
          <w:tcPr>
            <w:tcW w:w="120" w:type="dxa"/>
            <w:vAlign w:val="bottom"/>
          </w:tcPr>
          <w:p>
            <w:pPr>
              <w:spacing w:after="0"/>
              <w:rPr>
                <w:sz w:val="24"/>
                <w:szCs w:val="24"/>
                <w:color w:val="auto"/>
              </w:rPr>
            </w:pPr>
          </w:p>
        </w:tc>
      </w:tr>
      <w:tr>
        <w:trPr>
          <w:trHeight w:val="501"/>
        </w:trPr>
        <w:tc>
          <w:tcPr>
            <w:tcW w:w="46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w w:val="97"/>
              </w:rPr>
              <w:t>Premises Basic Rent (Suites 200, 210, 300, &amp; 310):</w:t>
            </w:r>
          </w:p>
        </w:tc>
      </w:tr>
      <w:tr>
        <w:trPr>
          <w:trHeight w:val="230"/>
        </w:trPr>
        <w:tc>
          <w:tcPr>
            <w:tcW w:w="15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Monthly Period</w:t>
            </w:r>
          </w:p>
        </w:tc>
        <w:tc>
          <w:tcPr>
            <w:tcW w:w="102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22"/>
                <w:szCs w:val="22"/>
                <w:color w:val="auto"/>
              </w:rPr>
              <w:t>per r.s.f.</w:t>
            </w:r>
          </w:p>
        </w:tc>
        <w:tc>
          <w:tcPr>
            <w:tcW w:w="20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22"/>
                <w:szCs w:val="22"/>
                <w:color w:val="auto"/>
              </w:rPr>
              <w:t>Monthly Payment</w:t>
            </w:r>
          </w:p>
        </w:tc>
      </w:tr>
      <w:tr>
        <w:trPr>
          <w:trHeight w:val="277"/>
        </w:trPr>
        <w:tc>
          <w:tcPr>
            <w:tcW w:w="21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9"/>
              </w:rPr>
              <w:t>10/1/2025* – 9/30/2026</w:t>
            </w:r>
          </w:p>
        </w:tc>
        <w:tc>
          <w:tcPr>
            <w:tcW w:w="920" w:type="dxa"/>
            <w:vAlign w:val="bottom"/>
            <w:tcBorders>
              <w:top w:val="single" w:sz="8" w:color="auto"/>
            </w:tcBorders>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$32.50</w:t>
            </w:r>
          </w:p>
        </w:tc>
        <w:tc>
          <w:tcPr>
            <w:tcW w:w="144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$73,531.25</w:t>
            </w:r>
          </w:p>
        </w:tc>
        <w:tc>
          <w:tcPr>
            <w:tcW w:w="120" w:type="dxa"/>
            <w:vAlign w:val="bottom"/>
          </w:tcPr>
          <w:p>
            <w:pPr>
              <w:spacing w:after="0"/>
              <w:rPr>
                <w:sz w:val="24"/>
                <w:szCs w:val="24"/>
                <w:color w:val="auto"/>
              </w:rPr>
            </w:pPr>
          </w:p>
        </w:tc>
      </w:tr>
      <w:tr>
        <w:trPr>
          <w:trHeight w:val="256"/>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10/1/2026 – 9/30/2027</w:t>
            </w:r>
          </w:p>
        </w:tc>
        <w:tc>
          <w:tcPr>
            <w:tcW w:w="9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$33.31</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$75,363.88</w:t>
            </w:r>
          </w:p>
        </w:tc>
        <w:tc>
          <w:tcPr>
            <w:tcW w:w="120" w:type="dxa"/>
            <w:vAlign w:val="bottom"/>
          </w:tcPr>
          <w:p>
            <w:pPr>
              <w:spacing w:after="0"/>
              <w:rPr>
                <w:sz w:val="22"/>
                <w:szCs w:val="22"/>
                <w:color w:val="auto"/>
              </w:rPr>
            </w:pPr>
          </w:p>
        </w:tc>
      </w:tr>
      <w:tr>
        <w:trPr>
          <w:trHeight w:val="25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10/1/2027 – 9/30/2028</w:t>
            </w:r>
          </w:p>
        </w:tc>
        <w:tc>
          <w:tcPr>
            <w:tcW w:w="9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$34.14</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$77,241.75</w:t>
            </w:r>
          </w:p>
        </w:tc>
        <w:tc>
          <w:tcPr>
            <w:tcW w:w="120" w:type="dxa"/>
            <w:vAlign w:val="bottom"/>
          </w:tcPr>
          <w:p>
            <w:pPr>
              <w:spacing w:after="0"/>
              <w:rPr>
                <w:sz w:val="22"/>
                <w:szCs w:val="22"/>
                <w:color w:val="auto"/>
              </w:rPr>
            </w:pPr>
          </w:p>
        </w:tc>
      </w:tr>
      <w:tr>
        <w:trPr>
          <w:trHeight w:val="282"/>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10/1/2028 – 7/31/2029</w:t>
            </w:r>
          </w:p>
        </w:tc>
        <w:tc>
          <w:tcPr>
            <w:tcW w:w="9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$34.99</w:t>
            </w:r>
          </w:p>
        </w:tc>
        <w:tc>
          <w:tcPr>
            <w:tcW w:w="144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$79,164.88</w:t>
            </w:r>
          </w:p>
        </w:tc>
        <w:tc>
          <w:tcPr>
            <w:tcW w:w="120" w:type="dxa"/>
            <w:vAlign w:val="bottom"/>
          </w:tcPr>
          <w:p>
            <w:pPr>
              <w:spacing w:after="0"/>
              <w:rPr>
                <w:sz w:val="24"/>
                <w:szCs w:val="24"/>
                <w:color w:val="auto"/>
              </w:rPr>
            </w:pPr>
          </w:p>
        </w:tc>
      </w:tr>
    </w:tbl>
    <w:p>
      <w:pPr>
        <w:spacing w:after="0" w:line="244" w:lineRule="exact"/>
        <w:rPr>
          <w:sz w:val="20"/>
          <w:szCs w:val="20"/>
          <w:color w:val="auto"/>
        </w:rPr>
      </w:pPr>
    </w:p>
    <w:p>
      <w:pPr>
        <w:jc w:val="both"/>
        <w:ind w:left="660" w:hanging="4"/>
        <w:spacing w:after="0" w:line="253" w:lineRule="auto"/>
        <w:tabs>
          <w:tab w:leader="none" w:pos="835"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no event of Tenant default has occurred, Tenant shall be entitled to two (2) months free basic rent period for the Premises commencing on August 1, 2025 and ending on September 30, 2025 (“Free Rent Period”). In the event that the Suite 310 Expansion Premises Commencement Date occurs on a date other than August 1, 2025, the parties agree to adjust and modify the Basic Rent schedule as it relates to Suite 310 Expansion Premises basic rent owed so that the Free Rent Period is floating as it relates to Suite 310 Expansion Premises.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b w:val="1"/>
          <w:bCs w:val="1"/>
          <w:color w:val="auto"/>
        </w:rPr>
        <w:t>BASIC DATA:</w:t>
      </w:r>
    </w:p>
    <w:p>
      <w:pPr>
        <w:spacing w:after="0" w:line="32"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22"/>
          <w:szCs w:val="22"/>
          <w:color w:val="auto"/>
        </w:rPr>
        <w:t>Section 1.2 is hereby amended so as to delete the complete provisions “</w:t>
      </w:r>
      <w:r>
        <w:rPr>
          <w:rFonts w:ascii="Times New Roman" w:cs="Times New Roman" w:eastAsia="Times New Roman" w:hAnsi="Times New Roman"/>
          <w:sz w:val="22"/>
          <w:szCs w:val="22"/>
          <w:b w:val="1"/>
          <w:bCs w:val="1"/>
          <w:color w:val="auto"/>
        </w:rPr>
        <w:t>Base Operating Expenses/Year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Base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Taxes/Year</w:t>
      </w:r>
      <w:r>
        <w:rPr>
          <w:rFonts w:ascii="Times New Roman" w:cs="Times New Roman" w:eastAsia="Times New Roman" w:hAnsi="Times New Roman"/>
          <w:sz w:val="22"/>
          <w:szCs w:val="22"/>
          <w:color w:val="auto"/>
        </w:rPr>
        <w:t>” and replace with the following:</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Base Operating Expenses/Year for the Premises: </w:t>
      </w:r>
      <w:r>
        <w:rPr>
          <w:rFonts w:ascii="Times New Roman" w:cs="Times New Roman" w:eastAsia="Times New Roman" w:hAnsi="Times New Roman"/>
          <w:sz w:val="22"/>
          <w:szCs w:val="22"/>
          <w:color w:val="auto"/>
        </w:rPr>
        <w:t>2026/calendar year.</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Base Taxes/Year for the Premises: </w:t>
      </w:r>
      <w:r>
        <w:rPr>
          <w:rFonts w:ascii="Times New Roman" w:cs="Times New Roman" w:eastAsia="Times New Roman" w:hAnsi="Times New Roman"/>
          <w:sz w:val="22"/>
          <w:szCs w:val="22"/>
          <w:color w:val="auto"/>
        </w:rPr>
        <w:t>2025/calendar year.</w:t>
      </w:r>
    </w:p>
    <w:p>
      <w:pPr>
        <w:spacing w:after="0" w:line="24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b w:val="1"/>
          <w:bCs w:val="1"/>
          <w:u w:val="single" w:color="auto"/>
          <w:color w:val="auto"/>
        </w:rPr>
        <w:t>ADDITIONAL DEFINITIONS:</w:t>
      </w:r>
    </w:p>
    <w:p>
      <w:pPr>
        <w:spacing w:after="0" w:line="32"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22"/>
          <w:szCs w:val="22"/>
          <w:color w:val="auto"/>
        </w:rPr>
        <w:t>Section 1.3, in relevant part, is hereby amended so as to delete the complete provision “</w:t>
      </w:r>
      <w:r>
        <w:rPr>
          <w:rFonts w:ascii="Times New Roman" w:cs="Times New Roman" w:eastAsia="Times New Roman" w:hAnsi="Times New Roman"/>
          <w:sz w:val="22"/>
          <w:szCs w:val="22"/>
          <w:b w:val="1"/>
          <w:bCs w:val="1"/>
          <w:color w:val="auto"/>
        </w:rPr>
        <w:t>Exhibits</w:t>
      </w:r>
      <w:r>
        <w:rPr>
          <w:rFonts w:ascii="Times New Roman" w:cs="Times New Roman" w:eastAsia="Times New Roman" w:hAnsi="Times New Roman"/>
          <w:sz w:val="22"/>
          <w:szCs w:val="22"/>
          <w:color w:val="auto"/>
        </w:rPr>
        <w:t>” and replace with the following:</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Exhibits: </w:t>
      </w:r>
      <w:r>
        <w:rPr>
          <w:rFonts w:ascii="Times New Roman" w:cs="Times New Roman" w:eastAsia="Times New Roman" w:hAnsi="Times New Roman"/>
          <w:sz w:val="22"/>
          <w:szCs w:val="22"/>
          <w:color w:val="auto"/>
        </w:rPr>
        <w:t>The following Exhibits are annexed to this Lease and incorporated herein by reference:</w:t>
      </w:r>
    </w:p>
    <w:p>
      <w:pPr>
        <w:spacing w:after="0" w:line="2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A – Plan Showing Premises</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A-1 – Plan Showing Suite 310 Expansion Premises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B-1 – Building Standards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B-2 – Landlord’s Work</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C – Building Services</w:t>
      </w:r>
    </w:p>
    <w:p>
      <w:pPr>
        <w:spacing w:after="0" w:line="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D – Operating Expenses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Exhibit E – Rules and Regulations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1" w:lineRule="exact"/>
        <w:rPr>
          <w:sz w:val="20"/>
          <w:szCs w:val="20"/>
          <w:color w:val="auto"/>
        </w:rPr>
      </w:pPr>
    </w:p>
    <w:p>
      <w:pPr>
        <w:ind w:left="660" w:right="4600"/>
        <w:spacing w:after="0" w:line="271" w:lineRule="auto"/>
        <w:rPr>
          <w:sz w:val="20"/>
          <w:szCs w:val="20"/>
          <w:color w:val="auto"/>
        </w:rPr>
      </w:pPr>
      <w:r>
        <w:rPr>
          <w:rFonts w:ascii="Times New Roman" w:cs="Times New Roman" w:eastAsia="Times New Roman" w:hAnsi="Times New Roman"/>
          <w:sz w:val="22"/>
          <w:szCs w:val="22"/>
          <w:color w:val="auto"/>
        </w:rPr>
        <w:t>Exhibit G – Appraisal Methodology for Extension Option Basic Rent Exhibit H – Form Letter of Credit</w:t>
      </w:r>
    </w:p>
    <w:p>
      <w:pPr>
        <w:spacing w:after="0" w:line="208" w:lineRule="exact"/>
        <w:rPr>
          <w:sz w:val="20"/>
          <w:szCs w:val="20"/>
          <w:color w:val="auto"/>
        </w:rPr>
      </w:pPr>
    </w:p>
    <w:p>
      <w:pPr>
        <w:ind w:left="500" w:hanging="492"/>
        <w:spacing w:after="0"/>
        <w:tabs>
          <w:tab w:leader="none" w:pos="5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ARTICLE IV – COMMENCEMENT AND CONDITION:</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Article 4 is hereby amended so as to delete the complete provisions “</w:t>
      </w:r>
      <w:r>
        <w:rPr>
          <w:rFonts w:ascii="Times New Roman" w:cs="Times New Roman" w:eastAsia="Times New Roman" w:hAnsi="Times New Roman"/>
          <w:sz w:val="22"/>
          <w:szCs w:val="22"/>
          <w:b w:val="1"/>
          <w:bCs w:val="1"/>
          <w:color w:val="auto"/>
        </w:rPr>
        <w:t>Article IV</w:t>
      </w:r>
      <w:r>
        <w:rPr>
          <w:rFonts w:ascii="Times New Roman" w:cs="Times New Roman" w:eastAsia="Times New Roman" w:hAnsi="Times New Roman"/>
          <w:sz w:val="22"/>
          <w:szCs w:val="22"/>
          <w:color w:val="auto"/>
        </w:rPr>
        <w:t>” and replace with the following:</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ARTICLE IV – CONDITION OF PREMISES</w:t>
      </w:r>
    </w:p>
    <w:p>
      <w:pPr>
        <w:spacing w:after="0" w:line="287" w:lineRule="exact"/>
        <w:rPr>
          <w:sz w:val="20"/>
          <w:szCs w:val="20"/>
          <w:color w:val="auto"/>
        </w:rPr>
      </w:pPr>
    </w:p>
    <w:p>
      <w:pPr>
        <w:ind w:left="660" w:right="100"/>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4.1 CONDITION OF PREMISES. </w:t>
      </w:r>
      <w:r>
        <w:rPr>
          <w:rFonts w:ascii="Times New Roman" w:cs="Times New Roman" w:eastAsia="Times New Roman" w:hAnsi="Times New Roman"/>
          <w:sz w:val="22"/>
          <w:szCs w:val="22"/>
          <w:color w:val="auto"/>
        </w:rPr>
        <w:t>Tenant accepts the Premises and the Building in the present “as is” condition,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representation or warranty, express or implied, in fact or in law, by Landlord and without recourse to Landlord as to the nature, condition or usability thereof; and Tenant agrees that, except for the Tenant’s Improvements (as hereinafter defined), Landlord has no work to perform in or on the Premises to prepare the Premises for Tenant’s use and occupancy, and that any and all work to be done in or on the Premises will be performed by Tenant at Tenant’s sole cost and expense in accordance with the terms of this Lease.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4.2 TENANT’S IMPROVEMENTS.</w:t>
      </w:r>
    </w:p>
    <w:p>
      <w:pPr>
        <w:spacing w:after="0" w:line="32"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2"/>
          <w:szCs w:val="22"/>
          <w:color w:val="1F3763"/>
        </w:rPr>
        <w:t xml:space="preserve">4.2.1 </w:t>
      </w:r>
      <w:r>
        <w:rPr>
          <w:rFonts w:ascii="Times New Roman" w:cs="Times New Roman" w:eastAsia="Times New Roman" w:hAnsi="Times New Roman"/>
          <w:sz w:val="22"/>
          <w:szCs w:val="22"/>
          <w:color w:val="000000"/>
        </w:rPr>
        <w:t>As detailed below, Tenant shall have the right to request certain Tenant’s Improvements to be conducted by</w:t>
      </w:r>
      <w:r>
        <w:rPr>
          <w:rFonts w:ascii="Times New Roman" w:cs="Times New Roman" w:eastAsia="Times New Roman" w:hAnsi="Times New Roman"/>
          <w:sz w:val="22"/>
          <w:szCs w:val="22"/>
          <w:color w:val="1F3763"/>
        </w:rPr>
        <w:t xml:space="preserve"> </w:t>
      </w:r>
      <w:r>
        <w:rPr>
          <w:rFonts w:ascii="Times New Roman" w:cs="Times New Roman" w:eastAsia="Times New Roman" w:hAnsi="Times New Roman"/>
          <w:sz w:val="22"/>
          <w:szCs w:val="22"/>
          <w:color w:val="000000"/>
        </w:rPr>
        <w:t>Landlord and/or Landlord’s affiliates. The parties acknowledge and agree that the Landlord’s Work identified in Section 4.3 and Exhibit A-1 has already been agreed upon and will be subject to subsections 4.2.4 through 4.2.8 below including, without limitation, the Improvement Allowance.</w:t>
      </w:r>
    </w:p>
    <w:p>
      <w:pPr>
        <w:spacing w:after="0" w:line="25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4.2.2 Tenant shall provide Landlord with all necessary information regarding Tenant’s space planning needs in connection with its use of the Premises (the “Space Plans”) for the layout of Tenant’s proposed leasehold improvements to the Premises (“Tenant’s Improvements”). Tenant’s Improvements shall not include Tenant’s furniture, trade fixtures, equipment and personal property and are limited to normal office fit-up construction, as generally laid out and specified on the Space Plans. Tenant acknowledges that Tenant’s Improvements will been designed to the general quality of the design of the Building and in accordance with Landlord’s building standards for first-class office build-out for the Building.</w:t>
      </w:r>
    </w:p>
    <w:p>
      <w:pPr>
        <w:spacing w:after="0" w:line="234"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4.2.3 Based upon Landlord’s prior written approval of the Space Plans on a case by case basis, the Tenant shall cause final plans and specifications, sufficient to permit the construction of Tenant’s Improvements, to be prepared (the “Plans”), which Plans shall be submitted to Landlord for approval. Tenant understands and agrees that changes to the Space Plans that may be needed or desired by Tenant, and or the specification by Tenant of any components or finishes that are not building-standard or as depicted on the Space Plans, will be incorporated into the Plans only if (a) such changes do not modify the scope or character of the Tenant’s Improvements or any material component thereof, and (b) such changes will not, individually or in the aggregate, in Landlord’s reasonable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opinion, result in a likelihood of a delay in the Substantial Completion (as defined below) of Tenant’s Improvements. Subject to the Improvement Allowance (as defined below), Tenant agrees that any additional cost resulting from such changes, as well as from any changes to the Tenant’s Improvements after the approval of the Plans (including design and construction costs, including materials, labor and general conditions costs) shall be the responsibility of Tenant and shall be paid in full by Tenant to Landlord within thirty (30) days of billing therefor by Landlord if in excess of the Improvement Allowance; and Tenant agrees that if such changes do result in delay in Substantial Completion, such delay, to the extent resulting from a change to the Plans by Tenant, shall be deemed a Tenant Delay (as defined below).</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4.2.4 Following the completion and approval of the Plans, Landlord shall proceed, using reasonable efforts, to obtain all necessary permits and approvals for the construction of Tenant’s Improvements, to engage a contractor or construction manager to perform or supervise the construction and to proceed to construct Tenant’s Improvements in conformance with the Plans in all material respects. Landlord reserves the right to make changes and substitutions to the Plans in connection with the construction of Tenant’s Improvements, provided Tenant provides prior written consent, and Tenant agrees to not unreasonably withhold or delay its consent to any changes that do not materially adversely modify the Plans, in accordance with subsection 4.2.3.</w:t>
      </w:r>
    </w:p>
    <w:p>
      <w:pPr>
        <w:spacing w:after="0" w:line="2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4.2.5 Landlord agrees to use reasonable efforts to substantially complete Tenant’s Improvements subject to delays caused by factors beyond the reasonable control of Landlord.</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4.2.6 Provided no event of Tenant default has occurred and such Tenant’s Improvement request(s) are mutually agreed to within six (6) months of the Effective Date of this Fourth Amendment, Tenant shall be entitled to an Improvement Allowance of up to $135,750.00 (the “Improvement Allowance”) to reimburse Tenant of the hard construction costs of completion by Landlord or Landlord’s designated contractor of Tenant’s Improvements. The Improvement Allowance shall not exceed the amount of the receipted invoices. Tenant shall be solely responsible for any and all costs and expenses associated with Tenant’s Improvements which exceed the Improvement Allowance and shall pay such costs and expenses as invoiced but no later than thirty (30) days from the date invoiced. Within thirty (30) days of the final, agreed-upon Plans, Landlord shall provide Tenant with a Cost Proposal in accordance with the Plans. Within five (5) Business Days of the receipt of the same, Tenant shall either: (i) approve the Cost Proposal; or (ii) have a one-time right to propose modifications to the Plans in order to reduce the cost of the Tenant’s Improvements. Any proposed changes to the Plans shall be subject to Landlord's written approval. If Landlord approves the proposed revisions: (A) Tenant shall have the Plans revised in accordance with the approved revisions; and (B) Landlord shall submit a revised Cost Proposal to Tenant. Tenant shall notify Landlord in writing within five (5) Business Days whether it desires to proceed with such revisions. If Tenant fails to approve such revisions and revised Cost Proposal within such five (5) Business Day period; such failure shall be deemed to be a Tenant Delay. 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0"/>
          </w:cols>
          <w:pgMar w:left="980" w:top="1440" w:right="339" w:bottom="1440" w:gutter="0" w:footer="0" w:header="0"/>
        </w:sectPr>
      </w:pPr>
    </w:p>
    <w:bookmarkStart w:id="71" w:name="page72"/>
    <w:bookmarkEnd w:id="71"/>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delays arising directly from further changes to the Plans requested by Tenant shall be deemed to be Tenant Delay. Tenant's final approval of the Cost Proposal shall be authorization by Tenant for Landlord to purchase all materials set forth in the Cost Proposal and to commence the construction of the Tenant’s Improvements in accordance with the final Plans. The parties acknowledge and agree that this approved Cost Proposal is not a guaranteed maximum price but a good faith estimate by the Landlord of the anticipated sum based upon the anticipated scope of work, and the Cost Proposal is not to be construed as a guaranteed maximum contract in any manner. After Tenant’s final approval of the Cost Proposal, Landlord or Landlord’s designated contractor shall commence the Tenant Improvement Work. Tenant acknowledges and agrees that Tenant Improvement Work will be conducted in the Premises while Tenant continues to conduct business. Tenant shall be responsible for protecting, covering, and relocating its personal property and equipment while Landlord or Landlord’s designated contractor conducts Tenant Improvement Work. The parties acknowledge and agree that at Tenant’s written election, Tenant may use up to Two Hundred and Sixty Dollars ($260.00) per shade of any unused Improvement Allowance which shall be utilized for the removal and replacement of new shades.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Moreover, the parties further acknowledge and agree that, as of October 1, 2025, if the Suite 310 Expansion Premises Term begins on or prior to such date, any unused portion of the Improvement Allowance shall be automatically applied to offset Rent for the month(s) beginning on October 1, 2025. If Suite 310 Expansion Premises Term begins after October 1, 2025, any unused portion of the Improvement Allowance shall be automatically applied to offset Rent for the first month(s) for which Rent is due and payable following the Suite 310 Expansion Premises Commencement Date.</w:t>
      </w:r>
    </w:p>
    <w:p>
      <w:pPr>
        <w:spacing w:after="0" w:line="2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4.2.7 All components of the Tenant’s Improvements shall be part of the Building, except only for such items as Landlord and Tenant agree in writing shall be removed by Tenant on or before the termination of this Lease.</w:t>
      </w:r>
    </w:p>
    <w:p>
      <w:pPr>
        <w:spacing w:after="0" w:line="22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4.2.8 Tenant acknowledges that the Premises is part of a multi-tenant Building and the Tenant agrees to cooperate and coordinate the Tenant’s Improvements with Landlord’s construction supervisor and property management. Landlord designated Bob Savoie as its construction supervisor and Tenant designates Brian Possi as its construction representative, for which all construction related issues shall be solely discussed and disseminated to the Landlord and Tenant, respectively. Landlord and Tenant agree that either designee may bind its principal to make, receive, estimate, respond, and accept any change or change requests to the Tenant’s Improvements, as well as appoint, assign, delegate, or designate such authority to another or successor designee. Tenant expressly authorizes and acknowledges that the Landlord can rely upon, and act upon, any representations, decisions, requests and communications received from Tenant’s construction representative.</w:t>
      </w:r>
    </w:p>
    <w:p>
      <w:pPr>
        <w:spacing w:after="0" w:line="23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4.3 LANDLORD’S WORK. </w:t>
      </w:r>
      <w:r>
        <w:rPr>
          <w:rFonts w:ascii="Times New Roman" w:cs="Times New Roman" w:eastAsia="Times New Roman" w:hAnsi="Times New Roman"/>
          <w:sz w:val="22"/>
          <w:szCs w:val="22"/>
          <w:color w:val="auto"/>
        </w:rPr>
        <w:t>Tenant has provided Landlord with information regarding Tenant’s space planning needs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connection with its use of the Suite 310 Expansion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580"/>
          </w:cols>
          <w:pgMar w:left="980" w:top="1440" w:right="339" w:bottom="1440" w:gutter="0" w:footer="0" w:header="0"/>
        </w:sectPr>
      </w:pPr>
    </w:p>
    <w:bookmarkStart w:id="72" w:name="page73"/>
    <w:bookmarkEnd w:id="72"/>
    <w:p>
      <w:pPr>
        <w:spacing w:after="0" w:line="252" w:lineRule="exact"/>
        <w:rPr>
          <w:sz w:val="20"/>
          <w:szCs w:val="20"/>
          <w:color w:val="auto"/>
        </w:rPr>
      </w:pPr>
    </w:p>
    <w:p>
      <w:pPr>
        <w:ind w:left="660" w:right="20"/>
        <w:spacing w:after="0" w:line="247" w:lineRule="auto"/>
        <w:rPr>
          <w:sz w:val="20"/>
          <w:szCs w:val="20"/>
          <w:color w:val="auto"/>
        </w:rPr>
      </w:pPr>
      <w:r>
        <w:rPr>
          <w:rFonts w:ascii="Times New Roman" w:cs="Times New Roman" w:eastAsia="Times New Roman" w:hAnsi="Times New Roman"/>
          <w:sz w:val="22"/>
          <w:szCs w:val="22"/>
          <w:color w:val="auto"/>
        </w:rPr>
        <w:t>Premises. Based upon the Plans for the Tenant Improvements to be performed by the Landlord in the Suite 310 Expansion Premises, Landlord shall use reasonable efforts to substantially complete the work as set forth in Exhibit A-1 (“Landlord’s Work”) by the targeted date of August 1, 2025. Subject to the occurrence of a Force Majeure Event(s), and Tenant Delay(s), if Substantial Completion (as defined below) does not occur by September 1, 2025, Tenant shall receive a credit equal to one (1) day’s free Basic Rent for Suite 310 only for each day from and after September 1, 2025 until the actual Suite 310 Expansion Premises Commencement Date. For purposes of clarity, this base rent credit provision shall not apply to the Premises as defined prior to the Suite 310 Expansion Premises Commencement Date, and Tenant shall continue to pay rent on all other portions of the Premises regardless of Landlord’s Work. Landlord’s Work shall be deemed substantially complete on the date (the “Substantial Completion”) the Landlord notifies Tenant that, with the exception of punch list items, the Landlord has completed the Landlord’s Work. Notwithstanding the foregoing, if any delay in the Substantial Completion of the Landlord’s Work by Landlord is due to Tenant Delays, then the Substantial Completion Date shall be deemed to be the date Landlord’s Work would have been substantially completed, if not for same, as reasonably determined by Landlord. “Tenant Delays” shall mean actual delays caused by: (a) requirements of the Plans requested by Tenant that do not conform to Landlord’s Building Standards for office build-out; (b) any change in the Plans requested by Tenant; (c) failure to approve changes or modifications to the Plans within the time limits provided herein; (d) any request by Tenant for a delay in the commencement or completion of Landlord’s Work for any reason other than due to Force Majeure Event once such work has commenced; (e) Tenant’s failure to respond to any Landlord request or that of its construction staff within three (3) Business Days; or (f) any other act or omission of Tenant or its employees, agents or contractors.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14.22. </w:t>
      </w:r>
      <w:r>
        <w:rPr>
          <w:rFonts w:ascii="Times New Roman" w:cs="Times New Roman" w:eastAsia="Times New Roman" w:hAnsi="Times New Roman"/>
          <w:sz w:val="22"/>
          <w:szCs w:val="22"/>
          <w:b w:val="1"/>
          <w:bCs w:val="1"/>
          <w:u w:val="single" w:color="auto"/>
          <w:color w:val="auto"/>
        </w:rPr>
        <w:t>BROKERAGE</w:t>
      </w:r>
      <w:r>
        <w:rPr>
          <w:rFonts w:ascii="Times New Roman" w:cs="Times New Roman" w:eastAsia="Times New Roman" w:hAnsi="Times New Roman"/>
          <w:sz w:val="22"/>
          <w:szCs w:val="22"/>
          <w:b w:val="1"/>
          <w:bCs w:val="1"/>
          <w:color w:val="auto"/>
        </w:rPr>
        <w:t>:</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14.22 is hereby amended with the addition of the following:</w:t>
      </w:r>
    </w:p>
    <w:p>
      <w:pPr>
        <w:spacing w:after="0" w:line="250" w:lineRule="exact"/>
        <w:rPr>
          <w:sz w:val="20"/>
          <w:szCs w:val="20"/>
          <w:color w:val="auto"/>
        </w:rPr>
      </w:pPr>
    </w:p>
    <w:p>
      <w:pPr>
        <w:jc w:val="both"/>
        <w:ind w:left="660"/>
        <w:spacing w:after="0" w:line="272" w:lineRule="auto"/>
        <w:rPr>
          <w:sz w:val="20"/>
          <w:szCs w:val="20"/>
          <w:color w:val="auto"/>
        </w:rPr>
      </w:pPr>
      <w:r>
        <w:rPr>
          <w:rFonts w:ascii="Times New Roman" w:cs="Times New Roman" w:eastAsia="Times New Roman" w:hAnsi="Times New Roman"/>
          <w:sz w:val="21"/>
          <w:szCs w:val="21"/>
          <w:color w:val="auto"/>
        </w:rPr>
        <w:t>Landlord and Tenant represent to each other that neither party has dealt with any broker or any other person in connection with the Suite 310 Expansion Premises and this Fourth Amendment except for JLL. Landlord and Tenant agree that each will hold harmless and indemnify the other from any loss, cost, damage, and expense, including reasonable attorney’s fees incurred by Landlord or Tenant for a commission or finder’s fee as a result of the falseness of this representation.</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Parties acknowledge that the Lease Agreement and this Fourth Amendment represent the entire agreement between the Parties and that no other modification, written or otherwise, exists between the Parties. The normal rule of construction that any ambiguities be resolved against the drafting party shall not apply to the interpretation of the Lease Agreement or this Fourth Amendment or any exhibits or amendments thereto.</w:t>
      </w:r>
    </w:p>
    <w:p>
      <w:pPr>
        <w:spacing w:after="0" w:line="23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Except as specifically set forth herein, the Lease Agreement shall remain in full force and effect and is hereby ratified and affirmed by the Parties.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hereto set their hands and seals this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2025 (“Effective Date”).</w:t>
      </w:r>
    </w:p>
    <w:p>
      <w:pPr>
        <w:spacing w:after="0" w:line="200" w:lineRule="exact"/>
        <w:rPr>
          <w:sz w:val="20"/>
          <w:szCs w:val="20"/>
          <w:color w:val="auto"/>
        </w:rPr>
      </w:pPr>
    </w:p>
    <w:p>
      <w:pPr>
        <w:spacing w:after="0" w:line="263" w:lineRule="exact"/>
        <w:rPr>
          <w:sz w:val="20"/>
          <w:szCs w:val="20"/>
          <w:color w:val="auto"/>
        </w:rPr>
      </w:pPr>
    </w:p>
    <w:p>
      <w:pPr>
        <w:ind w:left="720"/>
        <w:spacing w:after="0"/>
        <w:tabs>
          <w:tab w:leader="none" w:pos="7520" w:val="left"/>
        </w:tabs>
        <w:rPr>
          <w:sz w:val="20"/>
          <w:szCs w:val="20"/>
          <w:color w:val="auto"/>
        </w:rPr>
      </w:pPr>
      <w:r>
        <w:rPr>
          <w:rFonts w:ascii="Times New Roman" w:cs="Times New Roman" w:eastAsia="Times New Roman" w:hAnsi="Times New Roman"/>
          <w:sz w:val="22"/>
          <w:szCs w:val="22"/>
          <w:b w:val="1"/>
          <w:bCs w:val="1"/>
          <w:color w:val="auto"/>
        </w:rPr>
        <w:t>TENANT</w:t>
      </w:r>
      <w:r>
        <w:rPr>
          <w:sz w:val="20"/>
          <w:szCs w:val="20"/>
          <w:color w:val="auto"/>
        </w:rPr>
        <w:tab/>
      </w:r>
      <w:r>
        <w:rPr>
          <w:rFonts w:ascii="Times New Roman" w:cs="Times New Roman" w:eastAsia="Times New Roman" w:hAnsi="Times New Roman"/>
          <w:sz w:val="22"/>
          <w:szCs w:val="22"/>
          <w:b w:val="1"/>
          <w:bCs w:val="1"/>
          <w:color w:val="auto"/>
        </w:rPr>
        <w:t>LANDLORD</w:t>
      </w:r>
    </w:p>
    <w:p>
      <w:pPr>
        <w:spacing w:after="0" w:line="75" w:lineRule="exact"/>
        <w:rPr>
          <w:sz w:val="20"/>
          <w:szCs w:val="20"/>
          <w:color w:val="auto"/>
        </w:rPr>
      </w:pPr>
    </w:p>
    <w:p>
      <w:pPr>
        <w:ind w:left="720"/>
        <w:spacing w:after="0"/>
        <w:tabs>
          <w:tab w:leader="none" w:pos="7520" w:val="left"/>
        </w:tabs>
        <w:rPr>
          <w:sz w:val="20"/>
          <w:szCs w:val="20"/>
          <w:color w:val="auto"/>
        </w:rPr>
      </w:pPr>
      <w:r>
        <w:rPr>
          <w:rFonts w:ascii="Times New Roman" w:cs="Times New Roman" w:eastAsia="Times New Roman" w:hAnsi="Times New Roman"/>
          <w:sz w:val="22"/>
          <w:szCs w:val="22"/>
          <w:color w:val="auto"/>
        </w:rPr>
        <w:t>Ardelyx, Inc.</w:t>
      </w:r>
      <w:r>
        <w:rPr>
          <w:sz w:val="20"/>
          <w:szCs w:val="20"/>
          <w:color w:val="auto"/>
        </w:rPr>
        <w:tab/>
      </w:r>
      <w:r>
        <w:rPr>
          <w:rFonts w:ascii="Times New Roman" w:cs="Times New Roman" w:eastAsia="Times New Roman" w:hAnsi="Times New Roman"/>
          <w:sz w:val="21"/>
          <w:szCs w:val="21"/>
          <w:color w:val="auto"/>
        </w:rPr>
        <w:t>Prospect Fifth Ave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Mike Raab</w:t>
            </w:r>
          </w:p>
        </w:tc>
        <w:tc>
          <w:tcPr>
            <w:tcW w:w="2980" w:type="dxa"/>
            <w:vAlign w:val="bottom"/>
          </w:tcPr>
          <w:p>
            <w:pPr>
              <w:ind w:left="2240"/>
              <w:spacing w:after="0"/>
              <w:rPr>
                <w:sz w:val="20"/>
                <w:szCs w:val="20"/>
                <w:color w:val="auto"/>
              </w:rPr>
            </w:pPr>
            <w:r>
              <w:rPr>
                <w:rFonts w:ascii="Times New Roman" w:cs="Times New Roman" w:eastAsia="Times New Roman" w:hAnsi="Times New Roman"/>
                <w:sz w:val="22"/>
                <w:szCs w:val="22"/>
                <w:color w:val="auto"/>
              </w:rPr>
              <w:t>By:</w:t>
            </w: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Robert L. Duffy, Jr.</w:t>
            </w:r>
          </w:p>
        </w:tc>
      </w:tr>
      <w:tr>
        <w:trPr>
          <w:trHeight w:val="29"/>
        </w:trPr>
        <w:tc>
          <w:tcPr>
            <w:tcW w:w="68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89"/>
        </w:trPr>
        <w:tc>
          <w:tcPr>
            <w:tcW w:w="68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Mike Raab, President &amp; CEO</w:t>
            </w:r>
          </w:p>
        </w:tc>
        <w:tc>
          <w:tcPr>
            <w:tcW w:w="2980" w:type="dxa"/>
            <w:vAlign w:val="bottom"/>
          </w:tcPr>
          <w:p>
            <w:pPr>
              <w:spacing w:after="0"/>
              <w:rPr>
                <w:sz w:val="24"/>
                <w:szCs w:val="24"/>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Robert L. Duffy, Jr., Manager</w:t>
            </w:r>
          </w:p>
        </w:tc>
      </w:tr>
      <w:tr>
        <w:trPr>
          <w:trHeight w:val="324"/>
        </w:trPr>
        <w:tc>
          <w:tcPr>
            <w:tcW w:w="680" w:type="dxa"/>
            <w:vAlign w:val="bottom"/>
          </w:tcPr>
          <w:p>
            <w:pPr>
              <w:spacing w:after="0"/>
              <w:rPr>
                <w:sz w:val="24"/>
                <w:szCs w:val="24"/>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Duly Authorized</w:t>
            </w:r>
          </w:p>
        </w:tc>
        <w:tc>
          <w:tcPr>
            <w:tcW w:w="2980" w:type="dxa"/>
            <w:vAlign w:val="bottom"/>
          </w:tcPr>
          <w:p>
            <w:pPr>
              <w:spacing w:after="0"/>
              <w:rPr>
                <w:sz w:val="24"/>
                <w:szCs w:val="24"/>
                <w:color w:val="auto"/>
              </w:rPr>
            </w:pPr>
          </w:p>
        </w:tc>
        <w:tc>
          <w:tcPr>
            <w:tcW w:w="3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Duly Authorized</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9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EXHIBIT A-1</w:t>
      </w:r>
    </w:p>
    <w:p>
      <w:pPr>
        <w:spacing w:after="0" w:line="32"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1"/>
          <w:szCs w:val="21"/>
          <w:b w:val="1"/>
          <w:bCs w:val="1"/>
          <w:color w:val="auto"/>
        </w:rPr>
        <w:t>Suite 310 Expansion Premises Plan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019"/>
          </w:cols>
          <w:pgMar w:left="1440" w:top="1440" w:right="144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702310</wp:posOffset>
            </wp:positionV>
            <wp:extent cx="1971675"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19716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11111"/>
        </w:rPr>
        <w:t>April 10, 2025</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111111"/>
        </w:rPr>
        <w:t>Revised</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11111"/>
        </w:rPr>
        <w:t>James P. Brady 28 Fairbank Street</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11111"/>
        </w:rPr>
        <w:t>Harvard, MA 01451</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373537"/>
        </w:rPr>
        <w:t>Dear Jamie,</w:t>
      </w:r>
    </w:p>
    <w:p>
      <w:pPr>
        <w:spacing w:after="0" w:line="238" w:lineRule="exact"/>
        <w:rPr>
          <w:sz w:val="20"/>
          <w:szCs w:val="20"/>
          <w:color w:val="auto"/>
        </w:rPr>
      </w:pPr>
    </w:p>
    <w:p>
      <w:pPr>
        <w:jc w:val="both"/>
        <w:ind w:left="60" w:hanging="8"/>
        <w:spacing w:after="0" w:line="256" w:lineRule="auto"/>
        <w:rPr>
          <w:sz w:val="20"/>
          <w:szCs w:val="20"/>
          <w:color w:val="auto"/>
        </w:rPr>
      </w:pPr>
      <w:r>
        <w:rPr>
          <w:rFonts w:ascii="Times New Roman" w:cs="Times New Roman" w:eastAsia="Times New Roman" w:hAnsi="Times New Roman"/>
          <w:sz w:val="20"/>
          <w:szCs w:val="20"/>
          <w:color w:val="111111"/>
        </w:rPr>
        <w:t>On behalf of Ardelyx (the “Company”), I am pleased to offer you employment in the exempt position of Chief Human Resources Officer, reporting to Mike Raab, President and Chief Executive Officer. In this role, you will be a member of the Executive Leadership Team. If you accept this offer, you and the Company will enter into a Change in Control Severance Agreement that will further define some of the provisions set forth in this offer letter (the “Severance Agreement”). Please note that this employment offer is contingent upon the successful completion of reference and background checks paid for by the Company. Negative information may result in the rescission of this offer.</w:t>
      </w:r>
    </w:p>
    <w:p>
      <w:pPr>
        <w:spacing w:after="0" w:line="239" w:lineRule="exact"/>
        <w:rPr>
          <w:sz w:val="20"/>
          <w:szCs w:val="20"/>
          <w:color w:val="auto"/>
        </w:rPr>
      </w:pPr>
    </w:p>
    <w:p>
      <w:pPr>
        <w:jc w:val="both"/>
        <w:ind w:left="60" w:hanging="8"/>
        <w:spacing w:after="0" w:line="260" w:lineRule="auto"/>
        <w:rPr>
          <w:sz w:val="20"/>
          <w:szCs w:val="20"/>
          <w:color w:val="auto"/>
        </w:rPr>
      </w:pPr>
      <w:r>
        <w:rPr>
          <w:rFonts w:ascii="Times New Roman" w:cs="Times New Roman" w:eastAsia="Times New Roman" w:hAnsi="Times New Roman"/>
          <w:sz w:val="20"/>
          <w:szCs w:val="20"/>
          <w:color w:val="111111"/>
        </w:rPr>
        <w:t xml:space="preserve">Your first day of full-time employment with Ardelyx is currently scheduled for </w:t>
      </w:r>
      <w:r>
        <w:rPr>
          <w:rFonts w:ascii="Times New Roman" w:cs="Times New Roman" w:eastAsia="Times New Roman" w:hAnsi="Times New Roman"/>
          <w:sz w:val="20"/>
          <w:szCs w:val="20"/>
          <w:b w:val="1"/>
          <w:bCs w:val="1"/>
          <w:color w:val="111111"/>
        </w:rPr>
        <w:t>Monday, June 2, 2025</w:t>
      </w:r>
      <w:r>
        <w:rPr>
          <w:rFonts w:ascii="Times New Roman" w:cs="Times New Roman" w:eastAsia="Times New Roman" w:hAnsi="Times New Roman"/>
          <w:sz w:val="20"/>
          <w:szCs w:val="20"/>
          <w:color w:val="111111"/>
        </w:rPr>
        <w:t>, which may be changed based upon the agreement between you and the Company. Your salary for this position will be $440,000 on an annualized basis, less applicable tax and other withholdings in accordance with the Company’s normal payroll procedure.</w:t>
      </w:r>
    </w:p>
    <w:p>
      <w:pPr>
        <w:spacing w:after="0" w:line="1" w:lineRule="exact"/>
        <w:rPr>
          <w:sz w:val="20"/>
          <w:szCs w:val="20"/>
          <w:color w:val="auto"/>
        </w:rPr>
      </w:pPr>
    </w:p>
    <w:p>
      <w:pPr>
        <w:jc w:val="both"/>
        <w:ind w:left="60" w:hanging="8"/>
        <w:spacing w:after="0" w:line="255" w:lineRule="auto"/>
        <w:rPr>
          <w:sz w:val="20"/>
          <w:szCs w:val="20"/>
          <w:color w:val="auto"/>
        </w:rPr>
      </w:pPr>
      <w:r>
        <w:rPr>
          <w:rFonts w:ascii="Times New Roman" w:cs="Times New Roman" w:eastAsia="Times New Roman" w:hAnsi="Times New Roman"/>
          <w:sz w:val="20"/>
          <w:szCs w:val="20"/>
          <w:color w:val="111111"/>
        </w:rPr>
        <w:t>A sign-on bonus of one hundred thousand dollars ($100,000), less all required withholding and deductions, will be delivered to you within 30 days of your start date. In the event you voluntarily terminate your employment with the Company (i) within one year of your start date, you agree to repay the Company the total amount of the sign-on bonus within 30 days of your termination date, or (ii) after one year, but less than two years of your start date, you agree to repay the Company fifty percent (50%) of the amount of the sign-on bonus within 30 days of your termination date, and in either case, to the maximum extent permitted by applicable law, you hereby authorize the Company to deduct as a valid set-off of wages, any sign-on bonus owed to the Company from your final wages, any performance bonus/incentive compensation, outstanding expense report, and/or any other payments or compensation otherwise owed to you by the Company.</w:t>
      </w:r>
    </w:p>
    <w:p>
      <w:pPr>
        <w:spacing w:after="0" w:line="230" w:lineRule="exact"/>
        <w:rPr>
          <w:sz w:val="20"/>
          <w:szCs w:val="20"/>
          <w:color w:val="auto"/>
        </w:rPr>
      </w:pPr>
    </w:p>
    <w:p>
      <w:pPr>
        <w:jc w:val="both"/>
        <w:ind w:left="60" w:hanging="8"/>
        <w:spacing w:after="0" w:line="258" w:lineRule="auto"/>
        <w:rPr>
          <w:sz w:val="20"/>
          <w:szCs w:val="20"/>
          <w:color w:val="auto"/>
        </w:rPr>
      </w:pPr>
      <w:r>
        <w:rPr>
          <w:rFonts w:ascii="Times New Roman" w:cs="Times New Roman" w:eastAsia="Times New Roman" w:hAnsi="Times New Roman"/>
          <w:sz w:val="20"/>
          <w:szCs w:val="20"/>
          <w:color w:val="111111"/>
        </w:rPr>
        <w:t>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w:t>
      </w:r>
    </w:p>
    <w:p>
      <w:pPr>
        <w:spacing w:after="0" w:line="240" w:lineRule="exact"/>
        <w:rPr>
          <w:sz w:val="20"/>
          <w:szCs w:val="20"/>
          <w:color w:val="auto"/>
        </w:rPr>
      </w:pPr>
    </w:p>
    <w:p>
      <w:pPr>
        <w:jc w:val="both"/>
        <w:ind w:left="60" w:hanging="8"/>
        <w:spacing w:after="0" w:line="268" w:lineRule="auto"/>
        <w:rPr>
          <w:sz w:val="20"/>
          <w:szCs w:val="20"/>
          <w:color w:val="auto"/>
        </w:rPr>
      </w:pPr>
      <w:r>
        <w:rPr>
          <w:rFonts w:ascii="Times New Roman" w:cs="Times New Roman" w:eastAsia="Times New Roman" w:hAnsi="Times New Roman"/>
          <w:sz w:val="20"/>
          <w:szCs w:val="20"/>
          <w:color w:val="111111"/>
        </w:rPr>
        <w:t>In addition, you will be eligible to participate in our annual bonus plan. This bonus will be awarded at the discretion of the Board of Directors and based on both individual and Company performance. The target bonus for this position is 45% of base salary. This bonus is discretionary, and the business and individual</w:t>
      </w:r>
    </w:p>
    <w:p>
      <w:pPr>
        <w:spacing w:after="0" w:line="200" w:lineRule="exact"/>
        <w:rPr>
          <w:sz w:val="20"/>
          <w:szCs w:val="20"/>
          <w:color w:val="auto"/>
        </w:rPr>
      </w:pPr>
    </w:p>
    <w:p>
      <w:pPr>
        <w:spacing w:after="0" w:line="3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BFBFBF"/>
        </w:rPr>
        <w:t>400 Fifth Avenue, Suite 210 | Waltham, MA 02451| 510.745.1700 |ardelyx.com</w:t>
      </w:r>
    </w:p>
    <w:p>
      <w:pPr>
        <w:sectPr>
          <w:pgSz w:w="11900" w:h="16838" w:orient="portrait"/>
          <w:cols w:equalWidth="0" w:num="1">
            <w:col w:w="10120"/>
          </w:cols>
          <w:pgMar w:left="1440" w:top="114" w:right="339" w:bottom="1440" w:gutter="0" w:footer="0" w:header="0"/>
        </w:sectPr>
      </w:pPr>
    </w:p>
    <w:bookmarkStart w:id="76" w:name="page77"/>
    <w:bookmarkEnd w:id="76"/>
    <w:p>
      <w:pPr>
        <w:jc w:val="both"/>
        <w:ind w:left="60"/>
        <w:spacing w:after="0" w:line="283" w:lineRule="auto"/>
        <w:rPr>
          <w:sz w:val="20"/>
          <w:szCs w:val="20"/>
          <w:color w:val="auto"/>
        </w:rPr>
      </w:pPr>
      <w:r>
        <w:rPr>
          <w:rFonts w:ascii="Times New Roman" w:cs="Times New Roman" w:eastAsia="Times New Roman" w:hAnsi="Times New Roman"/>
          <w:sz w:val="20"/>
          <w:szCs w:val="20"/>
          <w:color w:val="111111"/>
        </w:rPr>
        <w:t>objectives are set by you and your manager. Consistent with Company policy, your bonus for 2025 will be pro-rated for the time you are employed by the Company during 2025.</w:t>
      </w:r>
    </w:p>
    <w:p>
      <w:pPr>
        <w:spacing w:after="0" w:line="200" w:lineRule="exact"/>
        <w:rPr>
          <w:sz w:val="20"/>
          <w:szCs w:val="20"/>
          <w:color w:val="auto"/>
        </w:rPr>
      </w:pPr>
    </w:p>
    <w:p>
      <w:pPr>
        <w:jc w:val="both"/>
        <w:ind w:left="60" w:hanging="8"/>
        <w:spacing w:after="0" w:line="255" w:lineRule="auto"/>
        <w:rPr>
          <w:sz w:val="20"/>
          <w:szCs w:val="20"/>
          <w:color w:val="auto"/>
        </w:rPr>
      </w:pPr>
      <w:r>
        <w:rPr>
          <w:rFonts w:ascii="Times New Roman" w:cs="Times New Roman" w:eastAsia="Times New Roman" w:hAnsi="Times New Roman"/>
          <w:sz w:val="20"/>
          <w:szCs w:val="20"/>
          <w:color w:val="111111"/>
        </w:rPr>
        <w:t>Subject to the approval of the Company’s Compensation Committee of the Board of Directors, or its designee, on or after your first day of employment, you will be granted an option to purchase 250,000 shares of Company common stock (the “Stock Option”) and restricted stock units covering 166,000 shares of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w:t>
      </w:r>
    </w:p>
    <w:p>
      <w:pPr>
        <w:spacing w:after="0" w:line="243" w:lineRule="exact"/>
        <w:rPr>
          <w:sz w:val="20"/>
          <w:szCs w:val="20"/>
          <w:color w:val="auto"/>
        </w:rPr>
      </w:pPr>
    </w:p>
    <w:p>
      <w:pPr>
        <w:jc w:val="both"/>
        <w:ind w:left="60" w:hanging="8"/>
        <w:spacing w:after="0" w:line="263" w:lineRule="auto"/>
        <w:rPr>
          <w:sz w:val="20"/>
          <w:szCs w:val="20"/>
          <w:color w:val="auto"/>
        </w:rPr>
      </w:pPr>
      <w:r>
        <w:rPr>
          <w:rFonts w:ascii="Times New Roman" w:cs="Times New Roman" w:eastAsia="Times New Roman" w:hAnsi="Times New Roman"/>
          <w:sz w:val="20"/>
          <w:szCs w:val="20"/>
          <w:color w:val="111111"/>
        </w:rPr>
        <w:t>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w:t>
      </w:r>
    </w:p>
    <w:p>
      <w:pPr>
        <w:spacing w:after="0" w:line="220" w:lineRule="exact"/>
        <w:rPr>
          <w:sz w:val="20"/>
          <w:szCs w:val="20"/>
          <w:color w:val="auto"/>
        </w:rPr>
      </w:pPr>
    </w:p>
    <w:p>
      <w:pPr>
        <w:jc w:val="both"/>
        <w:ind w:left="60" w:hanging="8"/>
        <w:spacing w:after="0" w:line="268" w:lineRule="auto"/>
        <w:rPr>
          <w:sz w:val="20"/>
          <w:szCs w:val="20"/>
          <w:color w:val="auto"/>
        </w:rPr>
      </w:pPr>
      <w:r>
        <w:rPr>
          <w:rFonts w:ascii="Times New Roman" w:cs="Times New Roman" w:eastAsia="Times New Roman" w:hAnsi="Times New Roman"/>
          <w:sz w:val="20"/>
          <w:szCs w:val="20"/>
          <w:color w:val="111111"/>
        </w:rPr>
        <w:t>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w:t>
      </w:r>
    </w:p>
    <w:p>
      <w:pPr>
        <w:spacing w:after="0" w:line="229" w:lineRule="exact"/>
        <w:rPr>
          <w:sz w:val="20"/>
          <w:szCs w:val="20"/>
          <w:color w:val="auto"/>
        </w:rPr>
      </w:pPr>
    </w:p>
    <w:p>
      <w:pPr>
        <w:jc w:val="both"/>
        <w:ind w:left="60" w:hanging="8"/>
        <w:spacing w:after="0" w:line="255" w:lineRule="auto"/>
        <w:rPr>
          <w:sz w:val="20"/>
          <w:szCs w:val="20"/>
          <w:color w:val="auto"/>
        </w:rPr>
      </w:pPr>
      <w:r>
        <w:rPr>
          <w:rFonts w:ascii="Times New Roman" w:cs="Times New Roman" w:eastAsia="Times New Roman" w:hAnsi="Times New Roman"/>
          <w:sz w:val="20"/>
          <w:szCs w:val="20"/>
          <w:color w:val="111111"/>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spacing w:after="0" w:line="246" w:lineRule="exact"/>
        <w:rPr>
          <w:sz w:val="20"/>
          <w:szCs w:val="20"/>
          <w:color w:val="auto"/>
        </w:rPr>
      </w:pPr>
    </w:p>
    <w:p>
      <w:pPr>
        <w:jc w:val="both"/>
        <w:ind w:left="60" w:hanging="8"/>
        <w:spacing w:after="0" w:line="253" w:lineRule="auto"/>
        <w:rPr>
          <w:sz w:val="20"/>
          <w:szCs w:val="20"/>
          <w:color w:val="auto"/>
        </w:rPr>
      </w:pPr>
      <w:r>
        <w:rPr>
          <w:rFonts w:ascii="Times New Roman" w:cs="Times New Roman" w:eastAsia="Times New Roman" w:hAnsi="Times New Roman"/>
          <w:sz w:val="20"/>
          <w:szCs w:val="20"/>
          <w:color w:val="111111"/>
        </w:rPr>
        <w:t>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w:t>
      </w:r>
    </w:p>
    <w:p>
      <w:pPr>
        <w:spacing w:after="0" w:line="5" w:lineRule="exact"/>
        <w:rPr>
          <w:sz w:val="20"/>
          <w:szCs w:val="20"/>
          <w:color w:val="auto"/>
        </w:rPr>
      </w:pPr>
    </w:p>
    <w:p>
      <w:pPr>
        <w:jc w:val="both"/>
        <w:ind w:left="60" w:hanging="8"/>
        <w:spacing w:after="0" w:line="266" w:lineRule="auto"/>
        <w:rPr>
          <w:sz w:val="20"/>
          <w:szCs w:val="20"/>
          <w:color w:val="auto"/>
        </w:rPr>
      </w:pPr>
      <w:r>
        <w:rPr>
          <w:rFonts w:ascii="Times New Roman" w:cs="Times New Roman" w:eastAsia="Times New Roman" w:hAnsi="Times New Roman"/>
          <w:sz w:val="20"/>
          <w:szCs w:val="20"/>
          <w:color w:val="111111"/>
        </w:rPr>
        <w:t>Please sign and date this letter on the spaces provided below to acknowledge your acceptance of the terms of this agreement on or before Monday, April 14, 2025.</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11111"/>
        </w:rPr>
        <w:t>Jamie, we look forward to having you join the Ardelyx team.</w:t>
      </w:r>
    </w:p>
    <w:p>
      <w:pPr>
        <w:sectPr>
          <w:pgSz w:w="11900" w:h="16838" w:orient="portrait"/>
          <w:cols w:equalWidth="0" w:num="1">
            <w:col w:w="10120"/>
          </w:cols>
          <w:pgMar w:left="1440" w:top="1426" w:right="339" w:bottom="1440" w:gutter="0" w:footer="0" w:header="0"/>
        </w:sectPr>
      </w:pPr>
    </w:p>
    <w:bookmarkStart w:id="77" w:name="page78"/>
    <w:bookmarkEnd w:id="77"/>
    <w:p>
      <w:pPr>
        <w:spacing w:after="0" w:line="1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11111"/>
        </w:rPr>
        <w:t>Sincerely,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11111"/>
        </w:rPr>
        <w:t>Ardelyx, Inc.</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111111"/>
        </w:rPr>
        <w:t>By: /s/ Mike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-10795</wp:posOffset>
            </wp:positionV>
            <wp:extent cx="13646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1364615" cy="889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111111"/>
        </w:rPr>
        <w:t>Mike Raab, President and Chief Executive Officer</w:t>
      </w:r>
    </w:p>
    <w:p>
      <w:pPr>
        <w:spacing w:after="0" w:line="261" w:lineRule="exact"/>
        <w:rPr>
          <w:sz w:val="20"/>
          <w:szCs w:val="20"/>
          <w:color w:val="auto"/>
        </w:rPr>
      </w:pPr>
    </w:p>
    <w:p>
      <w:pPr>
        <w:ind w:left="60" w:right="40" w:hanging="8"/>
        <w:spacing w:after="0" w:line="269" w:lineRule="auto"/>
        <w:rPr>
          <w:sz w:val="20"/>
          <w:szCs w:val="20"/>
          <w:color w:val="auto"/>
        </w:rPr>
      </w:pPr>
      <w:r>
        <w:rPr>
          <w:rFonts w:ascii="Times New Roman" w:cs="Times New Roman" w:eastAsia="Times New Roman" w:hAnsi="Times New Roman"/>
          <w:sz w:val="20"/>
          <w:szCs w:val="20"/>
          <w:color w:val="111111"/>
        </w:rPr>
        <w:t>I agree to and accept employment with Ardelyx on the terms and conditions set forth in this agreement. I understand and agree that my employment with the Company is at-will.</w:t>
      </w:r>
    </w:p>
    <w:p>
      <w:pPr>
        <w:spacing w:after="0" w:line="294" w:lineRule="exact"/>
        <w:rPr>
          <w:sz w:val="20"/>
          <w:szCs w:val="20"/>
          <w:color w:val="auto"/>
        </w:rPr>
      </w:pPr>
    </w:p>
    <w:p>
      <w:pPr>
        <w:jc w:val="both"/>
        <w:ind w:left="7080"/>
        <w:spacing w:after="0"/>
        <w:tabs>
          <w:tab w:leader="none" w:pos="86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/s/ James P.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31115</wp:posOffset>
            </wp:positionV>
            <wp:extent cx="16459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James P. Brady</w:t>
      </w:r>
    </w:p>
    <w:p>
      <w:pPr>
        <w:sectPr>
          <w:pgSz w:w="11900" w:h="16838" w:orient="portrait"/>
          <w:cols w:equalWidth="0" w:num="1">
            <w:col w:w="10100"/>
          </w:cols>
          <w:pgMar w:left="1440" w:top="1440" w:right="35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Raab, certify that:</w:t>
      </w:r>
    </w:p>
    <w:p>
      <w:pPr>
        <w:spacing w:after="0" w:line="153"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Ardelyx,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648"/>
        <w:spacing w:after="0" w:line="266"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Renz, certify that:</w:t>
      </w:r>
    </w:p>
    <w:p>
      <w:pPr>
        <w:spacing w:after="0" w:line="153"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Ardelyx, Inc.;</w:t>
      </w:r>
    </w:p>
    <w:p>
      <w:pPr>
        <w:spacing w:after="0" w:line="171"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980" w:right="60" w:hanging="648"/>
        <w:spacing w:after="0" w:line="266"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980" w:right="360" w:hanging="648"/>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980" w:right="540" w:hanging="648"/>
        <w:spacing w:after="0" w:line="312" w:lineRule="auto"/>
        <w:tabs>
          <w:tab w:leader="none" w:pos="977"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980" w:right="60" w:hanging="648"/>
        <w:spacing w:after="0" w:line="266"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980" w:right="780" w:hanging="648"/>
        <w:spacing w:after="0" w:line="282" w:lineRule="auto"/>
        <w:tabs>
          <w:tab w:leader="none" w:pos="97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980" w:right="480" w:hanging="648"/>
        <w:spacing w:after="0" w:line="282" w:lineRule="auto"/>
        <w:tabs>
          <w:tab w:leader="none" w:pos="97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Justin Renz</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Chief Financial and Operations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240"/>
          </w:cols>
          <w:pgMar w:left="32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Ardelyx, Inc. (the “Company”) on Form 10-Q for the period ending June 30, 2025, as filed with the Securities and Exchange Commission on the date hereof (the “Report”), Michael Raab, President and Chief Executive Officer of the Company, and Justin Renz, Chief Financial and Operations Officer of the Company, respectively, do each hereby certify, pursuant to 18 U.S.C. Section 1350, as adopted pursuant to Section 906 of the Sarbanes-Oxley Act of 2002, that:</w:t>
      </w:r>
    </w:p>
    <w:p>
      <w:pPr>
        <w:spacing w:after="0" w:line="126" w:lineRule="exact"/>
        <w:rPr>
          <w:sz w:val="20"/>
          <w:szCs w:val="20"/>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Michael Raab</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66"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34290</wp:posOffset>
            </wp:positionV>
            <wp:extent cx="29146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5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Justin Renz</w:t>
      </w:r>
    </w:p>
    <w:p>
      <w:pPr>
        <w:spacing w:after="0" w:line="3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Chief Financial and Operations Officer</w:t>
      </w:r>
    </w:p>
    <w:p>
      <w:pPr>
        <w:spacing w:after="0" w:line="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7"/>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04"/>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4"/>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jpe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77" Type="http://schemas.openxmlformats.org/officeDocument/2006/relationships/hyperlink" Target="https://www.sec.gov/Archives/edgar/data/1437402/000119312514247380/d748616dex31.htm" TargetMode="External"/><Relationship Id="rId78" Type="http://schemas.openxmlformats.org/officeDocument/2006/relationships/hyperlink" Target="https://www.sec.gov/Archives/edgar/data/1437402/000162828023022681/certificateofamendment6-16.htm" TargetMode="External"/><Relationship Id="rId79" Type="http://schemas.openxmlformats.org/officeDocument/2006/relationships/hyperlink" Target="https://www.sec.gov/Archives/edgar/data/1437402/000162828025037441/ardx-20250630xexhibit31.htm" TargetMode="External"/><Relationship Id="rId80" Type="http://schemas.openxmlformats.org/officeDocument/2006/relationships/hyperlink" Target="https://www.sec.gov/Archives/edgar/data/1437402/000162828025032172/ardx-20250618xexx101.htm" TargetMode="External"/><Relationship Id="rId81" Type="http://schemas.openxmlformats.org/officeDocument/2006/relationships/hyperlink" Target="https://www.sec.gov/Archives/edgar/data/1437402/000162828025034132/ardx-20250703x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2025-08-04T15:48:41Z</dcterms:created>
  <dcterms:modified xsi:type="dcterms:W3CDTF">2025-08-04T15:48:41Z</dcterms:modified>
</cp:coreProperties>
</file>