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Florence Anthony A. Jr.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tcPr>
          <w:p>
            <w:pPr>
              <w:ind w:left="62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5425 WISCONSIN AVENUE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05/25/2018</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4"/>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0000FF"/>
              </w:rPr>
              <w:t>SUITE 800</w:t>
            </w:r>
          </w:p>
        </w:tc>
        <w:tc>
          <w:tcPr>
            <w:tcW w:w="6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6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9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40" w:type="dxa"/>
            <w:vAlign w:val="bottom"/>
            <w:gridSpan w:val="8"/>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3"/>
                <w:szCs w:val="13"/>
                <w:color w:val="auto"/>
              </w:rPr>
            </w:pPr>
          </w:p>
        </w:tc>
        <w:tc>
          <w:tcPr>
            <w:tcW w:w="3440" w:type="dxa"/>
            <w:vAlign w:val="bottom"/>
            <w:gridSpan w:val="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rPr>
              <w:t>CHEVY</w:t>
            </w:r>
          </w:p>
        </w:tc>
        <w:tc>
          <w:tcPr>
            <w:tcW w:w="1880" w:type="dxa"/>
            <w:vAlign w:val="bottom"/>
            <w:gridSpan w:val="3"/>
            <w:vMerge w:val="restart"/>
          </w:tcPr>
          <w:p>
            <w:pPr>
              <w:ind w:left="620"/>
              <w:spacing w:after="0"/>
              <w:rPr>
                <w:sz w:val="20"/>
                <w:szCs w:val="20"/>
                <w:color w:val="auto"/>
              </w:rPr>
            </w:pPr>
            <w:r>
              <w:rPr>
                <w:rFonts w:ascii="Arial" w:cs="Arial" w:eastAsia="Arial" w:hAnsi="Arial"/>
                <w:sz w:val="18"/>
                <w:szCs w:val="18"/>
                <w:color w:val="0000FF"/>
              </w:rPr>
              <w:t>MD</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20815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vMerge w:val="restart"/>
          </w:tcPr>
          <w:p>
            <w:pPr>
              <w:spacing w:after="0" w:line="170" w:lineRule="exact"/>
              <w:rPr>
                <w:sz w:val="20"/>
                <w:szCs w:val="20"/>
                <w:color w:val="auto"/>
              </w:rPr>
            </w:pPr>
            <w:r>
              <w:rPr>
                <w:rFonts w:ascii="Arial" w:cs="Arial" w:eastAsia="Arial" w:hAnsi="Arial"/>
                <w:sz w:val="18"/>
                <w:szCs w:val="18"/>
                <w:color w:val="0000FF"/>
              </w:rPr>
              <w:t>CHASE</w:t>
            </w:r>
          </w:p>
        </w:tc>
        <w:tc>
          <w:tcPr>
            <w:tcW w:w="188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9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Borders>
              <w:bottom w:val="single" w:sz="8" w:color="9A9A9A"/>
            </w:tcBorders>
          </w:tcPr>
          <w:p>
            <w:pPr>
              <w:spacing w:after="0"/>
              <w:rPr>
                <w:sz w:val="4"/>
                <w:szCs w:val="4"/>
                <w:color w:val="auto"/>
              </w:rPr>
            </w:pPr>
          </w:p>
        </w:tc>
        <w:tc>
          <w:tcPr>
            <w:tcW w:w="1440" w:type="dxa"/>
            <w:vAlign w:val="bottom"/>
            <w:tcBorders>
              <w:bottom w:val="single" w:sz="8" w:color="9A9A9A"/>
            </w:tcBorders>
            <w:gridSpan w:val="2"/>
          </w:tcPr>
          <w:p>
            <w:pPr>
              <w:spacing w:after="0"/>
              <w:rPr>
                <w:sz w:val="4"/>
                <w:szCs w:val="4"/>
                <w:color w:val="auto"/>
              </w:rPr>
            </w:pPr>
          </w:p>
        </w:tc>
        <w:tc>
          <w:tcPr>
            <w:tcW w:w="4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tcPr>
          <w:p>
            <w:pPr>
              <w:ind w:left="62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8"/>
          </w:tcPr>
          <w:p>
            <w:pPr>
              <w:jc w:val="center"/>
              <w:ind w:right="4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05/25/2018</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416,666</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3,082,186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1</w:t>
            </w:r>
            <w:r>
              <w:rPr>
                <w:rFonts w:ascii="Arial" w:cs="Arial" w:eastAsia="Arial" w:hAnsi="Arial"/>
                <w:sz w:val="11"/>
                <w:szCs w:val="11"/>
                <w:color w:val="008000"/>
              </w:rPr>
              <w:t>(1)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40" w:type="dxa"/>
            <w:vAlign w:val="bottom"/>
            <w:gridSpan w:val="5"/>
            <w:vMerge w:val="restart"/>
          </w:tcPr>
          <w:p>
            <w:pPr>
              <w:ind w:left="860"/>
              <w:spacing w:after="0"/>
              <w:rPr>
                <w:sz w:val="20"/>
                <w:szCs w:val="20"/>
                <w:color w:val="auto"/>
              </w:rPr>
            </w:pPr>
            <w:r>
              <w:rPr>
                <w:rFonts w:ascii="Arial" w:cs="Arial" w:eastAsia="Arial" w:hAnsi="Arial"/>
                <w:sz w:val="18"/>
                <w:szCs w:val="18"/>
                <w:color w:val="0000FF"/>
              </w:rPr>
              <w:t>05/25/2018</w:t>
            </w: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4"/>
                <w:szCs w:val="14"/>
                <w:color w:val="0000FF"/>
              </w:rPr>
              <w:t>A</w:t>
            </w:r>
          </w:p>
        </w:tc>
        <w:tc>
          <w:tcPr>
            <w:tcW w:w="11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416,667</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w:t>
            </w:r>
          </w:p>
        </w:tc>
        <w:tc>
          <w:tcPr>
            <w:tcW w:w="1260" w:type="dxa"/>
            <w:vAlign w:val="bottom"/>
            <w:gridSpan w:val="2"/>
            <w:vMerge w:val="restart"/>
          </w:tcPr>
          <w:p>
            <w:pPr>
              <w:ind w:left="260"/>
              <w:spacing w:after="0"/>
              <w:rPr>
                <w:sz w:val="20"/>
                <w:szCs w:val="20"/>
                <w:color w:val="auto"/>
              </w:rPr>
            </w:pPr>
            <w:r>
              <w:rPr>
                <w:rFonts w:ascii="Arial" w:cs="Arial" w:eastAsia="Arial" w:hAnsi="Arial"/>
                <w:sz w:val="18"/>
                <w:szCs w:val="18"/>
                <w:color w:val="0000FF"/>
              </w:rPr>
              <w:t>3,082,186</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w w:val="95"/>
              </w:rPr>
              <w:t>See Note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620" w:type="dxa"/>
            <w:vAlign w:val="bottom"/>
            <w:gridSpan w:val="3"/>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vMerge w:val="restart"/>
          </w:tcPr>
          <w:p>
            <w:pPr>
              <w:ind w:left="20"/>
              <w:spacing w:after="0" w:line="278" w:lineRule="exact"/>
              <w:rPr>
                <w:sz w:val="20"/>
                <w:szCs w:val="20"/>
                <w:color w:val="auto"/>
              </w:rPr>
            </w:pPr>
            <w:r>
              <w:rPr>
                <w:rFonts w:ascii="Arial" w:cs="Arial" w:eastAsia="Arial" w:hAnsi="Arial"/>
                <w:sz w:val="32"/>
                <w:szCs w:val="32"/>
                <w:color w:val="0000FF"/>
                <w:vertAlign w:val="subscript"/>
              </w:rPr>
              <w:t>2</w:t>
            </w:r>
            <w:r>
              <w:rPr>
                <w:rFonts w:ascii="Arial" w:cs="Arial" w:eastAsia="Arial" w:hAnsi="Arial"/>
                <w:sz w:val="11"/>
                <w:szCs w:val="11"/>
                <w:color w:val="008000"/>
              </w:rPr>
              <w:t>(2)</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9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700" w:type="dxa"/>
            <w:vAlign w:val="bottom"/>
            <w:tcBorders>
              <w:top w:val="single" w:sz="8" w:color="2C2C2C"/>
            </w:tcBorders>
            <w:gridSpan w:val="17"/>
          </w:tcPr>
          <w:p>
            <w:pPr>
              <w:jc w:val="center"/>
              <w:ind w:left="2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80" w:type="dxa"/>
            <w:vAlign w:val="bottom"/>
            <w:gridSpan w:val="15"/>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LLC, ("NEA 15 GP") which is the sole general partner of NEA Partners 15, L.P. ("NEA Partners 15"). NEA Partners 15 is the sole general partner of New Enterprise Associates 15, L. P. ("NEA 15"), the direct beneficial owner of the securities. The Reporting Person disclaims beneficial ownership within the meaning of Section 16 of the Securities Exchange Act of 1934, as amended, or otherwise of such portion of the securities held by NEA 15 in which the Reporting Person has no pecuniary interest.</w:t>
      </w:r>
    </w:p>
    <w:p>
      <w:pPr>
        <w:spacing w:after="0" w:line="2" w:lineRule="exact"/>
        <w:rPr>
          <w:rFonts w:ascii="Arial" w:cs="Arial" w:eastAsia="Arial" w:hAnsi="Arial"/>
          <w:sz w:val="12"/>
          <w:szCs w:val="12"/>
          <w:color w:val="008000"/>
        </w:rPr>
      </w:pPr>
    </w:p>
    <w:p>
      <w:pPr>
        <w:ind w:left="40" w:right="4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manager of NEA 15 GP which is the sole general partner of NEA Partners 15-OF, L.P. ("NEA Partners 15-OF"). NEA Partners 15-OF is the sole general partner of NEA 15 Opportunity Fund, L. P. ("NEA Opportunity 15"), the direct beneficial owner of the securities. The Reporting Person disclaims beneficial ownership within the meaning of Section 16 of the Securities Exchange Act of 1934, as amended, or otherwise of such portion of the securities held by NEA Opportunity 15 in which the Reporting Person has no pecuniary interest.</w:t>
      </w: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05/30/2018</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59827"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2019-12-07T13:26:54Z</dcterms:created>
  <dcterms:modified xsi:type="dcterms:W3CDTF">2019-12-07T13:26:54Z</dcterms:modified>
</cp:coreProperties>
</file>