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Renz Justin A</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right="400"/>
        <w:spacing w:after="0" w:line="299" w:lineRule="auto"/>
        <w:rPr>
          <w:sz w:val="20"/>
          <w:szCs w:val="20"/>
          <w:color w:val="auto"/>
        </w:rPr>
      </w:pPr>
      <w:r>
        <w:rPr>
          <w:rFonts w:ascii="Times New Roman" w:cs="Times New Roman" w:eastAsia="Times New Roman" w:hAnsi="Times New Roman"/>
          <w:sz w:val="17"/>
          <w:szCs w:val="17"/>
          <w:color w:val="0000FF"/>
        </w:rPr>
        <w:t>C/O ARDELYX, INC. 34175 ARDENWOOD BLVD</w:t>
      </w:r>
    </w:p>
    <w:p>
      <w:pPr>
        <w:spacing w:after="0" w:line="270" w:lineRule="exact"/>
        <w:rPr>
          <w:sz w:val="24"/>
          <w:szCs w:val="24"/>
          <w:color w:val="auto"/>
        </w:rPr>
      </w:pPr>
    </w:p>
    <w:tbl>
      <w:tblPr>
        <w:tblLayout w:type="fixed"/>
        <w:tblInd w:w="80" w:type="dxa"/>
        <w:tblCellMar>
          <w:top w:w="0" w:type="dxa"/>
          <w:left w:w="0" w:type="dxa"/>
          <w:bottom w:w="0" w:type="dxa"/>
          <w:right w:w="0" w:type="dxa"/>
        </w:tblCellMar>
      </w:tblPr>
      <w:tr>
        <w:trPr>
          <w:trHeight w:val="17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FREMONT</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94555</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3"/>
        </w:trPr>
        <w:tc>
          <w:tcPr>
            <w:tcW w:w="3820" w:type="dxa"/>
            <w:vAlign w:val="bottom"/>
            <w:gridSpan w:val="2"/>
          </w:tcPr>
          <w:p>
            <w:pPr>
              <w:ind w:left="80"/>
              <w:spacing w:after="0" w:line="21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ARDELYX,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ARDX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20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0" w:type="dxa"/>
            <w:vAlign w:val="bottom"/>
            <w:tcBorders>
              <w:bottom w:val="single" w:sz="8" w:color="808080"/>
            </w:tcBorders>
          </w:tcPr>
          <w:p>
            <w:pPr>
              <w:spacing w:after="0"/>
              <w:rPr>
                <w:sz w:val="15"/>
                <w:szCs w:val="15"/>
                <w:color w:val="auto"/>
              </w:rPr>
            </w:pPr>
          </w:p>
        </w:tc>
        <w:tc>
          <w:tcPr>
            <w:tcW w:w="3620" w:type="dxa"/>
            <w:vAlign w:val="bottom"/>
            <w:tcBorders>
              <w:bottom w:val="single" w:sz="8" w:color="808080"/>
            </w:tcBorders>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2"/>
        </w:trPr>
        <w:tc>
          <w:tcPr>
            <w:tcW w:w="200" w:type="dxa"/>
            <w:vAlign w:val="bottom"/>
            <w:tcBorders>
              <w:top w:val="single" w:sz="8" w:color="2C2C2C"/>
            </w:tcBorders>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Borders>
              <w:top w:val="single" w:sz="8" w:color="2C2C2C"/>
            </w:tcBorders>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restart"/>
          </w:tcPr>
          <w:p>
            <w:pPr>
              <w:ind w:left="100"/>
              <w:spacing w:after="0" w:line="129"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00" w:type="dxa"/>
            <w:vAlign w:val="bottom"/>
            <w:vMerge w:val="continue"/>
          </w:tcPr>
          <w:p>
            <w:pPr>
              <w:spacing w:after="0"/>
              <w:rPr>
                <w:sz w:val="4"/>
                <w:szCs w:val="4"/>
                <w:color w:val="auto"/>
              </w:rPr>
            </w:pPr>
          </w:p>
        </w:tc>
        <w:tc>
          <w:tcPr>
            <w:tcW w:w="362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200" w:type="dxa"/>
            <w:vAlign w:val="bottom"/>
            <w:vMerge w:val="continue"/>
          </w:tcPr>
          <w:p>
            <w:pPr>
              <w:spacing w:after="0"/>
              <w:rPr>
                <w:sz w:val="4"/>
                <w:szCs w:val="4"/>
                <w:color w:val="auto"/>
              </w:rPr>
            </w:pPr>
          </w:p>
        </w:tc>
        <w:tc>
          <w:tcPr>
            <w:tcW w:w="362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226"/>
        </w:trPr>
        <w:tc>
          <w:tcPr>
            <w:tcW w:w="38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09/15/2020</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200" w:type="dxa"/>
            <w:vAlign w:val="bottom"/>
            <w:tcBorders>
              <w:bottom w:val="single" w:sz="8" w:color="2C2C2C"/>
            </w:tcBorders>
          </w:tcPr>
          <w:p>
            <w:pPr>
              <w:spacing w:after="0"/>
              <w:rPr>
                <w:sz w:val="24"/>
                <w:szCs w:val="24"/>
                <w:color w:val="auto"/>
              </w:rPr>
            </w:pPr>
          </w:p>
        </w:tc>
        <w:tc>
          <w:tcPr>
            <w:tcW w:w="36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6"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1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-2433320</wp:posOffset>
            </wp:positionH>
            <wp:positionV relativeFrom="paragraph">
              <wp:posOffset>218440</wp:posOffset>
            </wp:positionV>
            <wp:extent cx="6964045" cy="1125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125220"/>
                    </a:xfrm>
                    <a:prstGeom prst="rect">
                      <a:avLst/>
                    </a:prstGeom>
                    <a:noFill/>
                  </pic:spPr>
                </pic:pic>
              </a:graphicData>
            </a:graphic>
          </wp:anchor>
        </w:drawing>
      </w:r>
    </w:p>
    <w:p>
      <w:pPr>
        <w:spacing w:after="0" w:line="403"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20"/>
              <w:spacing w:after="0" w:line="129"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Transaction</w:t>
            </w:r>
          </w:p>
        </w:tc>
        <w:tc>
          <w:tcPr>
            <w:tcW w:w="3260" w:type="dxa"/>
            <w:vAlign w:val="bottom"/>
            <w:gridSpan w:val="7"/>
          </w:tcPr>
          <w:p>
            <w:pPr>
              <w:ind w:left="20"/>
              <w:spacing w:after="0" w:line="129"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 or</w:t>
            </w: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1"/>
                <w:szCs w:val="11"/>
                <w:color w:val="auto"/>
              </w:rPr>
            </w:pP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ind w:left="520"/>
              <w:spacing w:after="0"/>
              <w:rPr>
                <w:sz w:val="20"/>
                <w:szCs w:val="20"/>
                <w:color w:val="auto"/>
              </w:rPr>
            </w:pPr>
            <w:r>
              <w:rPr>
                <w:rFonts w:ascii="Times New Roman" w:cs="Times New Roman" w:eastAsia="Times New Roman" w:hAnsi="Times New Roman"/>
                <w:sz w:val="17"/>
                <w:szCs w:val="17"/>
                <w:color w:val="0000FF"/>
              </w:rPr>
              <w:t>09/15/2020</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3,714</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5.4854</w:t>
            </w:r>
            <w:r>
              <w:rPr>
                <w:rFonts w:ascii="Times New Roman" w:cs="Times New Roman" w:eastAsia="Times New Roman" w:hAnsi="Times New Roman"/>
                <w:sz w:val="22"/>
                <w:szCs w:val="22"/>
                <w:color w:val="008000"/>
                <w:vertAlign w:val="superscript"/>
              </w:rPr>
              <w:t>(2)</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9,286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Date</w:t>
            </w:r>
          </w:p>
        </w:tc>
        <w:tc>
          <w:tcPr>
            <w:tcW w:w="7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vMerge w:val="restart"/>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vMerge w:val="continue"/>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-1753235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7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an automatic sell-to-cover imposed by the terms of the initial grant of the restricted stock units ("RSUs") awards, the shares were sold upon the vesting of the RSUs solely to cover applicable withholding taxes.</w:t>
      </w:r>
    </w:p>
    <w:p>
      <w:pPr>
        <w:spacing w:after="0" w:line="7" w:lineRule="exact"/>
        <w:rPr>
          <w:rFonts w:ascii="Times New Roman" w:cs="Times New Roman" w:eastAsia="Times New Roman" w:hAnsi="Times New Roman"/>
          <w:sz w:val="13"/>
          <w:szCs w:val="13"/>
          <w:color w:val="008000"/>
        </w:rPr>
      </w:pPr>
    </w:p>
    <w:p>
      <w:pPr>
        <w:ind w:left="40" w:right="2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in prices ranging from $5.30 to $5.86, inclusive. The price reported in Column 4 above reflects the weighted average sale price. The Reporting Person hereby undertakes to provide to the Securities and Exchange Commission staff, the Issuer, or a security holder of the Issuer, upon request, full information regarding the number of shares sold at each respective price within the range set forth in this footnote.</w:t>
      </w:r>
    </w:p>
    <w:p>
      <w:pPr>
        <w:spacing w:after="0" w:line="4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185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1854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Justin</w:t>
      </w:r>
      <w:r>
        <w:rPr>
          <w:sz w:val="20"/>
          <w:szCs w:val="20"/>
          <w:color w:val="auto"/>
        </w:rPr>
        <w:tab/>
      </w:r>
      <w:r>
        <w:rPr>
          <w:rFonts w:ascii="Times New Roman" w:cs="Times New Roman" w:eastAsia="Times New Roman" w:hAnsi="Times New Roman"/>
          <w:sz w:val="17"/>
          <w:szCs w:val="17"/>
          <w:color w:val="0000FF"/>
        </w:rPr>
        <w:t>09/17/2020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Renz</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260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226060" cy="8255"/>
                    </a:xfrm>
                    <a:prstGeom prst="rect">
                      <a:avLst/>
                    </a:prstGeom>
                    <a:noFill/>
                  </pic:spPr>
                </pic:pic>
              </a:graphicData>
            </a:graphic>
          </wp:anchor>
        </w:drawing>
      </w:r>
    </w:p>
    <w:p>
      <w:pPr>
        <w:spacing w:after="0" w:line="36"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466562" TargetMode="External"/><Relationship Id="rId14"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2020-09-17T17:33:54Z</dcterms:created>
  <dcterms:modified xsi:type="dcterms:W3CDTF">2020-09-17T17:33:54Z</dcterms:modified>
</cp:coreProperties>
</file>