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23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77470</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97790</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4060" w:type="dxa"/>
        <w:tblCellMar>
          <w:top w:w="0" w:type="dxa"/>
          <w:left w:w="0" w:type="dxa"/>
          <w:bottom w:w="0" w:type="dxa"/>
          <w:right w:w="0" w:type="dxa"/>
        </w:tblCellMar>
      </w:tblPr>
      <w:tr>
        <w:trPr>
          <w:trHeight w:val="216"/>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296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Commission file number: 001-36485</w:t>
            </w:r>
          </w:p>
        </w:tc>
        <w:tc>
          <w:tcPr>
            <w:tcW w:w="180" w:type="dxa"/>
            <w:vAlign w:val="bottom"/>
          </w:tcPr>
          <w:p>
            <w:pPr>
              <w:spacing w:after="0"/>
              <w:rPr>
                <w:sz w:val="20"/>
                <w:szCs w:val="20"/>
                <w:color w:val="auto"/>
              </w:rPr>
            </w:pPr>
          </w:p>
        </w:tc>
      </w:tr>
      <w:tr>
        <w:trPr>
          <w:trHeight w:val="122"/>
        </w:trPr>
        <w:tc>
          <w:tcPr>
            <w:tcW w:w="26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Pr>
          <w:p>
            <w:pPr>
              <w:jc w:val="center"/>
              <w:ind w:left="2221"/>
              <w:spacing w:after="0"/>
              <w:rPr>
                <w:sz w:val="20"/>
                <w:szCs w:val="20"/>
                <w:color w:val="auto"/>
              </w:rPr>
            </w:pPr>
            <w:r>
              <w:rPr>
                <w:rFonts w:ascii="Arial" w:cs="Arial" w:eastAsia="Arial" w:hAnsi="Arial"/>
                <w:sz w:val="18"/>
                <w:szCs w:val="18"/>
                <w:b w:val="1"/>
                <w:bCs w:val="1"/>
                <w:color w:val="auto"/>
                <w:w w:val="93"/>
              </w:rPr>
              <w:t>Delaware</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30"/>
        </w:trPr>
        <w:tc>
          <w:tcPr>
            <w:tcW w:w="6940" w:type="dxa"/>
            <w:vAlign w:val="bottom"/>
            <w:gridSpan w:val="6"/>
          </w:tcPr>
          <w:p>
            <w:pPr>
              <w:jc w:val="center"/>
              <w:ind w:right="13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gridSpan w:val="2"/>
          </w:tcPr>
          <w:p>
            <w:pPr>
              <w:jc w:val="center"/>
              <w:ind w:right="128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5"/>
        </w:trPr>
        <w:tc>
          <w:tcPr>
            <w:tcW w:w="3320" w:type="dxa"/>
            <w:vAlign w:val="bottom"/>
          </w:tcPr>
          <w:p>
            <w:pPr>
              <w:spacing w:after="0"/>
              <w:rPr>
                <w:sz w:val="24"/>
                <w:szCs w:val="24"/>
                <w:color w:val="auto"/>
              </w:rPr>
            </w:pPr>
          </w:p>
        </w:tc>
        <w:tc>
          <w:tcPr>
            <w:tcW w:w="7920" w:type="dxa"/>
            <w:vAlign w:val="bottom"/>
            <w:gridSpan w:val="7"/>
          </w:tcPr>
          <w:p>
            <w:pPr>
              <w:jc w:val="center"/>
              <w:ind w:right="3228"/>
              <w:spacing w:after="0"/>
              <w:rPr>
                <w:sz w:val="20"/>
                <w:szCs w:val="20"/>
                <w:color w:val="auto"/>
              </w:rPr>
            </w:pPr>
            <w:r>
              <w:rPr>
                <w:rFonts w:ascii="Arial" w:cs="Arial" w:eastAsia="Arial" w:hAnsi="Arial"/>
                <w:sz w:val="18"/>
                <w:szCs w:val="18"/>
                <w:b w:val="1"/>
                <w:bCs w:val="1"/>
                <w:color w:val="auto"/>
                <w:w w:val="89"/>
              </w:rPr>
              <w:t>400 Fifth Avenue, Suite 210, Waltham, Massachusetts 02451</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300" w:type="dxa"/>
            <w:vAlign w:val="bottom"/>
            <w:gridSpan w:val="6"/>
          </w:tcPr>
          <w:p>
            <w:pPr>
              <w:jc w:val="center"/>
              <w:ind w:right="384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425"/>
        </w:trPr>
        <w:tc>
          <w:tcPr>
            <w:tcW w:w="3320" w:type="dxa"/>
            <w:vAlign w:val="bottom"/>
          </w:tcPr>
          <w:p>
            <w:pPr>
              <w:spacing w:after="0"/>
              <w:rPr>
                <w:sz w:val="24"/>
                <w:szCs w:val="24"/>
                <w:color w:val="auto"/>
              </w:rPr>
            </w:pPr>
          </w:p>
        </w:tc>
        <w:tc>
          <w:tcPr>
            <w:tcW w:w="35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(510) 745-1700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300" w:type="dxa"/>
            <w:vAlign w:val="bottom"/>
            <w:gridSpan w:val="6"/>
          </w:tcPr>
          <w:p>
            <w:pPr>
              <w:jc w:val="center"/>
              <w:ind w:right="3848"/>
              <w:spacing w:after="0"/>
              <w:rPr>
                <w:sz w:val="20"/>
                <w:szCs w:val="20"/>
                <w:color w:val="auto"/>
              </w:rPr>
            </w:pPr>
            <w:r>
              <w:rPr>
                <w:rFonts w:ascii="Arial" w:cs="Arial" w:eastAsia="Arial" w:hAnsi="Arial"/>
                <w:sz w:val="14"/>
                <w:szCs w:val="14"/>
                <w:color w:val="auto"/>
                <w:w w:val="93"/>
              </w:rPr>
              <w:t>(Registrant’s Telephone Number, Including Area Code)</w:t>
            </w:r>
          </w:p>
        </w:tc>
        <w:tc>
          <w:tcPr>
            <w:tcW w:w="0" w:type="dxa"/>
            <w:vAlign w:val="bottom"/>
          </w:tcPr>
          <w:p>
            <w:pPr>
              <w:spacing w:after="0"/>
              <w:rPr>
                <w:sz w:val="1"/>
                <w:szCs w:val="1"/>
                <w:color w:val="auto"/>
              </w:rPr>
            </w:pPr>
          </w:p>
        </w:tc>
      </w:tr>
      <w:tr>
        <w:trPr>
          <w:trHeight w:val="39"/>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20" w:type="dxa"/>
            <w:vAlign w:val="bottom"/>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8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2"/>
        </w:trPr>
        <w:tc>
          <w:tcPr>
            <w:tcW w:w="3320" w:type="dxa"/>
            <w:vAlign w:val="bottom"/>
            <w:tcBorders>
              <w:top w:val="single" w:sz="8" w:color="auto"/>
            </w:tcBorders>
          </w:tcPr>
          <w:p>
            <w:pPr>
              <w:jc w:val="center"/>
              <w:ind w:left="541"/>
              <w:spacing w:after="0"/>
              <w:rPr>
                <w:sz w:val="20"/>
                <w:szCs w:val="20"/>
                <w:color w:val="auto"/>
              </w:rPr>
            </w:pPr>
            <w:r>
              <w:rPr>
                <w:rFonts w:ascii="Arial" w:cs="Arial" w:eastAsia="Arial" w:hAnsi="Arial"/>
                <w:sz w:val="14"/>
                <w:szCs w:val="14"/>
                <w:color w:val="auto"/>
                <w:w w:val="93"/>
              </w:rPr>
              <w:t>Common Stock, par value $0.0001</w:t>
            </w: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spacing w:after="0" w:line="272" w:lineRule="exact"/>
        <w:rPr>
          <w:sz w:val="24"/>
          <w:szCs w:val="24"/>
          <w:color w:val="auto"/>
        </w:rPr>
      </w:pPr>
    </w:p>
    <w:p>
      <w:pPr>
        <w:ind w:right="2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60"/>
        <w:spacing w:after="0" w:line="22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28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40" w:type="dxa"/>
        <w:tblCellMar>
          <w:top w:w="0" w:type="dxa"/>
          <w:left w:w="0" w:type="dxa"/>
          <w:bottom w:w="0" w:type="dxa"/>
          <w:right w:w="0" w:type="dxa"/>
        </w:tblCellMar>
      </w:tblPr>
      <w:tr>
        <w:trPr>
          <w:trHeight w:val="30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0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560"/>
        <w:spacing w:after="0" w:line="21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3"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July 28, 2023, was 217,862,921.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23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234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Quarterly Report on Form 10-Q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1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of a label for the commercialization of XPHOZAH and our belief regarding what indication may be included in such a label;</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for FDA approval for the New Drug Application ("NDA") for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the FDA’s review of the NDA for XPHOZAH and, if approved, our current expectations regarding our timing to launch XPHOZAH;</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when XPHOZAH, along with other oral ESRD-related drugs without an injectable or intravenous equivalent, are bundled into the ESRD prospective payment system, and the manner in which such introduction into the ESRD prospective payment system may occur, including the length of any applicable Transitional Drug Add-on Payment Adjustment ("TDAPA") period and the amount of the add-on payment available during the TDAPA period;</w:t>
      </w:r>
    </w:p>
    <w:p>
      <w:pPr>
        <w:spacing w:after="0" w:line="78"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address our operating cash flow requirements with our current cash, cash equivalents and short-term investments, cash generated from the sales of IBSRELA®, and if approved, sales of XPHOZAH, the potential receipt of anticipated milestone payments from our collaboration partners, the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spacing w:after="0" w:line="49"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 and</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under the caption “Risk Factors.”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52" w:lineRule="exact"/>
        <w:rPr>
          <w:sz w:val="20"/>
          <w:szCs w:val="20"/>
          <w:color w:val="auto"/>
        </w:rPr>
      </w:pPr>
    </w:p>
    <w:p>
      <w:pPr>
        <w:ind w:left="340" w:right="1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cash equivalents and short-term investments alone is not sufficient to meet our operating plans for the next twelve months, raising substantial doubt regarding our ability to continue as a going concern.</w:t>
      </w:r>
    </w:p>
    <w:p>
      <w:pPr>
        <w:spacing w:after="0" w:line="21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additional financing for the foreseeable future as we invest in the commercialization of IBSRELA in the U.S., and prepare for and commercialize XPHOZAH in the U.S., if approved. The inability to access necessary capital when needed on acceptable terms, or at all, could force us to reduce our efforts to commercialize IBSRELA or, limit the commercialization of XPHOZAH,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the successful commercialization of IBSRELA, and there is no guarantee that we will maintain sufficient market acceptance for IBSRELA; grow market share for IBSRELA; secure adequate coverage and reimbursement for IBSRELA; or generate sufficient revenue from product sales of IBSRELA.</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pursuing regulatory approval for XPHOZAH. There can be no assurances that we will be successful in obtaining such regulatory approval.</w:t>
      </w:r>
    </w:p>
    <w:p>
      <w:pPr>
        <w:spacing w:after="0" w:line="140"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are successful in obtaining regulatory approval for XPHOZAH, there is no guarantee that we will achieve sufficient market acceptance for XPHOZAH; secure adequate coverage and reimbursement for XPHOZAH; or generate sufficient revenue from product sales of XPHOZAH.</w:t>
      </w:r>
    </w:p>
    <w:p>
      <w:pPr>
        <w:spacing w:after="0" w:line="38" w:lineRule="exact"/>
        <w:rPr>
          <w:rFonts w:ascii="Arial" w:cs="Arial" w:eastAsia="Arial" w:hAnsi="Arial"/>
          <w:sz w:val="17"/>
          <w:szCs w:val="17"/>
          <w:color w:val="auto"/>
        </w:rPr>
      </w:pPr>
    </w:p>
    <w:p>
      <w:pPr>
        <w:jc w:val="both"/>
        <w:ind w:left="340" w:hanging="332"/>
        <w:spacing w:after="0" w:line="31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no legislative or regulatory action is taken to further delay the inclusion of oral only ESRD related drugs in the ESRD prospective payment system (“ESRD PPS”), XPHOZAH, if approved, will become part of the ESRD PPS on January 1, 2025, and will no longer be separately paid for under Part D, and as a result the revenue that we may generate on sales of XPHOZAH will be negatively and materially impacted.</w:t>
      </w:r>
    </w:p>
    <w:p>
      <w:pPr>
        <w:spacing w:after="0" w:line="17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and/or, if approved and commercialized, XPHOZAH, may cause undesirable side effects or have other properties that could limit the commercial success of the product.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w:t>
      </w:r>
    </w:p>
    <w:p>
      <w:pPr>
        <w:spacing w:after="0" w:line="7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6640" w:type="dxa"/>
            <w:vAlign w:val="bottom"/>
            <w:gridSpan w:val="10"/>
            <w:vMerge w:val="restart"/>
          </w:tcPr>
          <w:p>
            <w:pPr>
              <w:jc w:val="center"/>
              <w:ind w:right="3580"/>
              <w:spacing w:after="0"/>
              <w:rPr>
                <w:sz w:val="20"/>
                <w:szCs w:val="20"/>
                <w:color w:val="auto"/>
              </w:rPr>
            </w:pPr>
            <w:r>
              <w:rPr>
                <w:rFonts w:ascii="Arial" w:cs="Arial" w:eastAsia="Arial" w:hAnsi="Arial"/>
                <w:sz w:val="18"/>
                <w:szCs w:val="18"/>
                <w:b w:val="1"/>
                <w:bCs w:val="1"/>
                <w:color w:val="0000FF"/>
              </w:rPr>
              <w:t>PART I. FINANCIAL INFORMATION</w:t>
            </w: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40" w:type="dxa"/>
            <w:vAlign w:val="bottom"/>
            <w:gridSpan w:val="10"/>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Item 1. Financial Statements:</w:t>
            </w:r>
          </w:p>
        </w:tc>
        <w:tc>
          <w:tcPr>
            <w:tcW w:w="1440" w:type="dxa"/>
            <w:vAlign w:val="bottom"/>
            <w:gridSpan w:val="4"/>
          </w:tcPr>
          <w:p>
            <w:pPr>
              <w:spacing w:after="0"/>
              <w:rPr>
                <w:sz w:val="24"/>
                <w:szCs w:val="24"/>
                <w:color w:val="auto"/>
              </w:rPr>
            </w:pPr>
          </w:p>
        </w:tc>
        <w:tc>
          <w:tcPr>
            <w:tcW w:w="3060" w:type="dxa"/>
            <w:vAlign w:val="bottom"/>
            <w:tcBorders>
              <w:top w:val="single" w:sz="8" w:color="0000FF"/>
            </w:tcBorders>
            <w:gridSpan w:val="8"/>
          </w:tcPr>
          <w:p>
            <w:pPr>
              <w:spacing w:after="0"/>
              <w:rPr>
                <w:sz w:val="24"/>
                <w:szCs w:val="24"/>
                <w:color w:val="auto"/>
              </w:rPr>
            </w:pPr>
          </w:p>
        </w:tc>
        <w:tc>
          <w:tcPr>
            <w:tcW w:w="358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Condensed Balance Sheets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5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Statements of Operations and Comprehensive Loss (unaudited)</w:t>
            </w:r>
          </w:p>
        </w:tc>
        <w:tc>
          <w:tcPr>
            <w:tcW w:w="4260" w:type="dxa"/>
            <w:vAlign w:val="bottom"/>
            <w:gridSpan w:val="4"/>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Condensed Statements of Changes in Stockholders' Equity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50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Statements of Cash Flows (unaudited)</w:t>
            </w:r>
          </w:p>
        </w:tc>
        <w:tc>
          <w:tcPr>
            <w:tcW w:w="458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Notes to Condensed Financial Statements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21"/>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70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0200" w:type="dxa"/>
            <w:vAlign w:val="bottom"/>
            <w:gridSpan w:val="21"/>
          </w:tcPr>
          <w:p>
            <w:pPr>
              <w:spacing w:after="0"/>
              <w:rPr>
                <w:sz w:val="20"/>
                <w:szCs w:val="20"/>
                <w:color w:val="auto"/>
              </w:rPr>
            </w:pPr>
            <w:r>
              <w:rPr>
                <w:rFonts w:ascii="Arial" w:cs="Arial" w:eastAsia="Arial" w:hAnsi="Arial"/>
                <w:sz w:val="18"/>
                <w:szCs w:val="18"/>
                <w:color w:val="0000FF"/>
              </w:rPr>
              <w:t>Item 4. Controls and Procedures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rPr>
              <w:t>PART II. OTHER INFORMATION</w:t>
            </w:r>
          </w:p>
        </w:tc>
        <w:tc>
          <w:tcPr>
            <w:tcW w:w="372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830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1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Item 1A. Risk Factors</w:t>
            </w:r>
          </w:p>
        </w:tc>
        <w:tc>
          <w:tcPr>
            <w:tcW w:w="860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10200" w:type="dxa"/>
            <w:vAlign w:val="bottom"/>
            <w:gridSpan w:val="2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9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Defaults Upon Senior Securities</w:t>
            </w:r>
          </w:p>
        </w:tc>
        <w:tc>
          <w:tcPr>
            <w:tcW w:w="5300" w:type="dxa"/>
            <w:vAlign w:val="bottom"/>
            <w:gridSpan w:val="6"/>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4. Mine Safety Disclosures</w:t>
            </w:r>
          </w:p>
        </w:tc>
        <w:tc>
          <w:tcPr>
            <w:tcW w:w="732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8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5. Other Information</w:t>
            </w:r>
          </w:p>
        </w:tc>
        <w:tc>
          <w:tcPr>
            <w:tcW w:w="440" w:type="dxa"/>
            <w:vAlign w:val="bottom"/>
            <w:tcBorders>
              <w:top w:val="single" w:sz="8" w:color="0000FF"/>
            </w:tcBorders>
            <w:gridSpan w:val="3"/>
          </w:tcPr>
          <w:p>
            <w:pPr>
              <w:spacing w:after="0"/>
              <w:rPr>
                <w:sz w:val="18"/>
                <w:szCs w:val="18"/>
                <w:color w:val="auto"/>
              </w:rPr>
            </w:pPr>
          </w:p>
        </w:tc>
        <w:tc>
          <w:tcPr>
            <w:tcW w:w="7880" w:type="dxa"/>
            <w:vAlign w:val="bottom"/>
            <w:gridSpan w:val="13"/>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10200" w:type="dxa"/>
            <w:vAlign w:val="bottom"/>
            <w:gridSpan w:val="21"/>
          </w:tcPr>
          <w:p>
            <w:pPr>
              <w:spacing w:after="0"/>
              <w:rPr>
                <w:sz w:val="20"/>
                <w:szCs w:val="20"/>
                <w:color w:val="auto"/>
              </w:rPr>
            </w:pPr>
            <w:r>
              <w:rPr>
                <w:rFonts w:ascii="Arial" w:cs="Arial" w:eastAsia="Arial" w:hAnsi="Arial"/>
                <w:sz w:val="18"/>
                <w:szCs w:val="18"/>
                <w:color w:val="0000FF"/>
              </w:rPr>
              <w:t>Item 6. Exhibits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9040" w:type="dxa"/>
            <w:vAlign w:val="bottom"/>
            <w:gridSpan w:val="1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93"/>
              </w:rPr>
              <w:t>(Unaudited)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30,058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96,140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Prepaid commercial manufacturing</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30"/>
        </w:trPr>
        <w:tc>
          <w:tcPr>
            <w:tcW w:w="82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153,603</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non-current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5,294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26,711</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37"/>
        </w:trPr>
        <w:tc>
          <w:tcPr>
            <w:tcW w:w="8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3"/>
        </w:trPr>
        <w:tc>
          <w:tcPr>
            <w:tcW w:w="82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65,603</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non-current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91,737</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0" w:type="dxa"/>
            <w:vAlign w:val="bottom"/>
          </w:tcPr>
          <w:p>
            <w:pPr>
              <w:ind w:left="20"/>
              <w:spacing w:after="0" w:line="176" w:lineRule="exact"/>
              <w:rPr>
                <w:sz w:val="20"/>
                <w:szCs w:val="20"/>
                <w:color w:val="auto"/>
              </w:rPr>
            </w:pPr>
            <w:r>
              <w:rPr>
                <w:rFonts w:ascii="Arial" w:cs="Arial" w:eastAsia="Arial" w:hAnsi="Arial"/>
                <w:sz w:val="18"/>
                <w:szCs w:val="18"/>
                <w:color w:val="auto"/>
                <w:w w:val="89"/>
              </w:rPr>
              <w:t>Preferred stock, $0.0001 par value; 5,000,000 shares authorized; no shares issued and outstanding as of June 30,</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2023 and December 31, 2022, respectively.</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Common stock, $0.0001 par value; 500,000,000 shares and 300,000,000 shares authorized; 217,862,921 and</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198,575,016 shares issued and outstanding as of June 30, 2023 and December 31, 2022, respectively.</w:t>
            </w: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947,380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878,500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(780,137)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0" w:type="dxa"/>
            <w:vAlign w:val="bottom"/>
          </w:tcPr>
          <w:p>
            <w:pPr>
              <w:spacing w:after="0"/>
              <w:rPr>
                <w:sz w:val="1"/>
                <w:szCs w:val="1"/>
                <w:color w:val="auto"/>
              </w:rPr>
            </w:pP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29,664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cost of revenue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r>
      <w:tr>
        <w:trPr>
          <w:trHeight w:val="243"/>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r>
      <w:tr>
        <w:trPr>
          <w:trHeight w:val="22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56,793</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(54,022)</w:t>
            </w:r>
          </w:p>
        </w:tc>
      </w:tr>
      <w:tr>
        <w:trPr>
          <w:trHeight w:val="243"/>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Non-cash interest expense related to the sale of future royalties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(55,001)</w:t>
            </w:r>
          </w:p>
        </w:tc>
      </w:tr>
      <w:tr>
        <w:trPr>
          <w:trHeight w:val="23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(26,938)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(43,894)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(55,009)</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Shares used in computing net loss per share - basic and diluted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214,951,127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145,544,372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211,009,029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138,279,945</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(26,938)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(43,894)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(55,009)</w:t>
            </w:r>
          </w:p>
        </w:tc>
      </w:tr>
      <w:tr>
        <w:trPr>
          <w:trHeight w:val="23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(17,311)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(44,050)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(55,112)</w:t>
            </w:r>
          </w:p>
        </w:tc>
      </w:tr>
      <w:tr>
        <w:trPr>
          <w:trHeight w:val="21"/>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Three and Six Months ended June 30, 2023 and 2022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w w:val="96"/>
              </w:rPr>
              <w:t>Three Months Ended June 30, 2023</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200" w:type="dxa"/>
            <w:vAlign w:val="bottom"/>
            <w:gridSpan w:val="3"/>
          </w:tcPr>
          <w:p>
            <w:pPr>
              <w:jc w:val="right"/>
              <w:ind w:right="402"/>
              <w:spacing w:after="0" w:line="142"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restart"/>
          </w:tcPr>
          <w:p>
            <w:pPr>
              <w:jc w:val="center"/>
              <w:ind w:right="95"/>
              <w:spacing w:after="0" w:line="126"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5"/>
                <w:szCs w:val="5"/>
                <w:color w:val="auto"/>
              </w:rPr>
            </w:pPr>
          </w:p>
        </w:tc>
        <w:tc>
          <w:tcPr>
            <w:tcW w:w="1320" w:type="dxa"/>
            <w:vAlign w:val="bottom"/>
            <w:vMerge w:val="restart"/>
          </w:tcPr>
          <w:p>
            <w:pPr>
              <w:jc w:val="center"/>
              <w:ind w:right="115"/>
              <w:spacing w:after="0" w:line="126"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54"/>
              <w:spacing w:after="0" w:line="12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8"/>
        </w:trPr>
        <w:tc>
          <w:tcPr>
            <w:tcW w:w="3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12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214,462,050</w:t>
            </w:r>
          </w:p>
        </w:tc>
        <w:tc>
          <w:tcPr>
            <w:tcW w:w="100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125,421</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w w:val="95"/>
              </w:rPr>
              <w:t>Issuance of common stock for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86,095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Issuance of common stock upon exercise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62,993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40"/>
              <w:spacing w:after="0" w:line="176" w:lineRule="exact"/>
              <w:rPr>
                <w:sz w:val="20"/>
                <w:szCs w:val="20"/>
                <w:color w:val="auto"/>
              </w:rPr>
            </w:pPr>
            <w:r>
              <w:rPr>
                <w:rFonts w:ascii="Arial" w:cs="Arial" w:eastAsia="Arial" w:hAnsi="Arial"/>
                <w:sz w:val="18"/>
                <w:szCs w:val="18"/>
                <w:color w:val="auto"/>
                <w:w w:val="92"/>
              </w:rPr>
              <w:t>Issuance of common stock upon vesting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215,301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3,036,482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5"/>
              </w:rPr>
              <w:t>Unrealized losses on available-for-sale</w:t>
            </w: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217,862,921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 June 30, 2023</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2200" w:type="dxa"/>
            <w:vAlign w:val="bottom"/>
            <w:gridSpan w:val="3"/>
          </w:tcPr>
          <w:p>
            <w:pPr>
              <w:jc w:val="right"/>
              <w:ind w:right="402"/>
              <w:spacing w:after="0" w:line="155"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95"/>
              <w:spacing w:after="0" w:line="122"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4"/>
                <w:szCs w:val="4"/>
                <w:color w:val="auto"/>
              </w:rPr>
            </w:pPr>
          </w:p>
        </w:tc>
        <w:tc>
          <w:tcPr>
            <w:tcW w:w="1320" w:type="dxa"/>
            <w:vAlign w:val="bottom"/>
            <w:vMerge w:val="restart"/>
          </w:tcPr>
          <w:p>
            <w:pPr>
              <w:jc w:val="center"/>
              <w:ind w:right="115"/>
              <w:spacing w:after="0" w:line="122"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ind w:right="54"/>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4"/>
              <w:spacing w:after="0" w:line="13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198,575,016</w:t>
            </w:r>
          </w:p>
        </w:tc>
        <w:tc>
          <w:tcPr>
            <w:tcW w:w="100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0" w:type="dxa"/>
            <w:vAlign w:val="bottom"/>
          </w:tcPr>
          <w:p>
            <w:pPr>
              <w:spacing w:after="0"/>
              <w:rPr>
                <w:sz w:val="1"/>
                <w:szCs w:val="1"/>
                <w:color w:val="auto"/>
              </w:rPr>
            </w:pPr>
          </w:p>
        </w:tc>
      </w:tr>
      <w:tr>
        <w:trPr>
          <w:trHeight w:val="176"/>
        </w:trPr>
        <w:tc>
          <w:tcPr>
            <w:tcW w:w="312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165,969</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76"/>
        </w:trPr>
        <w:tc>
          <w:tcPr>
            <w:tcW w:w="3120" w:type="dxa"/>
            <w:vAlign w:val="bottom"/>
          </w:tcPr>
          <w:p>
            <w:pPr>
              <w:ind w:left="140"/>
              <w:spacing w:after="0" w:line="176" w:lineRule="exact"/>
              <w:rPr>
                <w:sz w:val="20"/>
                <w:szCs w:val="20"/>
                <w:color w:val="auto"/>
              </w:rPr>
            </w:pPr>
            <w:r>
              <w:rPr>
                <w:rFonts w:ascii="Arial" w:cs="Arial" w:eastAsia="Arial" w:hAnsi="Arial"/>
                <w:sz w:val="18"/>
                <w:szCs w:val="18"/>
                <w:color w:val="auto"/>
                <w:w w:val="89"/>
              </w:rPr>
              <w:t>Issuance of common stock upon exercise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98,994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2"/>
              </w:rPr>
              <w:t>Issuance of common stock upon vesting</w:t>
            </w: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423,074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2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18,513,773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62,083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37"/>
        </w:trPr>
        <w:tc>
          <w:tcPr>
            <w:tcW w:w="3120" w:type="dxa"/>
            <w:vAlign w:val="bottom"/>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175"/>
        </w:trPr>
        <w:tc>
          <w:tcPr>
            <w:tcW w:w="3120" w:type="dxa"/>
            <w:vAlign w:val="bottom"/>
          </w:tcPr>
          <w:p>
            <w:pPr>
              <w:ind w:left="140"/>
              <w:spacing w:after="0" w:line="176" w:lineRule="exact"/>
              <w:rPr>
                <w:sz w:val="20"/>
                <w:szCs w:val="20"/>
                <w:color w:val="auto"/>
              </w:rPr>
            </w:pPr>
            <w:r>
              <w:rPr>
                <w:rFonts w:ascii="Arial" w:cs="Arial" w:eastAsia="Arial" w:hAnsi="Arial"/>
                <w:sz w:val="18"/>
                <w:szCs w:val="18"/>
                <w:color w:val="auto"/>
                <w:w w:val="95"/>
              </w:rPr>
              <w:t>Unrealized losses on available-for-sale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312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(43,894)</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217,862,921</w:t>
            </w:r>
          </w:p>
        </w:tc>
        <w:tc>
          <w:tcPr>
            <w:tcW w:w="100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947,380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(824,031)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123,161</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8"/>
          </w:tcPr>
          <w:p>
            <w:pPr>
              <w:ind w:left="120"/>
              <w:spacing w:after="0"/>
              <w:rPr>
                <w:sz w:val="20"/>
                <w:szCs w:val="20"/>
                <w:color w:val="auto"/>
              </w:rPr>
            </w:pPr>
            <w:r>
              <w:rPr>
                <w:rFonts w:ascii="Arial" w:cs="Arial" w:eastAsia="Arial" w:hAnsi="Arial"/>
                <w:sz w:val="14"/>
                <w:szCs w:val="14"/>
                <w:b w:val="1"/>
                <w:bCs w:val="1"/>
                <w:color w:val="auto"/>
                <w:w w:val="98"/>
              </w:rPr>
              <w:t>Three Months Ended June 30, 2022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ind w:left="680"/>
              <w:spacing w:after="0" w:line="142"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5"/>
                <w:szCs w:val="5"/>
                <w:color w:val="auto"/>
              </w:rPr>
            </w:pPr>
          </w:p>
        </w:tc>
        <w:tc>
          <w:tcPr>
            <w:tcW w:w="1300" w:type="dxa"/>
            <w:vAlign w:val="bottom"/>
            <w:vMerge w:val="restart"/>
          </w:tcPr>
          <w:p>
            <w:pPr>
              <w:jc w:val="center"/>
              <w:ind w:right="96"/>
              <w:spacing w:after="0" w:line="126"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55"/>
              <w:spacing w:after="0" w:line="12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4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16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Deficit</w:t>
            </w:r>
          </w:p>
        </w:tc>
        <w:tc>
          <w:tcPr>
            <w:tcW w:w="16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136,330,360</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805,265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175"/>
        </w:trPr>
        <w:tc>
          <w:tcPr>
            <w:tcW w:w="302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2,882,673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Issuance of common stock in at the</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14,584,801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188"/>
        </w:trPr>
        <w:tc>
          <w:tcPr>
            <w:tcW w:w="3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2"/>
              </w:rPr>
              <w:t>Unrealized losses on available-for-sale</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w:t>
            </w:r>
          </w:p>
        </w:tc>
        <w:tc>
          <w:tcPr>
            <w:tcW w:w="0" w:type="dxa"/>
            <w:vAlign w:val="bottom"/>
          </w:tcPr>
          <w:p>
            <w:pPr>
              <w:spacing w:after="0"/>
              <w:rPr>
                <w:sz w:val="1"/>
                <w:szCs w:val="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153,797,834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821,075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(767,939)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gridSpan w:val="3"/>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8"/>
          </w:tcPr>
          <w:p>
            <w:pPr>
              <w:ind w:left="260"/>
              <w:spacing w:after="0"/>
              <w:rPr>
                <w:sz w:val="20"/>
                <w:szCs w:val="20"/>
                <w:color w:val="auto"/>
              </w:rPr>
            </w:pPr>
            <w:r>
              <w:rPr>
                <w:rFonts w:ascii="Arial" w:cs="Arial" w:eastAsia="Arial" w:hAnsi="Arial"/>
                <w:sz w:val="14"/>
                <w:szCs w:val="14"/>
                <w:b w:val="1"/>
                <w:bCs w:val="1"/>
                <w:color w:val="auto"/>
                <w:w w:val="99"/>
              </w:rPr>
              <w:t>Six Months Ended June 30,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8"/>
          </w:tcPr>
          <w:p>
            <w:pPr>
              <w:ind w:left="760"/>
              <w:spacing w:after="0" w:line="155"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3"/>
            <w:vMerge w:val="restart"/>
          </w:tcPr>
          <w:p>
            <w:pPr>
              <w:ind w:left="100"/>
              <w:spacing w:after="0" w:line="122"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4"/>
                <w:szCs w:val="4"/>
                <w:color w:val="auto"/>
              </w:rPr>
            </w:pPr>
          </w:p>
        </w:tc>
        <w:tc>
          <w:tcPr>
            <w:tcW w:w="1300" w:type="dxa"/>
            <w:vAlign w:val="bottom"/>
            <w:vMerge w:val="restart"/>
          </w:tcPr>
          <w:p>
            <w:pPr>
              <w:jc w:val="center"/>
              <w:ind w:right="56"/>
              <w:spacing w:after="0" w:line="122"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right="5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200"/>
              <w:spacing w:after="0" w:line="13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56"/>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130,182,535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795,540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127,100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Issuance of common stock upon vesting</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restricted stock units</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2,996,142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in at the</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20,492,057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18,476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market offering</w:t>
            </w:r>
          </w:p>
        </w:tc>
        <w:tc>
          <w:tcPr>
            <w:tcW w:w="13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00" w:type="dxa"/>
            <w:vAlign w:val="bottom"/>
          </w:tcPr>
          <w:p>
            <w:pPr>
              <w:spacing w:after="0"/>
              <w:rPr>
                <w:sz w:val="15"/>
                <w:szCs w:val="15"/>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153,797,834</w:t>
            </w: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821,075</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(767,939)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(43,894)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82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commercial manufacturing</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22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maturities and redemptions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37"/>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2022 Loan, net of issuance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26,971</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2018 Loan, net of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the sale of future royalties,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in at the market offering,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36"/>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tcPr>
          <w:p>
            <w:pPr>
              <w:ind w:left="120"/>
              <w:spacing w:after="0"/>
              <w:rPr>
                <w:sz w:val="20"/>
                <w:szCs w:val="20"/>
                <w:color w:val="auto"/>
              </w:rPr>
            </w:pPr>
            <w:r>
              <w:rPr>
                <w:rFonts w:ascii="Arial" w:cs="Arial" w:eastAsia="Arial" w:hAnsi="Arial"/>
                <w:sz w:val="18"/>
                <w:szCs w:val="18"/>
                <w:color w:val="auto"/>
              </w:rPr>
              <w:t>Issuance of derivative in connection with issuance of loan payable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On May 17, 2023, the U.S. Food and Drug Administration (“FDA”) accepted our resubmission of the New Drug Application (“NDA”) for tenapanor, branded as XPHOZAH for the control of serum phosphorus in adult patients with chronic kidney disease (“CKD”) on dialysis who have had an inadequate response or intolerance to a phosphate binder therapy. The FDA set a user fee goal date for review of our NDA of October 17, 2023.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2022. The results for the three and six months ended June 30, 2023 are not necessarily indicative of results to be expected for the entire year ending December 31, 2023, or for any other interim period or future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utilization of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2023, we had cash, cash equivalents and short-term investments of approximately $127.6 million. We have incurred operating losses since inception in 2007 and our accumulated deficit as of June 30, 2023 is $824.0 million. Our current level of cash, cash equivalents and short-term investments alone is not sufficient to meet our plans for the next twelve months following the issuance of these condensed financial statements on August 2, 2023. These factors raise substantial doubt regarding our ability to continue as a going concern for a period of one year from the issuance of these condensed financial statements. We plan to address our operating cash flow requirements with our current cash, cash equivalents and short-term investments, cash generated from product sales of IBSRELA, and if approved, cash generated from sales of XPHOZAH, our potential receipt of anticipated milestones payments from our collaboration partners, our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described in Note 2 to our audited financial statements for the fiscal year ended December 31, 2022, included in our Annual Report on Form 10-K. There have been no material changes in our significant accounting policies as previously disclosed in our Annual Report on Form 10-K for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no new accounting pronouncements subsequent to filing our most recent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have a material impact on our financial position,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classified as cash, cash equivalents and short-term investments as of June 30, 2023 and December 31, 2022 are summarized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 2023</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30"/>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Gross Unrealized</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28,658</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30,058</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61,772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61,605</w:t>
            </w: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w:t>
            </w: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Asset backed securities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7,895</w:t>
            </w:r>
          </w:p>
        </w:tc>
      </w:tr>
      <w:tr>
        <w:trPr>
          <w:trHeight w:val="22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97,521</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127,789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127,579</w:t>
            </w:r>
          </w:p>
        </w:tc>
      </w:tr>
      <w:tr>
        <w:trPr>
          <w:trHeight w:val="21"/>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 2022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Gross 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11,827</w:t>
            </w:r>
          </w:p>
        </w:tc>
      </w:tr>
      <w:tr>
        <w:trPr>
          <w:trHeight w:val="22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96,140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96,140</w:t>
            </w: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25,336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25,291</w:t>
            </w:r>
          </w:p>
        </w:tc>
      </w:tr>
      <w:tr>
        <w:trPr>
          <w:trHeight w:val="243"/>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9"/>
        </w:trPr>
        <w:tc>
          <w:tcPr>
            <w:tcW w:w="5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09"/>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123,963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123,909</w:t>
            </w:r>
          </w:p>
        </w:tc>
      </w:tr>
      <w:tr>
        <w:trPr>
          <w:trHeight w:val="21"/>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condensed balance sheets. We use the specific identification method to determine the amount of realized gains or losses on sales of marketable securities. Realized gains or losses have been insignificant and are included in other income, net, in the statement of operations and comprehensive loss.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the short-term available-for sale securities held as of June 30, 2023 and December 31,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June 30, 2023 and December 31, 2022 were not material. We determined that none of our available-for-sale securities were other-than-temporarily impaired as of June 30, 2023 and December 31, 2022, and no investment was in a continuous unrealized loss position for more than one year. As such, we believe that it is more likely than not that the investments will be held until maturity or a forecasted recovery of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93" w:lineRule="exact"/>
        <w:rPr>
          <w:sz w:val="20"/>
          <w:szCs w:val="20"/>
          <w:color w:val="auto"/>
        </w:rPr>
      </w:pPr>
    </w:p>
    <w:p>
      <w:pPr>
        <w:ind w:left="1480" w:right="40" w:hanging="1121"/>
        <w:spacing w:after="0" w:line="246" w:lineRule="auto"/>
        <w:tabs>
          <w:tab w:leader="none" w:pos="14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w:t>
      </w:r>
    </w:p>
    <w:p>
      <w:pPr>
        <w:spacing w:after="0" w:line="48" w:lineRule="exact"/>
        <w:rPr>
          <w:sz w:val="20"/>
          <w:szCs w:val="20"/>
          <w:color w:val="auto"/>
        </w:rPr>
      </w:pPr>
    </w:p>
    <w:p>
      <w:pPr>
        <w:jc w:val="right"/>
        <w:ind w:left="360" w:right="40"/>
        <w:spacing w:after="0" w:line="233" w:lineRule="auto"/>
        <w:rPr>
          <w:sz w:val="20"/>
          <w:szCs w:val="20"/>
          <w:color w:val="auto"/>
        </w:rPr>
      </w:pPr>
      <w:r>
        <w:rPr>
          <w:rFonts w:ascii="Arial" w:cs="Arial" w:eastAsia="Arial" w:hAnsi="Arial"/>
          <w:sz w:val="17"/>
          <w:szCs w:val="17"/>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market data for substantially the full term of the assets or liabilities.</w:t>
      </w:r>
    </w:p>
    <w:p>
      <w:pPr>
        <w:spacing w:after="0" w:line="61"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78"/>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4"/>
        </w:trPr>
        <w:tc>
          <w:tcPr>
            <w:tcW w:w="5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28,658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28,658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ind w:left="140"/>
              <w:spacing w:after="0"/>
              <w:rPr>
                <w:sz w:val="20"/>
                <w:szCs w:val="20"/>
                <w:color w:val="auto"/>
              </w:rPr>
            </w:pPr>
            <w:r>
              <w:rPr>
                <w:rFonts w:ascii="Arial" w:cs="Arial" w:eastAsia="Arial" w:hAnsi="Arial"/>
                <w:sz w:val="18"/>
                <w:szCs w:val="18"/>
                <w:color w:val="auto"/>
              </w:rPr>
              <w:t>U.S. government-sponsored agency bonds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liabilities for exit fees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1"/>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84,313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84,313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the 2022 Exit Fee, as defined and discussed in </w:t>
      </w:r>
      <w:r>
        <w:rPr>
          <w:rFonts w:ascii="Arial" w:cs="Arial" w:eastAsia="Arial" w:hAnsi="Arial"/>
          <w:sz w:val="17"/>
          <w:szCs w:val="17"/>
          <w:i w:val="1"/>
          <w:iCs w:val="1"/>
          <w:color w:val="auto"/>
        </w:rPr>
        <w:t>Note 9. Derivative Liabilities</w:t>
      </w:r>
      <w:r>
        <w:rPr>
          <w:rFonts w:ascii="Arial" w:cs="Arial" w:eastAsia="Arial" w:hAnsi="Arial"/>
          <w:sz w:val="17"/>
          <w:szCs w:val="17"/>
          <w:color w:val="auto"/>
        </w:rPr>
        <w:t>, are classified as Level 3.</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reflected in the condensed balance sheets for cash equivalents, short-term investments, accounts receivable, prepaid expenses and other current assets, accounts payable and accrued expenses approximate their fair values at both June 30, 2023 and December 31, 2022, due to their short-term nature.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June 30, 2023 and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principal amount outstanding under our term loan facilities is subject to a variable interest rate. Therefore, we believe the carrying amount of the term loan facility approximates fair value as of June 30, 2023 and December 31, 2022. See </w:t>
      </w:r>
      <w:r>
        <w:rPr>
          <w:rFonts w:ascii="Arial" w:cs="Arial" w:eastAsia="Arial" w:hAnsi="Arial"/>
          <w:sz w:val="18"/>
          <w:szCs w:val="18"/>
          <w:i w:val="1"/>
          <w:iCs w:val="1"/>
          <w:color w:val="auto"/>
        </w:rPr>
        <w:t>Note 8. Borrowing</w:t>
      </w:r>
      <w:r>
        <w:rPr>
          <w:rFonts w:ascii="Arial" w:cs="Arial" w:eastAsia="Arial" w:hAnsi="Arial"/>
          <w:sz w:val="18"/>
          <w:szCs w:val="18"/>
          <w:color w:val="auto"/>
        </w:rPr>
        <w:t xml:space="preserve"> for a description of the Level 2 inputs used to estimate the fair value of the liability.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deferred royalty obligation related to the sale of future royalties approximates its fair value as of June 30, 2023 and December 31, 2022 and is based on our current estimates of future royalties and commercialization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milestones expected to be paid to us by Kyowa Kirin Co., Ltd. ("Kyowa Kirin") over the life of the agreement. See </w:t>
      </w:r>
      <w:r>
        <w:rPr>
          <w:rFonts w:ascii="Arial" w:cs="Arial" w:eastAsia="Arial" w:hAnsi="Arial"/>
          <w:sz w:val="18"/>
          <w:szCs w:val="18"/>
          <w:i w:val="1"/>
          <w:iCs w:val="1"/>
          <w:color w:val="auto"/>
        </w:rPr>
        <w:t>Note 7. Deferred Royalty Obligation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to the Sale of Future Royalties </w:t>
      </w:r>
      <w:r>
        <w:rPr>
          <w:rFonts w:ascii="Arial" w:cs="Arial" w:eastAsia="Arial" w:hAnsi="Arial"/>
          <w:sz w:val="18"/>
          <w:szCs w:val="18"/>
          <w:color w:val="auto"/>
        </w:rPr>
        <w:t>for a description of the Level 3 inputs used to estimate the fair value of the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as of June 30, 2023 and December 31, 2022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June 30, 2023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2022</w:t>
            </w:r>
          </w:p>
        </w:tc>
      </w:tr>
      <w:tr>
        <w:trPr>
          <w:trHeight w:val="23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5,324</w:t>
            </w:r>
          </w:p>
        </w:tc>
      </w:tr>
      <w:tr>
        <w:trPr>
          <w:trHeight w:val="22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37"/>
        </w:trPr>
        <w:tc>
          <w:tcPr>
            <w:tcW w:w="726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28,346</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Reported as: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29"/>
        </w:trPr>
        <w:tc>
          <w:tcPr>
            <w:tcW w:w="72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43"/>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non-current</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23"/>
        </w:trPr>
        <w:tc>
          <w:tcPr>
            <w:tcW w:w="726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commercial manufacturing of $13.2 million and $13.6 million as of June 30, 2023 and December 31, 2022, respectively, consisted of prepayments to third party contract manufacturing organizations for the manufacture of IBSRELA for production orders which we expect work to commence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PRODUCT REVENUE, NET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received approval from the FDA in September 2019 to market IBSRELA in the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we recorded net revenue for IBSRELA of $18.3 million and $29.7 million, respectively. During the three and six months ended June 30, 2022, we recorded net revenue for IBSRELA of $1.6 million and $2.0 million,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the following Customers who contributed greater than 10% of our product revenue, net during the three and six months ended June 30, 2023 and 2022 as a percentage of total product revenue, net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2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320" w:type="dxa"/>
            <w:vAlign w:val="bottom"/>
            <w:gridSpan w:val="4"/>
          </w:tcPr>
          <w:p>
            <w:pPr>
              <w:ind w:left="5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5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Cardinal Health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20"/>
                <w:szCs w:val="20"/>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AmerisourceBergen Drug Corporation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21.1 %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40.2 %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BioRidge Pharma, LLC</w:t>
            </w:r>
          </w:p>
        </w:tc>
        <w:tc>
          <w:tcPr>
            <w:tcW w:w="160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r>
      <w:tr>
        <w:trPr>
          <w:trHeight w:val="863"/>
        </w:trPr>
        <w:tc>
          <w:tcPr>
            <w:tcW w:w="4560" w:type="dxa"/>
            <w:vAlign w:val="bottom"/>
          </w:tcPr>
          <w:p>
            <w:pPr>
              <w:spacing w:after="0"/>
              <w:rPr>
                <w:sz w:val="24"/>
                <w:szCs w:val="24"/>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8"/>
              </w:rPr>
              <w:t>Discounts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Rebates,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1"/>
              </w:rPr>
              <w:t>Copay and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0"/>
              </w:rPr>
              <w:t>Wholesaler 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Chargebacks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GPO Fees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Returns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8"/>
              </w:rPr>
              <w:t>1,444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1,258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7"/>
        </w:trPr>
        <w:tc>
          <w:tcPr>
            <w:tcW w:w="5160" w:type="dxa"/>
            <w:vAlign w:val="bottom"/>
          </w:tcPr>
          <w:p>
            <w:pPr>
              <w:ind w:left="24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670"/>
              <w:spacing w:after="0"/>
              <w:rPr>
                <w:sz w:val="20"/>
                <w:szCs w:val="20"/>
                <w:color w:val="auto"/>
              </w:rPr>
            </w:pPr>
            <w:r>
              <w:rPr>
                <w:rFonts w:ascii="Arial" w:cs="Arial" w:eastAsia="Arial" w:hAnsi="Arial"/>
                <w:sz w:val="18"/>
                <w:szCs w:val="18"/>
                <w:color w:val="auto"/>
                <w:w w:val="88"/>
              </w:rPr>
              <w:t>5,724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88"/>
              </w:rPr>
              <w:t>5,272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4"/>
              </w:rPr>
              <w:t>(4,325)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(3,864)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8"/>
              </w:rPr>
              <w:t>2,843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2,666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(“Kyowa Kirin”)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“Deferred revenue’ we have received advanced payments from Kyowa Kirin for the manufacturing of tenapanor drug substance that will be used to satisfy Kyowa Kirin needs.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assessed these arrangements in accordance with Accounting Standards Update (“ASU”)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jc w:val="both"/>
        <w:ind w:firstLine="8"/>
        <w:spacing w:after="0" w:line="253"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Kyowa Kirin, is a customer. Under the terms of the 2017 Kyowa</w:t>
      </w:r>
      <w:r>
        <w:rPr>
          <w:rFonts w:ascii="Arial" w:cs="Arial" w:eastAsia="Arial" w:hAnsi="Arial"/>
          <w:sz w:val="18"/>
          <w:szCs w:val="18"/>
          <w:i w:val="1"/>
          <w:iCs w:val="1"/>
          <w:color w:val="auto"/>
        </w:rPr>
        <w:t xml:space="preserve"> </w:t>
      </w:r>
      <w:r>
        <w:rPr>
          <w:rFonts w:ascii="Arial" w:cs="Arial" w:eastAsia="Arial" w:hAnsi="Arial"/>
          <w:sz w:val="18"/>
          <w:szCs w:val="18"/>
          <w:color w:val="auto"/>
        </w:rPr>
        <w:t>Kirin 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Under the terms of the 2017 Kyowa Kirin Agreement, Kyowa Kirin paid us an up-front license fee of $30.0 million. We may be entitled to receive up to $55.0 million in total development and regulatory milestones, of which $20.0 million has been received and recognized as revenue as of June 30, 2023. We may also be eligible to receive approximately ¥8.5 billion for commercialization milestones, or approximately $58.8 million at the currency exchange rate on June 30, 2023,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7. Deferred Royalty Obligation Related to the Sale of Future Royalties</w:t>
      </w:r>
      <w:r>
        <w:rPr>
          <w:rFonts w:ascii="Arial" w:cs="Arial" w:eastAsia="Arial" w:hAnsi="Arial"/>
          <w:sz w:val="16"/>
          <w:szCs w:val="16"/>
          <w:color w:val="auto"/>
        </w:rPr>
        <w:t>, the future royalties and commercial milestone payments we may receive under the 2017 Kyowa Kirin Agreement will be remitted to HealthCare Royalty Partners IV, L.P. pursuant to a Royalty and Sales Milestone Interest Acquisition Agreement. The variable consideration related to the remaining milestone payments was fully constrained at June 30, 2023.</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2022, we entered into a second amendment to the 2017 Kyowa Kirin Agreement ("2022 Amendment"). Under the terms of the 2022 Amendment, we and Kyowa Kirin have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7. Deferred Royalty Obligation Related to the Sale of Future</w:t>
      </w:r>
      <w:r>
        <w:rPr>
          <w:rFonts w:ascii="Arial" w:cs="Arial" w:eastAsia="Arial" w:hAnsi="Arial"/>
          <w:sz w:val="17"/>
          <w:szCs w:val="17"/>
          <w:color w:val="auto"/>
        </w:rPr>
        <w:t xml:space="preserve"> </w:t>
      </w:r>
      <w:r>
        <w:rPr>
          <w:rFonts w:ascii="Arial" w:cs="Arial" w:eastAsia="Arial" w:hAnsi="Arial"/>
          <w:sz w:val="17"/>
          <w:szCs w:val="17"/>
          <w:i w:val="1"/>
          <w:iCs w:val="1"/>
          <w:color w:val="auto"/>
        </w:rPr>
        <w:t>Royalties</w:t>
      </w:r>
      <w:r>
        <w:rPr>
          <w:rFonts w:ascii="Arial" w:cs="Arial" w:eastAsia="Arial" w:hAnsi="Arial"/>
          <w:sz w:val="17"/>
          <w:szCs w:val="17"/>
          <w:color w:val="auto"/>
        </w:rPr>
        <w:t>, the future commercial milestones and royalties we may receive under the 2017 Kyowa Kirin Agreement will be remitted to HealthCare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IV, L.P. pursuant to a Royalty and Sales Milestone Interest Acquisition Agreement. As consideration for the reduction in the royalty rate, Kyowa Kirin agreed to pay us up to an additional $40.0 million payable in two tranches, with the first payment due following Kyowa Kirin's filing with the Japanese Ministry of Health, Labour and Welfare of its application for marketing approval for tenapanor and the second payment due following Kyowa Kirin’s receipt of regulatory approval to market tenapanor for hyperphosphatemia in Japan.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2022, we announced that Kyowa Kirin submitted an NDA to the Japanese Ministry of Health, Labour and Welfare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statement of operations and comprehensive loss. The remaining variable consideration related to the reduction in the royalty rate was fully constrained at June 30,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2023, we recognized $3.3 million of product supply revenue pursuant to the 2017 Kyowa Kirin Agreement. During the three and six months ended June 30, 2022, we recognized $952 thousand and $966 thousand, respectively, of product supply revenue pursuant to the 2017 Kyowa Kirin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entitled to receive development and commercialization milestones of up to $113.0 million, of which $3.0 million has been received and recognized as revenue as of June 30, 2023, as well as reimbursement of cost plus a reasonable overhead for the supply of product and tiered royalties on net sales ranging from the mid-teens to 20%. The variable consideration related to the remaining development milestone payments was fully constrained at June 30,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2023, we announced that an NDA for tenapanor had been accepted for review by China’s Center for Drug Evaluation of the National Medical Products Administration ("NMPA") for the control of serum phosphorus in adult patients with chronic kidney disease on hemodialysis. This acceptance triggers a $2.0 million milestone payment to us under the terms of the Fosun Agreement. We expect to receive this payment during the third quarter of 2023 and record it as licensing revenue on our condensed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2023 and 2022, we did not recognize a material amount of revenue pursuant to the Fosun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Knight Agreement, we received a $2.3 million non-refundable, one-time upfront payment in March 2018 and may be eligible to receive additional development and commercialization milestone payments worth up to CAD 22.2 million, or approximately $16.7 million at the currency exchange rate on June 30, 2023, of which $0.7 million has been received and recognized as revenue as of June 30, 2023. We are also eligible to receive royalties ranging from the mid-single digits to the low twenties throughout the term of the agreement, and a transfer price for manufacturing services. The variable consideration related to the remaining development milestone payments was fully constrained at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2023 and 2022, we did not recognize a material amount of revenue pursuant to the Knight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METiS Therapeutics Inc. ("METiS")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2023, we entered into an exclusive, worldwide license agreement with METiS Therapeutics Inc., ("METiS Agreement") for the development and commercialization of a portfolio of TGR5 agonist compounds that were discovered and developed by Ardelyx for all therapeutic areas. We assessed this arrangement in accordance with ASC 606 and concluded that the contract counterparty, METiS, is a customer. Based on our assessment, we determined that the license was the material performance obligation at the inception of the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METiS Agreement, we received a $0.8 million non-refundable, one-time upfront payment in April 2023 and may be eligible to receive additional development and commercialization milestone payments worth up to $243.0 million. We are also eligible to receive royalties ranging within the mid-single digits throughout the term of the agreement. The variable consideration related to the remaining development and commercialization milestone payments was fully constrained at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we recognized $0.8 million of licensing revenue pursuant to the METiS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June 30, 2023, to date in aggregate, we have recognized $18.3 million of the $75.0 million, which has been recorded as other cost of revenue on our condensed statements of operations and comprehensive loss, and have paid AstraZeneca $16.4 million. During the three and six months ended June 30, 2023, we recognized $1.9 million and $3.0 million, respectively, as other cost of revenue related to the AstraZeneca Termination Agreement. During the three and six months ended June 30, 2022 we recognized $0.2 million and $0.3 million, respectively, as other cost of revenue related to the AstraZeneca Termination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which are all attributable to the 2017 Kyowa Kirin Agreement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current</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40" w:type="dxa"/>
            <w:vAlign w:val="bottom"/>
          </w:tcPr>
          <w:p>
            <w:pPr>
              <w:ind w:left="220"/>
              <w:spacing w:after="0"/>
              <w:rPr>
                <w:sz w:val="20"/>
                <w:szCs w:val="20"/>
                <w:color w:val="auto"/>
              </w:rPr>
            </w:pPr>
            <w:r>
              <w:rPr>
                <w:rFonts w:ascii="Arial" w:cs="Arial" w:eastAsia="Arial" w:hAnsi="Arial"/>
                <w:sz w:val="18"/>
                <w:szCs w:val="18"/>
                <w:color w:val="auto"/>
                <w:w w:val="95"/>
              </w:rPr>
              <w:t>Increases due to cash received, excluding amounts recognized as revenue during the period</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24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6"/>
              </w:rPr>
              <w:t>Increases due to amounts reclassified from non-current, to be recognized in the next twelve</w:t>
            </w:r>
          </w:p>
        </w:tc>
        <w:tc>
          <w:tcPr>
            <w:tcW w:w="4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months</w:t>
            </w:r>
          </w:p>
        </w:tc>
        <w:tc>
          <w:tcPr>
            <w:tcW w:w="44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Decreases due to revenue recognized in the period for which cash has not been received</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non-current</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Increases due to cash received during the period</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3,478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3,829</w:t>
            </w:r>
          </w:p>
        </w:tc>
      </w:tr>
      <w:tr>
        <w:trPr>
          <w:trHeight w:val="243"/>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w w:val="93"/>
              </w:rPr>
              <w:t>Decreases due to amounts reclassified as current, to be recognized in the next twelve months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DEFERRED ROYALTY OBLIGATION RELATED TO THE SALE OF FUTURE ROYALTIES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and we are eligible to receive a $5.0 million payment following Kyowa Kirin's receipt of regulatory approval to market tenapanor for hyperphosphatemia in Japan, and another $5.0 million payment in the event net sales by Kyowa Kirin in Japan exceed a certain annual target level by the end of 2025.</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received the $10.0 million upfront payment from HCR during June 2022 and recorded it as a deferred royalty obligation related to the sale of future royalties ("deferred royalty obligation") on our balance sheet. Due to our ongoing manufacturing obligations under the 2017 Kyowa Kirin Agreement, we account for the proceeds as imputed debt and therefore will recognize royalties received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June 30, 2023, our effective interest rate used to amortize the liability is 34.4%.</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2023, we recognized approximately $1.0 million and $1.9 million, respectively, of non-cash interest expense related to the deferred royalty obligation. During the three and six months ended June 30, 2022, we did not recognize a material amount of non-cash interest expense related to the deferred royalty obligation. As of June 30, 2023, we have received no royalty payments from Kyowa Kirin and, therefore, the deferred royalty obligation has not begun to be reduced.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2018, we entered into a loan and security agreement (as amended on October 9, 2020, March 1, 2021, May 5, 2021, and July 29, 2021) (the "2018 Loan Agreement") with Solar Capital Ltd. and Western Alliance Bank (collectively the “2018 Lenders”). The 2018 Loan Agreement provided for a loan facility for up to $50.0 million with a maturity date of November 1, 2022 (the “2018 Loan”). As of the Closing Date for the 2022 Loan, as discussed below, we owed $25.0 million in principal payments from the 2018 Loan, which we repaid in full at that time.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9. Derivative Liability</w:t>
      </w:r>
      <w:r>
        <w:rPr>
          <w:rFonts w:ascii="Arial" w:cs="Arial" w:eastAsia="Arial" w:hAnsi="Arial"/>
          <w:sz w:val="18"/>
          <w:szCs w:val="18"/>
          <w:color w:val="auto"/>
        </w:rPr>
        <w:t>, in connection with entering into the 2018 Loan Agreement, we entered into an agreement pursuant to which we agreed to pay $1.5 million in cash upon the occurrence of certain conditions (the "2018 Exit Fee"). Our obligations for the 2018 Exit Fee remain outstanding following the full repayment of the 2018 Loan in February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 Corp. Loan Agreement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23, 2022 (“Closing Date”), we entered into a loan and security agreement (“2022 Loan Agreement”) with SLR Investment Corp. as collateral agent (“Agent”), and the lenders listed in the 2022 Loan Agreement (collectively the “2022 Lenders”). The 2022 Loan Agreement was subsequently amended on August 1, 2022 and February 9, 2023. We concluded that the Loan amendments were modifications to the 2022 Loan Agreement and are accounted for accordingly. The 2022 Loan Agreement as amended provides for a senior secured loan facility, with $27.5 million (“Term A Loan”) funded on the Closing Date and an additional $22.5 million which we may borrow on or prior to December 20, 2023; provided that (i) we have received approval by the FDA for our NDA for XPHOZAH by November 30, 2023, and (ii) we have achieved certain product revenue milestone targets described in the 2022 Loan Agreement (“Term B Loan”, and collectively, the Term A Loan and the Term B Loan, the “2022 Loan”). The 2022 Term A Loan funds were used to repay the 2018 Loan with the 2018 Lenders. The 2022 Loan has a maturity date of March 1, 2027.</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Borrowings under the 2022 Loan as amended bear interest at a floating per annum interest rate with 7.95% plus the greater of (a) one percent (1.00%) per annum and (b)(i) 0.022% plus (ii) 1-month CME Term SOFR reference rate as published by the CME Term SOFR Administrator on the CME Term SOFR Administrator’s Website. We are permitted to make interest-only payments on the 2022 Loan through March 31, 2024, which date will be extended to March 31, 2025 if we receive approval by the FDA for our NDA for XPHOZAH on or prior to November 30, 2023 or achieve a defined net product revenue threshold for 2023. Accordingly, beginning on April 1, 2024 or April 1, 2025, we will be required to make monthly payments of interest plus repayment of the 2022 Loan in consecutive equal monthly installments of principal over 36 months or 24 months, respectively. We were obligated to pay $0.2 million, upon the closing of the Term A Loan, and we are obligated to pay $0.1 million on the earliest of (i) the funding date of the Term B Loan, (ii) December 20, 2023, and (iii) the prepayment, refinancing, substitution, or replacement of the Term A Loan on or prior to December 20,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 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of 2% of the 2022 Loan funded (“2022 Exit Fee”). As discussed in </w:t>
      </w:r>
      <w:r>
        <w:rPr>
          <w:rFonts w:ascii="Arial" w:cs="Arial" w:eastAsia="Arial" w:hAnsi="Arial"/>
          <w:sz w:val="16"/>
          <w:szCs w:val="16"/>
          <w:i w:val="1"/>
          <w:iCs w:val="1"/>
          <w:color w:val="auto"/>
        </w:rPr>
        <w:t>Note 9. Derivative Liability</w:t>
      </w:r>
      <w:r>
        <w:rPr>
          <w:rFonts w:ascii="Arial" w:cs="Arial" w:eastAsia="Arial" w:hAnsi="Arial"/>
          <w:sz w:val="16"/>
          <w:szCs w:val="16"/>
          <w:color w:val="auto"/>
        </w:rPr>
        <w:t>, in connection with the 2022 Loan, we entered into an agreement pursuant to which we agreed to pay an exit fee in the amount of 2% of the 2022 Loan funded (the "2022 Exit Fee"). Notwithstanding the prepayment or termination of the 2022 Loan, the 2022 Exit Fee will expire 10 years from the Closing 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June 30, 2023 due to the determination of the existence of substantial doubt about our ability to continue operating as a going concern discussed in </w:t>
      </w:r>
      <w:r>
        <w:rPr>
          <w:rFonts w:ascii="Arial" w:cs="Arial" w:eastAsia="Arial" w:hAnsi="Arial"/>
          <w:sz w:val="17"/>
          <w:szCs w:val="17"/>
          <w:i w:val="1"/>
          <w:iCs w:val="1"/>
          <w:color w:val="auto"/>
        </w:rPr>
        <w:t>Note 1. Organization and Basis of Presentation: Liquidity</w:t>
      </w:r>
      <w:r>
        <w:rPr>
          <w:rFonts w:ascii="Arial" w:cs="Arial" w:eastAsia="Arial" w:hAnsi="Arial"/>
          <w:sz w:val="17"/>
          <w:szCs w:val="17"/>
          <w:color w:val="auto"/>
        </w:rPr>
        <w:t xml:space="preserve"> and our assessment that the material adverse change clause under the 2022 Loan Agreement is not within our control. The lenders have not invoked the material adverse change clause as of the date of issuance of these condensed financial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June 30, 2023, our future payment obligations related to the 2022 Loan, excluding interest payments and the 2022 final fee,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28,861</w:t>
            </w:r>
          </w:p>
        </w:tc>
      </w:tr>
      <w:tr>
        <w:trPr>
          <w:trHeight w:val="237"/>
        </w:trPr>
        <w:tc>
          <w:tcPr>
            <w:tcW w:w="9780" w:type="dxa"/>
            <w:vAlign w:val="bottom"/>
          </w:tcPr>
          <w:p>
            <w:pPr>
              <w:ind w:left="140"/>
              <w:spacing w:after="0"/>
              <w:rPr>
                <w:sz w:val="20"/>
                <w:szCs w:val="20"/>
                <w:color w:val="auto"/>
              </w:rPr>
            </w:pPr>
            <w:r>
              <w:rPr>
                <w:rFonts w:ascii="Arial" w:cs="Arial" w:eastAsia="Arial" w:hAnsi="Arial"/>
                <w:sz w:val="18"/>
                <w:szCs w:val="18"/>
                <w:color w:val="auto"/>
              </w:rPr>
              <w:t>Less: Unamortized discount and debt issuance costs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36"/>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27,052</w:t>
            </w:r>
          </w:p>
        </w:tc>
      </w:tr>
      <w:tr>
        <w:trPr>
          <w:trHeight w:val="243"/>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2018, in connection with entering into the 2018 Loan Agreement, we entered into an agreement pursuant to which we agreed to pay $1.5 million in cash ("2018 Exit Fee") upon any change of control transaction in respect of the Company or if we obtain both (i) FDA approval of XPHOZAH and (ii) FDA approval of IBSRELA, which was obtained on September 12, 2019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 and other current liabilities on the accompanying condensed balance sheets. As of June 30, 2023 and December 31, 2022, the estimated fair value of the 2018 Exit Fee was $1.3 million and $1.2 million, respectively.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instrument include: (i) our estimates of both the probability and timing of a potential $1.5 million payment to Solar Capital Ltd. and Western Alliance Bank as a result of the FDA approvals, and (ii) a discount rate which was derived from our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2022, in connection with entering into the 2022 Loan Agreement,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June 30, 2023 and December 31, 2022, the estimated fair value of the 2022 Exit Fee was $0.5 million and $0.4 million, respectively.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adult patients with CKD on dialysis by November 30, 2023, and (b) achievement of certain product revenue milestone targets.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Changes in the fair value of recurring measurements included in Level 3 of the fair value hierarchy are presented as other income, net in our condensed statements of operations and comprehensive loss and were as follows for the six months ended June 30, 2023 and 2022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3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estimated fair value:</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6960" w:type="dxa"/>
            <w:vAlign w:val="bottom"/>
          </w:tcPr>
          <w:p>
            <w:pPr>
              <w:jc w:val="center"/>
              <w:ind w:right="5370"/>
              <w:spacing w:after="0"/>
              <w:rPr>
                <w:sz w:val="20"/>
                <w:szCs w:val="20"/>
                <w:color w:val="auto"/>
              </w:rPr>
            </w:pPr>
            <w:r>
              <w:rPr>
                <w:rFonts w:ascii="Arial" w:cs="Arial" w:eastAsia="Arial" w:hAnsi="Arial"/>
                <w:sz w:val="18"/>
                <w:szCs w:val="18"/>
                <w:color w:val="auto"/>
                <w:w w:val="91"/>
              </w:rPr>
              <w:t>2018 Exit Fee</w:t>
            </w:r>
          </w:p>
        </w:tc>
        <w:tc>
          <w:tcPr>
            <w:tcW w:w="1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6960" w:type="dxa"/>
            <w:vAlign w:val="bottom"/>
            <w:shd w:val="clear" w:color="auto" w:fill="CCEEFF"/>
          </w:tcPr>
          <w:p>
            <w:pPr>
              <w:jc w:val="center"/>
              <w:ind w:right="5370"/>
              <w:spacing w:after="0"/>
              <w:rPr>
                <w:sz w:val="20"/>
                <w:szCs w:val="20"/>
                <w:color w:val="auto"/>
              </w:rPr>
            </w:pPr>
            <w:r>
              <w:rPr>
                <w:rFonts w:ascii="Arial" w:cs="Arial" w:eastAsia="Arial" w:hAnsi="Arial"/>
                <w:sz w:val="18"/>
                <w:szCs w:val="18"/>
                <w:color w:val="auto"/>
                <w:w w:val="91"/>
              </w:rPr>
              <w:t>2022 Exit Fee</w:t>
            </w:r>
          </w:p>
        </w:tc>
        <w:tc>
          <w:tcPr>
            <w:tcW w:w="1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960" w:type="dxa"/>
            <w:vAlign w:val="bottom"/>
          </w:tcPr>
          <w:p>
            <w:pPr>
              <w:jc w:val="center"/>
              <w:ind w:right="5430"/>
              <w:spacing w:after="0"/>
              <w:rPr>
                <w:sz w:val="20"/>
                <w:szCs w:val="20"/>
                <w:color w:val="auto"/>
              </w:rPr>
            </w:pPr>
            <w:r>
              <w:rPr>
                <w:rFonts w:ascii="Arial" w:cs="Arial" w:eastAsia="Arial" w:hAnsi="Arial"/>
                <w:sz w:val="18"/>
                <w:szCs w:val="18"/>
                <w:color w:val="auto"/>
                <w:w w:val="87"/>
              </w:rPr>
              <w:t>Balance at June 30,</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our facility leases presented in our condensed balance sheets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jc w:val="right"/>
              <w:ind w:right="6010"/>
              <w:spacing w:after="0"/>
              <w:rPr>
                <w:sz w:val="20"/>
                <w:szCs w:val="20"/>
                <w:color w:val="auto"/>
              </w:rPr>
            </w:pPr>
            <w:r>
              <w:rPr>
                <w:rFonts w:ascii="Arial" w:cs="Arial" w:eastAsia="Arial" w:hAnsi="Arial"/>
                <w:sz w:val="18"/>
                <w:szCs w:val="18"/>
                <w:b w:val="1"/>
                <w:bCs w:val="1"/>
                <w:color w:val="auto"/>
                <w:w w:val="90"/>
              </w:rPr>
              <w:t>Facilities</w:t>
            </w: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3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r>
      <w:tr>
        <w:trPr>
          <w:trHeight w:val="243"/>
        </w:trPr>
        <w:tc>
          <w:tcPr>
            <w:tcW w:w="6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3,894</w:t>
            </w:r>
          </w:p>
        </w:tc>
      </w:tr>
      <w:tr>
        <w:trPr>
          <w:trHeight w:val="230"/>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5,855</w:t>
            </w:r>
          </w:p>
        </w:tc>
      </w:tr>
      <w:tr>
        <w:trPr>
          <w:trHeight w:val="248"/>
        </w:trPr>
        <w:tc>
          <w:tcPr>
            <w:tcW w:w="6820" w:type="dxa"/>
            <w:vAlign w:val="bottom"/>
            <w:tcBorders>
              <w:bottom w:val="single" w:sz="8" w:color="CCEEFF"/>
            </w:tcBorders>
            <w:shd w:val="clear" w:color="auto" w:fill="CCEEFF"/>
          </w:tcPr>
          <w:p>
            <w:pPr>
              <w:jc w:val="right"/>
              <w:ind w:right="601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9,749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life (years)</w:t>
            </w:r>
          </w:p>
        </w:tc>
        <w:tc>
          <w:tcPr>
            <w:tcW w:w="56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640" w:type="dxa"/>
            <w:vAlign w:val="bottom"/>
          </w:tcPr>
          <w:p>
            <w:pPr>
              <w:jc w:val="right"/>
              <w:ind w:right="830"/>
              <w:spacing w:after="0"/>
              <w:rPr>
                <w:sz w:val="20"/>
                <w:szCs w:val="20"/>
                <w:color w:val="auto"/>
              </w:rPr>
            </w:pPr>
            <w:r>
              <w:rPr>
                <w:rFonts w:ascii="Arial" w:cs="Arial" w:eastAsia="Arial" w:hAnsi="Arial"/>
                <w:sz w:val="18"/>
                <w:szCs w:val="18"/>
                <w:color w:val="auto"/>
              </w:rPr>
              <w:t>6.8 %</w:t>
            </w:r>
          </w:p>
        </w:tc>
        <w:tc>
          <w:tcPr>
            <w:tcW w:w="13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863"/>
        </w:trPr>
        <w:tc>
          <w:tcPr>
            <w:tcW w:w="4240" w:type="dxa"/>
            <w:vAlign w:val="bottom"/>
          </w:tcPr>
          <w:p>
            <w:pPr>
              <w:spacing w:after="0"/>
              <w:rPr>
                <w:sz w:val="24"/>
                <w:szCs w:val="24"/>
                <w:color w:val="auto"/>
              </w:rPr>
            </w:pPr>
          </w:p>
        </w:tc>
        <w:tc>
          <w:tcPr>
            <w:tcW w:w="5640" w:type="dxa"/>
            <w:vAlign w:val="bottom"/>
          </w:tcPr>
          <w:p>
            <w:pPr>
              <w:jc w:val="right"/>
              <w:ind w:right="4070"/>
              <w:spacing w:after="0"/>
              <w:rPr>
                <w:sz w:val="20"/>
                <w:szCs w:val="20"/>
                <w:color w:val="auto"/>
              </w:rPr>
            </w:pPr>
            <w:r>
              <w:rPr>
                <w:rFonts w:ascii="Arial" w:cs="Arial" w:eastAsia="Arial" w:hAnsi="Arial"/>
                <w:sz w:val="18"/>
                <w:szCs w:val="18"/>
                <w:color w:val="auto"/>
              </w:rPr>
              <w:t>19</w:t>
            </w:r>
          </w:p>
        </w:tc>
        <w:tc>
          <w:tcPr>
            <w:tcW w:w="136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 costs, which are included in operating expenses in our condensed statements of operations and comprehensive loss,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8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1,100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2,122</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undiscounted cash payment obligations for our operating lease liabilities as of June 30, 2023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4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2026</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8,404</w:t>
            </w:r>
          </w:p>
        </w:tc>
      </w:tr>
      <w:tr>
        <w:trPr>
          <w:trHeight w:val="23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6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958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7,857</w:t>
            </w:r>
          </w:p>
        </w:tc>
      </w:tr>
      <w:tr>
        <w:trPr>
          <w:trHeight w:val="243"/>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6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23"/>
        </w:trPr>
        <w:tc>
          <w:tcPr>
            <w:tcW w:w="958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r>
      <w:tr>
        <w:trPr>
          <w:trHeight w:val="21"/>
        </w:trPr>
        <w:tc>
          <w:tcPr>
            <w:tcW w:w="9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2023, we entered into a sub-lease Agreement (the “Sub-lease”) with Chronus Health, Inc. ("Chronus). The Sub-lease permits use by Chronus of a portion of the space in our facility in Fremont, California. We lease the facility from a different counterparty under a separate head lease that commenced in September 2008 and has been amended multiple times to add space and to extend the lease term through March 2025. We have sub-leased to Chronus approximately 21,644 square feet of the 72,500 square foot building's interior space, plus corresponding exterior support space and parking. The term of the Sub-lease shall expire on February 1, 2025.</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the Sub-lease we recognized an impairment of long-lived assets totaling $0.4 million during the three months ended March 31, 2023, which consisted primarily of impairment to the Fremont facility right-of-use asset. The Sub-lease commenced in April 2023 and we recognized $0.2 million and $0.3 million income from the Sub-lease during the three and six months ended June 30, 2023,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2021, we filed an additional prospectus supplement under a Registration Statement which was filed in July 2020 for the offering, issuance and sale by us of up to a maximum aggregate offering price of $150.0 million of our common stock that we were authorized to issue and sell, from time to time, under a sales agreement we entered into with Jefferies (the "2021 Open Market Sales Agreement"), pursuant to which we, from time to time, sold up to $150.0 million in shares of our common stock through Jefferies. Pursuant to the 2021 Open Market Sales Agreement, Jefferies, as our sales agent, received a commission of up to 3% of the gross sales price for shares of common stock sold under the 2021 Open Market Sales Agreement. As of March 2023, we had sold a total of 95.2 million shares and received the maximum gross proceeds of $150.0 million under the 2021 Open Market Sales Agreement.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June 30, 2023, we completed sales pursuant to the 2023 Open Market Sales Agreement resulting in the issuance of 3.0 million shares of our common stock and receipt of gross proceeds of $11.6 million at a weighted average sales price of approximately $3.83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recognized for stock options, restricted stock units ("RSUs"), and our employee stock purchase program (the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recorded as operating expenses in our condensed statements of operations and comprehensive loss,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2"/>
        </w:trPr>
        <w:tc>
          <w:tcPr>
            <w:tcW w:w="47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our total unrecognized stock-based compensation expense, net of estimated forfeitures, and average remaining vesting period, included the following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Unrecognized</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180"/>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15"/>
                <w:szCs w:val="15"/>
                <w:color w:val="auto"/>
              </w:rPr>
            </w:pPr>
          </w:p>
        </w:tc>
        <w:tc>
          <w:tcPr>
            <w:tcW w:w="20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Average Remaining</w:t>
            </w:r>
          </w:p>
        </w:tc>
      </w:tr>
      <w:tr>
        <w:trPr>
          <w:trHeight w:val="230"/>
        </w:trPr>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 Period (Years)</w:t>
            </w:r>
          </w:p>
        </w:tc>
      </w:tr>
      <w:tr>
        <w:trPr>
          <w:trHeight w:val="23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2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3.0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RSU grants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7,776</w:t>
            </w:r>
          </w:p>
        </w:tc>
        <w:tc>
          <w:tcPr>
            <w:tcW w:w="21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stock option activity and related information for the six months ended June 30, 2023 is as follows (in thousands, except dollar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4"/>
        </w:trPr>
        <w:tc>
          <w:tcPr>
            <w:tcW w:w="38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2"/>
          </w:tcPr>
          <w:p>
            <w:pPr>
              <w:jc w:val="center"/>
              <w:ind w:right="580"/>
              <w:spacing w:after="0" w:line="184" w:lineRule="exact"/>
              <w:rPr>
                <w:sz w:val="20"/>
                <w:szCs w:val="20"/>
                <w:color w:val="auto"/>
              </w:rPr>
            </w:pPr>
            <w:r>
              <w:rPr>
                <w:rFonts w:ascii="Arial" w:cs="Arial" w:eastAsia="Arial" w:hAnsi="Arial"/>
                <w:sz w:val="18"/>
                <w:szCs w:val="18"/>
                <w:b w:val="1"/>
                <w:bCs w:val="1"/>
                <w:color w:val="auto"/>
                <w:w w:val="88"/>
              </w:rPr>
              <w:t>Exercise Price per</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Share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7,331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Options forfeited or canceled</w:t>
            </w:r>
          </w:p>
        </w:tc>
        <w:tc>
          <w:tcPr>
            <w:tcW w:w="30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30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tcPr>
          <w:p>
            <w:pPr>
              <w:ind w:left="20"/>
              <w:spacing w:after="0" w:line="203" w:lineRule="exact"/>
              <w:rPr>
                <w:sz w:val="20"/>
                <w:szCs w:val="20"/>
                <w:color w:val="auto"/>
              </w:rPr>
            </w:pPr>
            <w:r>
              <w:rPr>
                <w:rFonts w:ascii="Arial" w:cs="Arial" w:eastAsia="Arial" w:hAnsi="Arial"/>
                <w:sz w:val="18"/>
                <w:szCs w:val="18"/>
                <w:color w:val="auto"/>
              </w:rPr>
              <w:t>Exercisable at June 30, 2023</w:t>
            </w:r>
          </w:p>
        </w:tc>
        <w:tc>
          <w:tcPr>
            <w:tcW w:w="302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10,269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20" w:type="dxa"/>
            <w:vAlign w:val="bottom"/>
            <w:vMerge w:val="restart"/>
          </w:tcPr>
          <w:p>
            <w:pPr>
              <w:jc w:val="right"/>
              <w:ind w:right="1090"/>
              <w:spacing w:after="0"/>
              <w:rPr>
                <w:sz w:val="20"/>
                <w:szCs w:val="20"/>
                <w:color w:val="auto"/>
              </w:rPr>
            </w:pPr>
            <w:r>
              <w:rPr>
                <w:rFonts w:ascii="Arial" w:cs="Arial" w:eastAsia="Arial" w:hAnsi="Arial"/>
                <w:sz w:val="18"/>
                <w:szCs w:val="18"/>
                <w:color w:val="auto"/>
              </w:rPr>
              <w:t>21</w:t>
            </w: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8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RSUs activity and related information for the six months ended June 30, 2023 is as follows (in thousands, except dollar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64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Weighted-Average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ind w:right="310"/>
              <w:spacing w:after="0" w:line="184"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1"/>
              </w:rPr>
              <w:t>RSUs</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2,203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6"/>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June 30, 2023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we sold approximately 0.2 million shares of our common stock under the ESPP. The shares were purchased by employees at an average purchase price of $0.83 per share resulting in proceeds to us of approximately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six months ended June 30, 2023, we issued 0.1 million shares of our common stock to members of the board of directors in accordance with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six months ended June 30, 2023 and 2022, all potential common shares were determined to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r>
      <w:tr>
        <w:trPr>
          <w:trHeight w:val="23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4"/>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Weighted average common shares outstanding - 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214,951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138,280</w:t>
            </w: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Net loss per share of common stock -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right="1300"/>
        <w:spacing w:after="0" w:line="273" w:lineRule="auto"/>
        <w:rPr>
          <w:sz w:val="20"/>
          <w:szCs w:val="20"/>
          <w:color w:val="auto"/>
        </w:rPr>
      </w:pPr>
      <w:r>
        <w:rPr>
          <w:rFonts w:ascii="Arial" w:cs="Arial" w:eastAsia="Arial" w:hAnsi="Arial"/>
          <w:sz w:val="18"/>
          <w:szCs w:val="18"/>
          <w:color w:val="auto"/>
        </w:rPr>
        <w:t>Options to purchase common stock Restricted stock units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ESPP shares issuable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5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6"/>
        </w:trPr>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20,659</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20,260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13,182</w:t>
            </w:r>
          </w:p>
        </w:tc>
      </w:tr>
      <w:tr>
        <w:trPr>
          <w:trHeight w:val="230"/>
        </w:trPr>
        <w:tc>
          <w:tcPr>
            <w:tcW w:w="1560" w:type="dxa"/>
            <w:vAlign w:val="bottom"/>
          </w:tcPr>
          <w:p>
            <w:pPr>
              <w:jc w:val="right"/>
              <w:ind w:right="30"/>
              <w:spacing w:after="0"/>
              <w:rPr>
                <w:sz w:val="20"/>
                <w:szCs w:val="20"/>
                <w:color w:val="auto"/>
              </w:rPr>
            </w:pPr>
            <w:r>
              <w:rPr>
                <w:rFonts w:ascii="Arial" w:cs="Arial" w:eastAsia="Arial" w:hAnsi="Arial"/>
                <w:sz w:val="18"/>
                <w:szCs w:val="18"/>
                <w:color w:val="auto"/>
              </w:rPr>
              <w:t>3,008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3,520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2,969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3,963</w:t>
            </w:r>
          </w:p>
        </w:tc>
      </w:tr>
      <w:tr>
        <w:trPr>
          <w:trHeight w:val="237"/>
        </w:trPr>
        <w:tc>
          <w:tcPr>
            <w:tcW w:w="15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200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242</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176</w:t>
            </w:r>
          </w:p>
        </w:tc>
      </w:tr>
      <w:tr>
        <w:trPr>
          <w:trHeight w:val="230"/>
        </w:trPr>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16,819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23,471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17,321</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-642620</wp:posOffset>
            </wp:positionV>
            <wp:extent cx="688340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3400"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-342265</wp:posOffset>
            </wp:positionV>
            <wp:extent cx="688340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340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660"/>
          </w:cols>
          <w:pgMar w:left="320" w:top="341"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7"/>
          <w:szCs w:val="17"/>
          <w:i w:val="1"/>
          <w:iCs w:val="1"/>
          <w:color w:val="auto"/>
        </w:rPr>
        <w:t>Strezsak v. Ardelyx, Inc., et al.</w:t>
      </w:r>
      <w:r>
        <w:rPr>
          <w:rFonts w:ascii="Arial" w:cs="Arial" w:eastAsia="Arial" w:hAnsi="Arial"/>
          <w:sz w:val="17"/>
          <w:szCs w:val="17"/>
          <w:color w:val="auto"/>
        </w:rPr>
        <w:t xml:space="preserve">, Case No. 4:21-cv-05868-HSG, and Siegel </w:t>
      </w:r>
      <w:r>
        <w:rPr>
          <w:rFonts w:ascii="Arial" w:cs="Arial" w:eastAsia="Arial" w:hAnsi="Arial"/>
          <w:sz w:val="17"/>
          <w:szCs w:val="17"/>
          <w:i w:val="1"/>
          <w:iCs w:val="1"/>
          <w:color w:val="auto"/>
        </w:rPr>
        <w:t>v.</w:t>
      </w:r>
      <w:r>
        <w:rPr>
          <w:rFonts w:ascii="Arial" w:cs="Arial" w:eastAsia="Arial" w:hAnsi="Arial"/>
          <w:sz w:val="17"/>
          <w:szCs w:val="17"/>
          <w:color w:val="auto"/>
        </w:rPr>
        <w:t xml:space="preserve"> </w:t>
      </w:r>
      <w:r>
        <w:rPr>
          <w:rFonts w:ascii="Arial" w:cs="Arial" w:eastAsia="Arial" w:hAnsi="Arial"/>
          <w:sz w:val="17"/>
          <w:szCs w:val="17"/>
          <w:i w:val="1"/>
          <w:iCs w:val="1"/>
          <w:color w:val="auto"/>
        </w:rPr>
        <w:t>Ardelyx, Inc., et al.</w:t>
      </w:r>
      <w:r>
        <w:rPr>
          <w:rFonts w:ascii="Arial" w:cs="Arial" w:eastAsia="Arial" w:hAnsi="Arial"/>
          <w:sz w:val="17"/>
          <w:szCs w:val="17"/>
          <w:color w:val="auto"/>
        </w:rPr>
        <w:t>, Case No. 5:21-cv-06228-HSG (together, the “Securities Class Actions”). The complaints allege that the defendants violated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with a hearing on the motion to dismiss to be held on September 14, 2023. We believe the plaintiff’s claims are without merit and we have not recorded any accrual for a contingent liability associated with these legal proceedings.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June 30, 2023, there is no litigation pending that would reasonably be expected to have a material adverse effect on our results of operations and financial condition, and no contingent liabilities were accrued as of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2023, we announced that an NDA for tenapanor had been accepted for review by China’s Center for Drug Evaluation of the NMPA for the control of serum phosphorus in adult patients with chronic kidney disease on hemodialysis. This acceptance triggers a $2.0 million milestone payment to us under the terms of the Fosun Agreement. We expect to receive this payment during the third quarter of 2023 and record it as licensing revenue on our condensed statement of operations and comprehensive loss.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2022.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On May 17, 2023, the U.S. Food and Drug Administration (“FDA”) accepted our resubmission of the New Drug Application (“NDA”) for tenapanor, branded XPHOZAH for the control of serum phosphorus in adult patients with chronic kidney disease (“CKD”) on dialysis who have had an inadequate response or intolerance to a phosphate binder therapy. The FDA set a user fee goal date for review of the NDA of October 17, 2023. We also have a development stage asset, RDX013 for adult patients with CKD and/or heart failure with hyperkalemia, or elevated serum potassium, and a discovery stage asset, RDX020, for adult patients with metabolic acidosis, a serious electrolyte disorder, in patients with CKD.</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in March 2022. As of June 30, 2023, we had an accumulated deficit of $824.0 million.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continue to incur substantial operating losses for the foreseeable future as we invest in the commercialization of IBSRELA, seek to gain approval in the U.S.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prepare for and commercialize XPHOZAH in the U.S.,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unique discovery platform and deep understanding of the primary mechanism of sodium transport in the intestine resulted in our discovery and development of IBSRELA, a first-in-class, FDA approved, sodium hydrogen exchange 3 ("NHE3") inhibitor for the treatment of IBS-C in adults. IBSRELA acts locally in the gut and is minimally absorbed. IBS-C is a gastrointestinal ("GI") disorder characterized by both abdominal pain and altered bowel movements, and depending on the diagnostic criteria employed, is estimated to affect up to 13 million people in the U.S. IBS-C is associated with significantly impaired quality of life, reduced productivity, and substantial economic burden.</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that account for 50% of IBS-C prescriptions. Central to our go to market strategy for IBSRELA has been our highly experienced specialty sales force, many with existing relationships across their GI target base, full company engagement, and innovative peer-to-peer and digital initiatives.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Development Candidate XPHOZAH: A Potential New Approach for the Control of Serum Phosphorus in Adult Patients with CKD on Dialysis Who Have Had an Inadequate Response or Intolerance to a Phosphate Binder Therapy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XPHOZAH (tenapanor) is a first-in-class medicine being developed for the control of serum phosphorus, or hyperphosphatemia, in adult patients with CKD on dialysis who have had an inadequate response or intolerance to a phosphate binder therapy. XPHOZAH has a unique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Seventy-seven percent of patients treated with phosphate binders to treat hyperphosphatemia were unable to consistently maintain phosphorous levels &lt;=5.5 mg/dL over a six-month period. If approved, XPHOZAH would be the first therapy for phosphate management that blocks phosphate absorption at the primary site of uptake.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we submitted a NDA to the FDA for XPHOZAH. The NDA was supported by three Phase 3 trials involving more than 1,200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28, 2021, we received a Complete Response Letter ("CRL") from the FDA’s Division of Cardiology and Nephrology ("the Division") regarding our NDA for XPHOZAH. In December 2021 we submitted a Formal Dispute Resolution Request ("FDRR") to the Office of Cardiology, Hematology, Endocrinology and Nephrology ("OCHEN"). At the request of the FDA’s Office of New Drugs ("OND"), as part of our second level of appeal of the CRL, a Cardiovascular and Renal Drug Advisory Committee meeting on was held on November 16, 2022 with the committee voting that the benefits of XPHOZAH outweigh its risks nine to four as a monotherapy and ten to two, with one abstention, in combination with phosphate binder therapy. In December 2022, the OND granted our appeal to the CRL for the NDA for XPHOZAH and directed the Division to work with us to develop an appropriate label for the commercialization of XPHOZAH. On February 13, 2023, we participated in a Type A meeting with the Division where we discussed the resubmission of the NDA, and the information to be contained in the resubmitted NDA.</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2023, we resubmitted a NDA to the FDA for the approval of XPHOZAH for the control of serum phosphorus in adult patients with CKD on dialysis who have had an inadequate response or intolerance to a phosphate binder therapy. In May 2023, we announced that the FDA accepted our resubmission of our NDA for XPHOZAH, and that the FDA determined that the NDA is a class 2 review, which results in a six-month review period from the date of resubmission. The FDA set a user fee goal date of October 17, 2023. If approved, we expect XPHOZAH to be commercially available in the fourth quarter of 2023, as soon as possible following an approval from the FDA.</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commercial agreements with Kyowa Kirin, Co. Ltd. ("Kyowa Kirin") in Japan, Fosun Pharma in China and Knight in Canada for tenapanor for hyperphosphatemia. In October 2022, Kyowa Kirin submitted an NDA to the Japanese Ministry of Health, Labour and Welfare for tenapanor for the improvement of hyperphosphatemia in adult patients with CKD on dialysis. In July 2023, we announced that an NDA for tenapanor had been accepted for review by China’s Center for Drug Evaluation of the National Medical Products Administration ("NMPA") for the control of serum phosphorus in adult patients with chronic kidney disease on hemodialysis.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discovery program targeting the inhibition of the chloride bicarbonate exchanger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if approved, XPHOZAH.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in Japan, Fosun Pharma in China and Knight in Canada for the development and commercialization of tenapanor for certain indications in their respective territories.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non-refundable, one-time payment in March 2018. We may also be eligible to receive approximately CAD 22.2 million for development and commercialization milestones, or approximately $16.7 million at the currency exchange rate on June 30, 2023, of which $0.7 million has been received and recognized as revenue as of June 30, 2023.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June 30, 2023.</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 $55.0 million in total development and regulatory milestones, of which $20.0 million has been received and recognized as revenue as of June 30, 2023. We may also be eligible to receive approximately ¥8.5 billion for commercialization milestones, or approximately $58.8 million at the currency exchange rate on June 30, 2023,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7. Deferred Royalty</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 Related to the Sale of Future Royalties</w:t>
      </w:r>
      <w:r>
        <w:rPr>
          <w:rFonts w:ascii="Arial" w:cs="Arial" w:eastAsia="Arial" w:hAnsi="Arial"/>
          <w:sz w:val="16"/>
          <w:szCs w:val="16"/>
          <w:color w:val="auto"/>
        </w:rPr>
        <w:t>, the future royalties and commercial milestone payments we may receive under the 2017 Kyowa Kirin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be remitted to HealthCare Royalty Partners IV, L.P. pursuant to a Royalty and Sales Milestone Interest Acquisition Agreement.</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7. Deferred Royalty Obligation Related to the Sale of Future Royalties</w:t>
      </w:r>
      <w:r>
        <w:rPr>
          <w:rFonts w:ascii="Arial" w:cs="Arial" w:eastAsia="Arial" w:hAnsi="Arial"/>
          <w:sz w:val="17"/>
          <w:szCs w:val="17"/>
          <w:color w:val="auto"/>
        </w:rPr>
        <w:t>, the future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received in the fourth quarter of 2022 following Kyowa Kirin’s October 2022 filing with the Japanese Ministry of Health, Labour and Welfare of its application for marketing approval for tenapanor and the second payment due following Kyowa Kirin’s receipt of regulatory approval to market tenapanor for hyperphosphatemia in Japan.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2022, we announced that Kyowa Kirin submitted a NDA to the Japanese Ministry of Health, Labour and Welfare for tenapanor for the improvement of hyperphosphatemia in adult patients with CKD on dialysis, which resulted in payment to us from Kyowa Kirin for an aggregate of $35.0 million for milestone payments and payments under the 2022 Amendment.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2017, we entered into an exclusive license agreement with Fosun Pharma (“Fosun Agreement”) for the development and commercialization of tenapanor in China for both hyperphosphatemia and IBS-C. Under the terms of the Fosun Agreement, Fosun paid us a $12.0 million upfront license fee. In July 2023, we announced that an NDA for tenapanor had been accepted for review by China’s Center for Drug Evaluation of the NMPA for the control of serum phosphorus in adult patients with chronic kidney disease on hemodialysis. This acceptance triggers a $2.0 million milestone payment to us under the terms of the Fosun Agreement, which we expect to receive in the third quarter of 2023.</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entitled to receive development and commercialization milestones of up to $113.0 million, of which $3.0 million has been received and recognized as revenue as of June 30, 2023, as well as reimbursement of cost plus a reasonable overhead for the supply of product and tiered royalties on net sales ranging from the mid-teens to 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March 2,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we did not adopt any new critical accounting policies and significant judgements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w:t>
      </w:r>
      <w:r>
        <w:rPr>
          <w:rFonts w:ascii="Arial" w:cs="Arial" w:eastAsia="Arial" w:hAnsi="Arial"/>
          <w:sz w:val="16"/>
          <w:szCs w:val="16"/>
          <w:i w:val="1"/>
          <w:iCs w:val="1"/>
          <w:color w:val="auto"/>
        </w:rPr>
        <w:t>Note 1 – Organization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to our condensed financial statements (see Part I, Item 1</w:t>
      </w:r>
      <w:r>
        <w:rPr>
          <w:rFonts w:ascii="Arial" w:cs="Arial" w:eastAsia="Arial" w:hAnsi="Arial"/>
          <w:sz w:val="16"/>
          <w:szCs w:val="16"/>
          <w:i w:val="1"/>
          <w:iCs w:val="1"/>
          <w:color w:val="auto"/>
        </w:rPr>
        <w:t xml:space="preserve"> Notes to Condensed Financial Statements</w:t>
      </w:r>
      <w:r>
        <w:rPr>
          <w:rFonts w:ascii="Arial" w:cs="Arial" w:eastAsia="Arial" w:hAnsi="Arial"/>
          <w:sz w:val="16"/>
          <w:szCs w:val="16"/>
          <w:color w:val="auto"/>
        </w:rPr>
        <w:t>,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beginning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whether we are able to gain approval from the FDA for our NDA for XPHOZAH; our ability to obtain and sustain an adequate level of coverage and reimbursement for IBSRELA by third-party payors; whether and the extent to which we are successful in our commercialization of XPHOZAH, if approved; whether or when XPHOZAH, if approved, along with other oral ESRD-related drugs without an injectable or intravenous equivalent, are bundled into the end stage renal disease (“ESRD”) prospective payment system, and the manner in which such introduction into the ESRD prospective payment system may occur, including the length of any applicable Transitional Drug Add-on Payment Adjustment ("TDAPA") period and the amount of the add-on payment available during the TDAPA period; the timing and progress of goods and services provided pursuant to our current or future collaborative partnerships; or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sales consists of the cost of commercial goods sold to our Customers. Other cost of revenue consists of the cost of materials sold to our international partners under product supply agreements, as well as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six months ended June 30, 2023 were expensed prior to the fourth quarter of 2021, at which time our intent to commercialize IBSRELA was established and we commenced preparation for the commercial launch of IBSRELA. We believe our cost of goods sold for the three and six months ended June 30, 2023 would have been $2.0 million and $2.4 million higher, respectively, if we had not previously expensed certain material and production costs with respect to the units sold. We believe our cost of goods sold for the three and six months ended June 30, 2022 would have been $140 thousand and $149 thousand higher, respectively, if we had not previously expensed certain material and production costs with respect to the units sold. As of June 30, 2023 and December 31, 2022, we had approximately $24.5 million and $28.0 million, respectively, of inventory on hand that was previously expensed as research and development expense and will not be reported as cost of goods sold in future periods when sales of IBSRELA are recognized as revenue.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Other cost of revenue includes payments due to AstraZeneca AB (“AstraZeneca”), which under the terms of a termination agreement entered into in 2015 (“AZ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$18.3 million as other cost of revenue under the AZ Termination Agreement. See details in </w:t>
      </w:r>
      <w:r>
        <w:rPr>
          <w:rFonts w:ascii="Arial" w:cs="Arial" w:eastAsia="Arial" w:hAnsi="Arial"/>
          <w:sz w:val="17"/>
          <w:szCs w:val="17"/>
          <w:i w:val="1"/>
          <w:iCs w:val="1"/>
          <w:color w:val="auto"/>
        </w:rPr>
        <w:t>Note 6, Collaboration and Licensing Agreements</w:t>
      </w:r>
      <w:r>
        <w:rPr>
          <w:rFonts w:ascii="Arial" w:cs="Arial" w:eastAsia="Arial" w:hAnsi="Arial"/>
          <w:sz w:val="17"/>
          <w:szCs w:val="17"/>
          <w:color w:val="auto"/>
        </w:rPr>
        <w:t>, under AstraZeneca, in the notes to our financial statement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we do not currently expect to meaningfully advance our efforts with respect to our discovery and developmental assets until such time as we have determined our available resources can support additional activities after prioritization of the commercialization of IBSRELA and, if approved, XPHOZAH.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8"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producing XPHOZAH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producing discovery and developmental assets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related to the sale of future royalties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Arial" w:cs="Arial" w:eastAsia="Arial" w:hAnsi="Arial"/>
          <w:sz w:val="17"/>
          <w:szCs w:val="17"/>
          <w:i w:val="1"/>
          <w:iCs w:val="1"/>
          <w:color w:val="auto"/>
        </w:rPr>
        <w:t>Note 7. Deferred Royalty Obligation Related to the Sale of Future Royalties</w:t>
      </w:r>
      <w:r>
        <w:rPr>
          <w:rFonts w:ascii="Arial" w:cs="Arial" w:eastAsia="Arial" w:hAnsi="Arial"/>
          <w:sz w:val="17"/>
          <w:szCs w:val="17"/>
          <w:color w:val="auto"/>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received a $10.0 million upfront payment from HCR in June 2022 and recorded it as a deferred royalty obligation on our balance sheet. Non-cash interest expense will be recognized over the life of the HCR Agreement using the effective interest method based on the imputed interest rate derived from estimated amounts and timing of future royalty payments to be received from Kyowa Kirin.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gains on sales of property and equipment, and currency exchange gains and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results of operations as of June 30, 2023 are not necessarily indicative of the results to be expected for the year ending December 31, 2023, for any other interim period, or for any other future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9"/>
              </w:rPr>
              <w:t>Six Months Ended June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18"/>
                <w:szCs w:val="18"/>
                <w:color w:val="auto"/>
              </w:rPr>
            </w:pPr>
          </w:p>
        </w:tc>
      </w:tr>
      <w:tr>
        <w:trPr>
          <w:trHeight w:val="239"/>
        </w:trPr>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2023 vs. 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2023 vs. 2022</w:t>
            </w:r>
          </w:p>
        </w:tc>
      </w:tr>
      <w:tr>
        <w:trPr>
          <w:trHeight w:val="227"/>
        </w:trPr>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27,650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1,373 %</w:t>
            </w: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2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7,540 %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5,443 %</w:t>
            </w:r>
          </w:p>
        </w:tc>
      </w:tr>
      <w:tr>
        <w:trPr>
          <w:trHeight w:val="237"/>
        </w:trPr>
        <w:tc>
          <w:tcPr>
            <w:tcW w:w="28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22,333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19,807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784 %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33,702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30,708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0"/>
              </w:rPr>
              <w:t>1,026 %</w:t>
            </w:r>
          </w:p>
        </w:tc>
      </w:tr>
      <w:tr>
        <w:trPr>
          <w:trHeight w:val="20"/>
        </w:trPr>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revenues during the three and six months ended June 30, 2023 as compared to the same periods in 2022 is primarily attributable to increased net product sales for IBSRELA as well as increased product supply revenue to Kyowa Kirin.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Cost of Goods Sold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5160" w:type="dxa"/>
            <w:vAlign w:val="bottom"/>
            <w:gridSpan w:val="8"/>
          </w:tcPr>
          <w:p>
            <w:pPr>
              <w:spacing w:after="0"/>
              <w:rPr>
                <w:sz w:val="20"/>
                <w:szCs w:val="20"/>
                <w:color w:val="auto"/>
              </w:rPr>
            </w:pPr>
            <w:r>
              <w:rPr>
                <w:rFonts w:ascii="Arial" w:cs="Arial" w:eastAsia="Arial" w:hAnsi="Arial"/>
                <w:sz w:val="18"/>
                <w:szCs w:val="18"/>
                <w:color w:val="auto"/>
                <w:w w:val="94"/>
              </w:rPr>
              <w:t>Below is a summary of our cost of goods sold (dollars in thousands):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4"/>
                <w:szCs w:val="24"/>
                <w:color w:val="auto"/>
              </w:rPr>
            </w:pPr>
          </w:p>
        </w:tc>
        <w:tc>
          <w:tcPr>
            <w:tcW w:w="20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Six Months Ended June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42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2023 vs. 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2023 vs. 2022</w:t>
            </w:r>
          </w:p>
        </w:tc>
      </w:tr>
      <w:tr>
        <w:trPr>
          <w:trHeight w:val="227"/>
        </w:trPr>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1,416 %</w:t>
            </w:r>
          </w:p>
        </w:tc>
      </w:tr>
      <w:tr>
        <w:trPr>
          <w:trHeight w:val="24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 of revenue</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60" w:type="dxa"/>
            <w:vAlign w:val="bottom"/>
            <w:tcBorders>
              <w:bottom w:val="single" w:sz="8" w:color="auto"/>
            </w:tcBorders>
          </w:tcPr>
          <w:p>
            <w:pPr>
              <w:spacing w:after="0"/>
              <w:rPr>
                <w:sz w:val="21"/>
                <w:szCs w:val="21"/>
                <w:color w:val="auto"/>
              </w:rPr>
            </w:pP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3,088 %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0"/>
              </w:rPr>
              <w:t>2,407 %</w:t>
            </w:r>
          </w:p>
        </w:tc>
      </w:tr>
      <w:tr>
        <w:trPr>
          <w:trHeight w:val="243"/>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2,154 %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to cost of sales for the three and six months ended June 30, 2023 as compared to the same periods in 2022 is attributable to cost of goods sold for increased net product sales of IBSRELA. The increase to other cost of revenue for the three and six months ended June 30, 2023 as compared to the same periods in 2022 is primarily attributable to payments due to AstraZeneca under the AZ Termination Agreement as well as cost of goods sold for product supply sold to our international partners.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3"/>
              </w:rPr>
              <w:t>Six Months Ended June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ind w:left="440"/>
              <w:spacing w:after="0"/>
              <w:rPr>
                <w:sz w:val="20"/>
                <w:szCs w:val="20"/>
                <w:color w:val="auto"/>
              </w:rPr>
            </w:pPr>
            <w:r>
              <w:rPr>
                <w:rFonts w:ascii="Arial" w:cs="Arial" w:eastAsia="Arial" w:hAnsi="Arial"/>
                <w:sz w:val="18"/>
                <w:szCs w:val="18"/>
                <w:b w:val="1"/>
                <w:bCs w:val="1"/>
                <w:color w:val="auto"/>
                <w:w w:val="93"/>
              </w:rPr>
              <w:t>Change</w:t>
            </w:r>
          </w:p>
        </w:tc>
        <w:tc>
          <w:tcPr>
            <w:tcW w:w="600" w:type="dxa"/>
            <w:vAlign w:val="bottom"/>
          </w:tcPr>
          <w:p>
            <w:pPr>
              <w:spacing w:after="0"/>
              <w:rPr>
                <w:sz w:val="17"/>
                <w:szCs w:val="17"/>
                <w:color w:val="auto"/>
              </w:rPr>
            </w:pPr>
          </w:p>
        </w:tc>
      </w:tr>
      <w:tr>
        <w:trPr>
          <w:trHeight w:val="229"/>
        </w:trPr>
        <w:tc>
          <w:tcPr>
            <w:tcW w:w="2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6"/>
              </w:rPr>
              <w:t>2023 vs. 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2023 vs. 2022</w:t>
            </w:r>
          </w:p>
        </w:tc>
      </w:tr>
      <w:tr>
        <w:trPr>
          <w:trHeight w:val="232"/>
        </w:trPr>
        <w:tc>
          <w:tcPr>
            <w:tcW w:w="28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2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15,788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56"/>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6,865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71,364</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14,571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Six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46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2023 vs.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2023 vs. 2022</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Facilities, equipment and depreciation</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1"/>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external R&amp;D expenses for the three and six months ended June 30, 2023 as compared to the same periods in 2022 is primarily the result of tenapanor manufacturing expenses as well as regulatory consulting expenses related to the FDA appeal of XPHOZAH.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selling, general and administrative expenses for the three and six months ended June 30, 2023 as compared to the same periods in 2022 is primarily due to increased costs associated with the commercial launch of IBSRELA. The increases consisted of headcount and related personnel costs and external spending for disease awareness initiatives, commercial infrastructure and strategy.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6"/>
          </w:tcPr>
          <w:p>
            <w:pPr>
              <w:spacing w:after="0"/>
              <w:rPr>
                <w:sz w:val="20"/>
                <w:szCs w:val="20"/>
                <w:color w:val="auto"/>
              </w:rPr>
            </w:pPr>
            <w:r>
              <w:rPr>
                <w:rFonts w:ascii="Arial" w:cs="Arial" w:eastAsia="Arial" w:hAnsi="Arial"/>
                <w:sz w:val="18"/>
                <w:szCs w:val="18"/>
                <w:color w:val="auto"/>
                <w:w w:val="91"/>
              </w:rPr>
              <w:t>Below is a summary of our interest expense (dollars 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4"/>
                <w:szCs w:val="24"/>
                <w:color w:val="auto"/>
              </w:rPr>
            </w:pPr>
          </w:p>
        </w:tc>
        <w:tc>
          <w:tcPr>
            <w:tcW w:w="2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Change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2"/>
              </w:rPr>
              <w:t>2023 vs. 2022</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bottom w:val="single" w:sz="8" w:color="auto"/>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2023 vs. 2022</w:t>
            </w: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interest expense for the three and six months ended June 30, 2023 as compared to the same periods in 2022 is due to a higher variable interest rate applied to our loan balance primarily resulting from market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Related to the Sale of Future Royalties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non-cash interest expense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ind w:left="360"/>
              <w:spacing w:after="0"/>
              <w:rPr>
                <w:sz w:val="20"/>
                <w:szCs w:val="20"/>
                <w:color w:val="auto"/>
              </w:rPr>
            </w:pPr>
            <w:r>
              <w:rPr>
                <w:rFonts w:ascii="Arial" w:cs="Arial" w:eastAsia="Arial" w:hAnsi="Arial"/>
                <w:sz w:val="18"/>
                <w:szCs w:val="18"/>
                <w:b w:val="1"/>
                <w:bCs w:val="1"/>
                <w:color w:val="auto"/>
                <w:w w:val="96"/>
              </w:rPr>
              <w:t>Change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7"/>
              </w:rPr>
              <w:t>2023 vs. 2022</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2023 vs. 2022</w:t>
            </w:r>
          </w:p>
        </w:tc>
        <w:tc>
          <w:tcPr>
            <w:tcW w:w="0" w:type="dxa"/>
            <w:vAlign w:val="bottom"/>
          </w:tcPr>
          <w:p>
            <w:pPr>
              <w:spacing w:after="0"/>
              <w:rPr>
                <w:sz w:val="1"/>
                <w:szCs w:val="1"/>
                <w:color w:val="auto"/>
              </w:rPr>
            </w:pPr>
          </w:p>
        </w:tc>
      </w:tr>
      <w:tr>
        <w:trPr>
          <w:trHeight w:val="227"/>
        </w:trPr>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8"/>
        </w:trPr>
        <w:tc>
          <w:tcPr>
            <w:tcW w:w="2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1"/>
              </w:rPr>
              <w:t>Non-cash interest expense related to</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sale of future royalties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8"/>
          <w:szCs w:val="18"/>
          <w:color w:val="auto"/>
        </w:rPr>
        <w:t>(a) Not meaningful</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interest expense related to the sales of future royalties for the three and six months ended June 30, 2023 is accrued on the deferred royalty obligation that we recorded following the receipt of the $10.0 million upfront payment from HCR during June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other income, net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8"/>
                <w:szCs w:val="18"/>
                <w:color w:val="auto"/>
              </w:rPr>
            </w:pPr>
          </w:p>
        </w:tc>
        <w:tc>
          <w:tcPr>
            <w:tcW w:w="22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79"/>
              </w:rPr>
              <w:t>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86"/>
              </w:rPr>
              <w:t>2023 vs. 2022</w:t>
            </w:r>
          </w:p>
        </w:tc>
        <w:tc>
          <w:tcPr>
            <w:tcW w:w="100" w:type="dxa"/>
            <w:vAlign w:val="bottom"/>
          </w:tcPr>
          <w:p>
            <w:pPr>
              <w:spacing w:after="0"/>
              <w:rPr>
                <w:sz w:val="20"/>
                <w:szCs w:val="20"/>
                <w:color w:val="auto"/>
              </w:rPr>
            </w:pPr>
          </w:p>
        </w:tc>
        <w:tc>
          <w:tcPr>
            <w:tcW w:w="2200" w:type="dxa"/>
            <w:vAlign w:val="bottom"/>
            <w:tcBorders>
              <w:bottom w:val="single" w:sz="8" w:color="auto"/>
            </w:tcBorders>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88"/>
              </w:rPr>
              <w:t>2023 vs. 2022</w:t>
            </w:r>
          </w:p>
        </w:tc>
        <w:tc>
          <w:tcPr>
            <w:tcW w:w="0" w:type="dxa"/>
            <w:vAlign w:val="bottom"/>
          </w:tcPr>
          <w:p>
            <w:pPr>
              <w:spacing w:after="0"/>
              <w:rPr>
                <w:sz w:val="1"/>
                <w:szCs w:val="1"/>
                <w:color w:val="auto"/>
              </w:rPr>
            </w:pPr>
          </w:p>
        </w:tc>
      </w:tr>
      <w:tr>
        <w:trPr>
          <w:trHeight w:val="227"/>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2,109 %</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income, net for the three and six months ended June 30, 2023 as compared to the same periods in 2022 is primarily due to increased income on our investments resulting from both higher returns and larger investment balances throughout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cash equivalents and short-term investments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251 %</w:t>
            </w:r>
          </w:p>
        </w:tc>
      </w:tr>
      <w:tr>
        <w:trPr>
          <w:trHeight w:val="257"/>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we had cash, cash equivalents and short-term investments of approximately $127.6 million. We have incurred operating losses since inception in 2007 and our accumulated deficit as of June 30, 2023 is $824.0 million. Our current level of cash, cash equivalents and short-term investments alone is not sufficient to meet our plans for the next twelve months following the filing of these condensed financial statements on August 2, 2023. These factors raise substantial doubt regarding our ability to continue as a going concern for a period of one year from the issuance of these condensed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address our operating cash flow requirements with our current cash, cash equivalents and short-term investments, cash generated from product sales of IBSRELA, and if approved, cash generated from sales of XPHOZAH, the potential receipt of anticipated milestone payments from our collaboration partners, the potential receipt of anticipated payments from Kyowa Kirin under the 2022 Amendment, with additional financing sources and through the implementation of cash preservation activities to reduce or defer discretionary spending.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following the issuance of these condensed financial statements, our liquidity, financial condition and business prospects will be materially affected. These condensed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we filed an additional prospectus supplement under a Registration Statement which was filed in July 2020 for the offering, issuance and sale by us of up to a maximum aggregate offering price of $150.0 million of our common stock that was authorized for issuance and sale, from time to time, under a sales agreement we entered into with Jefferies (the "2021 Open Market Sales Agreement"), pursuant to which we, from time to time, sold up to $150.0 million in shares of our common stock through Jefferies. Pursuant to the 2021 Open Market Sales Agreement, Jefferies, as our sales agent, received a commission of up to 3% of the gross sales price for shares of common stock sold under the 2021 Open Market Sales Agreement. During the three months ended March 31, 2023 we sold 15.5 million shares and received gross proceeds of $51.9 million at a weighted average sales price of approximately $3.35 per share under the 2021 Open Market Sales Agreement. As of March 31, 2023, we had sold a total of 95.2 million shares and received the maximum gross proceeds of $150.0 million under the 2021 Open Market Sales Agreement.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June 30, 2023, we initiated sales pursuant to the 2023 Open Market Sales Agreement resulting in the issuance of 3.0 million shares of our common stock and receipt of gross proceeds of $11.6 million at a weighted average sales price of approximately $3.83 per share.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2022, we entered into a loan and security agreement (“2022 Loan Agreement”) with SLR Investment Corp ("SLR"). The 2022 Loan Agreement was subsequently amended on August 1, 2022 and February 9, 2023. The 2022 Loan Agreement as amended provides for a senior secured term loan facility, with $27.5 million funded at closing and an additional $22.5 million that we may borrow on or prior to December 20, 2023; provided that (i) we have received approval by the FDA for our NDA for XPHOZAH by November 30, 2023 and (ii) we have achieved certain product revenue milestone targets described in the 2022 Loan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initial funding of $27.5 million was used to repay the 2018 Loan and is funding our ongoing operations. We had $25.0 million principal from the 2018 Loan outstanding as of the closing date, as well as the 2018 Exit Fee in the amount of $1.5 million. Notwithstanding the February 2022 prepayment of the 2018 Loan, our obligation to pay the 2018 Exit Fee will expire on May 16, 2028. As discussed in </w:t>
      </w:r>
      <w:r>
        <w:rPr>
          <w:rFonts w:ascii="Arial" w:cs="Arial" w:eastAsia="Arial" w:hAnsi="Arial"/>
          <w:sz w:val="18"/>
          <w:szCs w:val="18"/>
          <w:i w:val="1"/>
          <w:iCs w:val="1"/>
          <w:color w:val="auto"/>
        </w:rPr>
        <w:t>Note 9. Derivative Liabilities</w:t>
      </w:r>
      <w:r>
        <w:rPr>
          <w:rFonts w:ascii="Arial" w:cs="Arial" w:eastAsia="Arial" w:hAnsi="Arial"/>
          <w:sz w:val="18"/>
          <w:szCs w:val="18"/>
          <w:color w:val="auto"/>
        </w:rPr>
        <w:t>, in connection with entering into the 2022 Loan Agreement, we entered into the 2022 Exit Fee agreement, whereby we agreed to pay an exit fee in the amount of 2% of the 2022 Loan funded if certain conditions are met.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2022, we announced that our collaboration partner, Kyowa Kirin, submitted a New Drug Application to the Japanese Ministry of Health, Labour and Welfare for tenapanor for the improvement of hyperphosphatemia in adult patients with CKD on dialysis. In accordance with the terms of the 2022 Amendment, Kyowa Kirin paid an aggregate of $35.0 million to us in milestone payments and payments associated with the 2022 Amendment during the quarter ended December 31,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cash have been from the sale and issuance of common stock (in both public offerings and private placements), private placements of convertible preferred stock, funds from our collaboration partnerships, funds from our 2018 Loan Agreement and 2022 Loan Agreement, as well as from sales of IBSRELA.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we are successful in securing approval for our NDA for XPHOZAH, and the time and cost associated with securing such approval;</w:t>
      </w:r>
    </w:p>
    <w:p>
      <w:pPr>
        <w:spacing w:after="0" w:line="128"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if approved, XPHOZAH;</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or when XPHOZAH, if approved, along with other oral ESRD-related drugs without an injectable or intravenous equivalent, are bundled into the ESRD prospective payment system, and the manner in which such introduction into the ESRD prospective payment system may occur, including the length of any applicable TDAPA period and the amount of the add-on payment available during the TDAPA period;</w:t>
      </w:r>
    </w:p>
    <w:p>
      <w:pPr>
        <w:spacing w:after="0" w:line="57"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receipt, and amount of revenue, if any, that may be received from Kyowa Kirin in connection with the 2022 Kyowa Kirin Amendment;</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8"/>
              </w:rPr>
              <w:t>Change 2023 vs. 2022</w:t>
            </w:r>
          </w:p>
        </w:tc>
      </w:tr>
      <w:tr>
        <w:trPr>
          <w:trHeight w:val="223"/>
        </w:trPr>
        <w:tc>
          <w:tcPr>
            <w:tcW w:w="48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(59,532)</w:t>
            </w:r>
          </w:p>
        </w:tc>
        <w:tc>
          <w:tcPr>
            <w:tcW w:w="12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(58,901)</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(68,984)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17,806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62,434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22,075</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(66,082)</w:t>
            </w:r>
          </w:p>
        </w:tc>
        <w:tc>
          <w:tcPr>
            <w:tcW w:w="1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(19,020)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(47,062)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247 %</w:t>
            </w:r>
          </w:p>
        </w:tc>
      </w:tr>
      <w:tr>
        <w:trPr>
          <w:trHeight w:val="21"/>
        </w:trPr>
        <w:tc>
          <w:tcPr>
            <w:tcW w:w="4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44"/>
        </w:trPr>
        <w:tc>
          <w:tcPr>
            <w:tcW w:w="48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operating activities during the six months ended June 30, 2023 increased by $0.6 million as compared to the same periods in 2022 primarily as a result of our lower net loss and expenditures for commercial manufacturing and inventory for the production of IBSRELA.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provided by investing activities during the six months ended June 30, 2023 decreased by $86.8 million as compared to the same periods in 2022 due to increased investment purchases during 2023 as we invested higher levels of cash as compared to the same period in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six months ended June 30, 2023 increased by $40.4 million as compared to the same periods in 2022 primarily due to net proceeds from issuance of our common stock pursuant to the at the market offerings of $62.1 million during the six months ended June 30, 2023 compared to $18.5 million during the six months ended June 30, 2022. In addition, during the six months ended June 30, 2022 we expended net $6.1 million in conjunction with entering into the 2022 Loan and repaying the principal outstanding under the 2018 Loan and received net proceeds of $9.6 million from the sale of future royalties to HCR.</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2023, we had cash, cash equivalents and short-term investments of $127.6 million, which consist of bank deposits and money market funds, as well as high quality fixed income instruments including commercial paper and asset 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w:t>
      </w:r>
    </w:p>
    <w:p>
      <w:pPr>
        <w:jc w:val="both"/>
        <w:ind w:firstLine="8"/>
        <w:spacing w:after="0" w:line="273" w:lineRule="auto"/>
        <w:tabs>
          <w:tab w:leader="none" w:pos="287"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$0.1 million for the six months ended June 30, 2023. As of June 30, 2023, we had an aggregate principal amount of $27.5 million outstanding pursuant to our 2022 Loan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had no open forward foreign currency exchange contracts.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June 30, 2023.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June 30, 2023, our disclosure controls and procedures were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7"/>
          <w:szCs w:val="17"/>
          <w:i w:val="1"/>
          <w:iCs w:val="1"/>
          <w:color w:val="auto"/>
        </w:rPr>
        <w:t>Strezsak v. Ardelyx, Inc., et al.</w:t>
      </w:r>
      <w:r>
        <w:rPr>
          <w:rFonts w:ascii="Arial" w:cs="Arial" w:eastAsia="Arial" w:hAnsi="Arial"/>
          <w:sz w:val="17"/>
          <w:szCs w:val="17"/>
          <w:color w:val="auto"/>
        </w:rPr>
        <w:t xml:space="preserve">, Case No. 4:21-cv-05868-HSG, and Siegel </w:t>
      </w:r>
      <w:r>
        <w:rPr>
          <w:rFonts w:ascii="Arial" w:cs="Arial" w:eastAsia="Arial" w:hAnsi="Arial"/>
          <w:sz w:val="17"/>
          <w:szCs w:val="17"/>
          <w:i w:val="1"/>
          <w:iCs w:val="1"/>
          <w:color w:val="auto"/>
        </w:rPr>
        <w:t>v.</w:t>
      </w:r>
      <w:r>
        <w:rPr>
          <w:rFonts w:ascii="Arial" w:cs="Arial" w:eastAsia="Arial" w:hAnsi="Arial"/>
          <w:sz w:val="17"/>
          <w:szCs w:val="17"/>
          <w:color w:val="auto"/>
        </w:rPr>
        <w:t xml:space="preserve"> </w:t>
      </w:r>
      <w:r>
        <w:rPr>
          <w:rFonts w:ascii="Arial" w:cs="Arial" w:eastAsia="Arial" w:hAnsi="Arial"/>
          <w:sz w:val="17"/>
          <w:szCs w:val="17"/>
          <w:i w:val="1"/>
          <w:iCs w:val="1"/>
          <w:color w:val="auto"/>
        </w:rPr>
        <w:t>Ardelyx, Inc., et al.</w:t>
      </w:r>
      <w:r>
        <w:rPr>
          <w:rFonts w:ascii="Arial" w:cs="Arial" w:eastAsia="Arial" w:hAnsi="Arial"/>
          <w:sz w:val="17"/>
          <w:szCs w:val="17"/>
          <w:color w:val="auto"/>
        </w:rPr>
        <w:t>, Case No. 5:21-cv-06228-HSG (together, the “Securities Class Actions”). The complaints allege that the defendants violated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with a hearing on the motion to dismiss to be held on September 14, 2023. We believe the plaintiff’s claims are without merit and we have not recorded any accrual for a contingent liability associated with these legal proceedings.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have not recorded any accrual for a contingent liability associated with these 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June 30, 2023, there is no litigation pending that would reasonably be expected to have a material adverse effect on our results of operations and financial condition, and no contingent liabilities were accrued as of June 30, 2023.</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cash equivalents and short-term investments alone is not sufficient to meet our operating plans for the next twelve months, raising substantial doubt regarding our ability to continue as a going concern.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March 2022, we commenced the commercialization of our first product, IBSRELA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for the treatment of irritable bowel syndrome with constipation (“IBS-C”) in adult patients and have generated $45.3 million in net revenue from product sales through June 30, 2023.</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June 30, 2023, we had an accumulated deficit of $824.0 million.</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seek to gain approval for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(tenapanor) for the control of serum phosphorus in adult patients with chronic kidney disease (“CKD”) on dialysis who have had an inadequate response or intolerance to a phosphate binder therapy; prepare for, and commercialize XPHOZAH, if approved; and incur manufacturing and development costs for tenapanor.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Ernst &amp; Young LLP, our independent registered public accounting firm, included an explanatory paragraph in their opinion that accompanied our audited financial statements in our Annual Report on Form 10-K for the fiscal year ended December 31, 2022, filed on March 2, 2023, indicating our current liquidity position raises substantial doubt about our ability to continue as a going concern. We plan to address our operating cash flow requirements with our current cash, cash equivalents and short-term investments, cash generated from the sales of IBSRELA, and if approved, cash generated from the sales of XPHOZAH, our potential receipt of anticipated milestone payments from our collaboration partners, our potential receipt of anticipated payments from our collaboration partner, Kyowa Kirin, Co., Ltd. (“Kyowa Kirin”) in connection with the transaction entered into with Kyowa Kirin in April 2022 (“2022 Kyowa Kirin Amendment”) which amended our License Agreement entered into with Kyowa Kirin in 2017; with additional financing sources and through the implementation of cash preservation activities to reduce or defer discretionary spending.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will require additional financing for the foreseeable future as we invest in the commercialization of IBSRELA in the U.S, and prepare for and commercialize XPHOZAH in the U.S., if approved. The inability to access necessary capital when needed on acceptable terms, or at all, could force us to reduce our efforts to commercialize IBSRELA or limit the commercialization of XPHOZAH, if approved.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our inception, most of our resources have been dedicated to our research and development activities, including developing tenapanor. We believe that we will continue to expend substantial resources for the foreseeable future, including, costs associated with our efforts to commercialize IBSRELA; our efforts to pursue approval for our NDA for XPHOZAH; planning for, and if approved, commercializing XPHOZAH; conducting pediatric clinical trials for IBSRELA and XPHOZAH, if approved; and manufacturing for IBSRELA and, if approved XPHOZAH. Our future funding requirements will depend on many factors, including, but not limited to:</w:t>
      </w:r>
    </w:p>
    <w:p>
      <w:pPr>
        <w:spacing w:after="0" w:line="18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we are successful in securing approval for our NDA for XPHOZAH, and the time and cost associated with securing such approval;</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if approved, XPHOZAH;</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or when XPHOZAH, if approved, along with other oral ESRD-related drugs without an injectable or intravenous equivalent, are bundled into the ESRD prospective payment system, and the manner in which such introduction into the ESRD prospective payment system may occur, including the length of any applicable TDAPA period and the amount of the add-on payment available during the TDAPA period;</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receipt, and amount of revenue, if any, that may be received from Kyowa Kirin in connection with the 2022 Kyowa Kirin Amendment;</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2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limit or reduce our commercialization of IBSRELA, or limit the commercialization of XPHOZAH, if approved, or delay or limit additional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if approved, through the use of alternative structures.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began selling IBSRELA in the U.S. in March 2022, and have generated $45.3 million revenue from product sales to date. We have no other products approved for sale. On April 17, 2023, we resubmitted our NDA for XPHOZAH following the U.S. Food and Drug Administration’s (“FDA”) Center for Drug Evaluation and Research, Office of New Drugs (“OND”) decision to grant our appeal of the Complete Response Letter (“CRL”) for the NDA for XPHOZAH. On May 17, 2023, the FDA accepted the resubmission of the NDA for XPHOZAH. The FDA determined that the NDA is a class 2 review, which results in a six-month review period from the date of resubmission, and has set a user fee goal date of October 17, 2023.</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with the acceptance of the resubmission of the NDA, there can be no assurances that our NDA for XPHOZAH will be approved by the FDA. There can be no assurances that we will be successful in increasing the amount of product revenue from sales of IBSRELA. There can be no assurances that we will generate sufficient product revenue from sales of IBSRELA and, if approved, XPHOZAH, to cover our expenses. Our ability to generate product revenue from sales or pursuant to milestone or royalty payments depends heavily on many factors, including but not limited to:</w:t>
      </w:r>
    </w:p>
    <w:p>
      <w:pPr>
        <w:spacing w:after="0" w:line="19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ISBRELA and continue to increase market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sufficient market acceptance of IBSRELA as a viable treatment option for IBS-C;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we are successful in our efforts to secure regulatory approval for our NDA for XPHOZAH and the label for which approval is granted;</w:t>
      </w:r>
    </w:p>
    <w:p>
      <w:pPr>
        <w:spacing w:after="0" w:line="140" w:lineRule="exact"/>
        <w:rPr>
          <w:rFonts w:ascii="Arial" w:cs="Arial" w:eastAsia="Arial" w:hAnsi="Arial"/>
          <w:sz w:val="16"/>
          <w:szCs w:val="16"/>
          <w:color w:val="auto"/>
        </w:rPr>
      </w:pPr>
    </w:p>
    <w:p>
      <w:pPr>
        <w:ind w:left="660" w:right="14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or when XPHOZAH, along with other oral ESRD-related drugs without an injectable or intravenous equivalent, are bundled into the ESRD prospective payment system, and the manner in which such introduction into the ESRD prospective payment system may occur, including the length of any applicable TDAPA period and the amount of the add-on payment available during the TDAPA period;</w:t>
      </w:r>
    </w:p>
    <w:p>
      <w:pPr>
        <w:spacing w:after="0" w:line="57"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if approved, XPHOZAH;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our commercialization of IBSRELA, and if we are successful in obtaining regulatory approval to market XPHOZAH, our revenue will be dependent, in part, upon the size of the markets in the U.S. and the label for which approval was or is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if approved, will be marketed for the control of serum phosphorus in adult patients with CKD on dialysis who have had an inadequate response or intolerance to a phosphate binder therapy or for another other related indication. If we are successful in obtaining regulatory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approval to market XPHOZAH for such indication, our ability to generate and sustain future revenues from sales of XPHOZAH, will be significantly dependent upon whether and when XPHOZAH, along with other oral end stage renal disease (“ESRD”)-related drugs without an injectable or intravenous equivalent, are bundled into the ESRD prospective payment system, and the manner in which such introduction into the ESRD prospective payment system may occur. See “—</w:t>
      </w:r>
      <w:r>
        <w:rPr>
          <w:rFonts w:ascii="Arial" w:cs="Arial" w:eastAsia="Arial" w:hAnsi="Arial"/>
          <w:sz w:val="16"/>
          <w:szCs w:val="16"/>
          <w:i w:val="1"/>
          <w:iCs w:val="1"/>
          <w:color w:val="auto"/>
        </w:rPr>
        <w:t>Third-party payor coverage and reimbursement status of newly approved products are uncertain. Failure to obtain or maintain</w:t>
      </w:r>
      <w:r>
        <w:rPr>
          <w:rFonts w:ascii="Arial" w:cs="Arial" w:eastAsia="Arial" w:hAnsi="Arial"/>
          <w:sz w:val="16"/>
          <w:szCs w:val="16"/>
          <w:color w:val="auto"/>
        </w:rPr>
        <w:t xml:space="preserve"> </w:t>
      </w:r>
      <w:r>
        <w:rPr>
          <w:rFonts w:ascii="Arial" w:cs="Arial" w:eastAsia="Arial" w:hAnsi="Arial"/>
          <w:sz w:val="16"/>
          <w:szCs w:val="16"/>
          <w:i w:val="1"/>
          <w:iCs w:val="1"/>
          <w:color w:val="auto"/>
        </w:rPr>
        <w:t>adequate coverage and reimbursement for IBSRELA and, if approved, XPHOZAH could limit our ability to market those products and decrease our ability to generate revenue</w:t>
      </w:r>
      <w:r>
        <w:rPr>
          <w:rFonts w:ascii="Arial" w:cs="Arial" w:eastAsia="Arial" w:hAnsi="Arial"/>
          <w:sz w:val="16"/>
          <w:szCs w:val="16"/>
          <w:color w:val="auto"/>
        </w:rPr>
        <w:t>” and "—</w:t>
      </w:r>
      <w:r>
        <w:rPr>
          <w:rFonts w:ascii="Arial" w:cs="Arial" w:eastAsia="Arial" w:hAnsi="Arial"/>
          <w:sz w:val="16"/>
          <w:szCs w:val="16"/>
          <w:i w:val="1"/>
          <w:iCs w:val="1"/>
          <w:color w:val="auto"/>
        </w:rPr>
        <w:t>In the event no legislative or regulatory action is taken to further delay the inclusion of oral only ESRD related drugs in the ESRD prospective payment system (“ESRD PPS”), XPHOZAH, if approved, will become part of the ESRD PPS on January 1, 2025, and will no longer be separately paid for under Part D, and as a result the revenue that we may generate on sales of XPHOZAH will be negatively and materially impacted.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below. Additionally, if the number of adult patients for IBSRELA or, if approved XPHOZAH, is not as significant as we estimate, the indication approved by regulatory authorities for XPHOZAH is narrower than we expect, coverage and reimbursement for either IBSRELA or XPHOZAH, if approved, are not available in the manner and to the extent we expect, or the reasonably accepted population for treatment is narrowed by competition, physician choice or treatment guidelines, we may not generate significant revenue from the sale of IBSRELA or XPHOZAH, if approved.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successful commercialization of IBSRELA, and there is no guarantee that we will maintain sufficient market acceptance for IBSRELA, grow market share for ISBRELA, secure adequate coverage and reimbursement for IBSRELA, or generate sufficient revenue from product sales of IBSRELA.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selling IBSRELA in the U.S. in March 2022. The overall commercial success of IBSRELA will depend on a number of factors, including the following:</w:t>
      </w:r>
    </w:p>
    <w:p>
      <w:pPr>
        <w:spacing w:after="0" w:line="197" w:lineRule="exact"/>
        <w:rPr>
          <w:sz w:val="20"/>
          <w:szCs w:val="20"/>
          <w:color w:val="auto"/>
        </w:rPr>
      </w:pPr>
    </w:p>
    <w:p>
      <w:pPr>
        <w:ind w:left="660" w:right="5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IBSRELA;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increase the market share of ISBRELA;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sufficient third-party coverage or reimbursement, or achieve commercial success would adversely affect our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pursuing regulatory approval for XPHOZAH. There can be no assurances that we will be successful in obtaining such regulatory approval.</w:t>
      </w:r>
    </w:p>
    <w:p>
      <w:pPr>
        <w:spacing w:after="0" w:line="2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pursuing regulatory approval for XPHOZAH. To date, we have invested a significant amount of our efforts and financial resources in the research and development of XPHOZAH. On July 28, 2021, we received a CRL from the FDA’s Division of Cardiology and Nephrology (the “Division”) regarding our NDA for XPHOZAH. According to the CRL, the Division determined that the magnitude of the treatment effect observed in our Phase 3 clinical trials was small and of unclear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in the control of serum phosphorus in adult patients with CKD on dialysis. On February 4, 2022, we received an Appeal Denied Letter ("ADL") from the Office of Cardiology, Hematology, Endocrinology and Nephrology (“OCHEN”). On February 18, 2022, we submitted an appeal of the ADL to the OND. In April 2022, we received an interim response from the OND requesting additional input from the Cardiovascular and Renal Drug Advisory Committee (“CRDAC”). A CRDAC meeting was held in November 2022 with the Committee voting that the benefits of XPHOZAH outweigh its risks nine to four as a monotherapy and ten to two, with one abstention, in combination with phosphate binder therapy. In December 2022, the OND granted our appeal of the CRL for the NDA for XPHOZAH and directed the Division to work with us to develop an appropriate label for the commercialization of XPHOZAH. We resubmitted the NDA for XPHOZAH on April 17, 2023. We received notification from the Division accepting the resubmission of the NDA for XPHOZAH on May 17, 2023. The FDA has determined that the NDA is a class 2 review, which results in a six-month review period from the date of resubmission. The FDA has set a user fee goal date of October 17, 2023. We expect that, if approved, we will launch XPHOZAH in the fourth quarter of 2023, as soon as possible following an approval from the FDA. There can be no assurances that the acceptance of the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2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we are successful in obtaining regulatory approval for XPHOZAH, there is no guarantee that we will achieve sufficient market acceptance for XPHOZAH, secure adequate coverage and reimbursement for XPHOZAH or generate sufficient revenue from product sales of XPHOZAH.</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successful in obtaining FDA approval for XPHOZAH, and if we are able to obtain approval, there is no guarantee that we will achieve sufficient market acceptance for XPHOZAH, secure adequate coverage and reimbursement for XPHOZAH or generate sufficient revenue from product sales of XPHOZAH</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If we are successful in obtaining approval for XPHOZAH, the commercial success of XPHOZAH will depend on a number of factors, including the following:</w:t>
      </w:r>
    </w:p>
    <w:p>
      <w:pPr>
        <w:spacing w:after="0" w:line="214" w:lineRule="exact"/>
        <w:rPr>
          <w:sz w:val="20"/>
          <w:szCs w:val="20"/>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or when XPHOZAH, along with other oral ESRD-related drugs without an injectable or intravenous equivalent, are bundled into the ESRD prospective payment system, and the manner in which such introduction into the ESRD prospective payment system may occur, including the length of any applicable TDAPA period and the amount of the add-on payment available during the TDAPA period;</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 and, the extent to which the issuance of a CRL by the FDA has impacted the potential acceptance of XPHOZAH as safe, effective and well-tolerated;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36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In the event no legislative or regulatory action is taken to further delay the inclusion of oral only ESRD related drugs in the ESRD prospective payment system (“ESRD PPS”), XPHOZAH, if approved, will become part of the ESRD PPS on January 1, 2025, and will no longer be separately paid for under Part D, and as a result the revenue that we may generate on sales of XPHOZAH will be negatively and materially impacted.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Absent further legislation or regulation on this matter, beginning in January 2025, oral ESRD-related drugs without injectable or intravenous equivalents, including XPHOZAH, if approved, and all other phosphate lowering medications, will be included in the ESRD bundle and separate Medicare payment for these drugs will no longer be available, as is the case today under Medicare Part D. ESRD facilities may nonetheless receive a TDAPA for new renal dialysis drugs and biological products that meet certain criteria for a period of two years. The TDAPA payment is based on 100 percent of average sales price (“ASP”). If ASP is not available, then the TDAPA is based on 100 percent of wholesale acquisition cost (“WAC”). If WAC is unavailable, then the payment is based on the drug manufacturer’s invoice. There can be no assurances that CMS will determine that XPHOZAH, if approved, will qualify for TDAPA status. Even if deemed eligible by CMS, revenue for sales of XPHOZAH could be significantly less in the TDAPA period than it would be if XPHOZAH is not bundled into the ESRD prospective payment system. Moreover, in the post-TPDAPA period, CMS currently expects to increase the single bundled payment paid to the dialysis facility for each dialysis treatment to reflect that oral only phosphate lowering drugs will be reimbursed as part of the single bundled payment for Medicare patients. The inclusion of XPHOZAH in the ESRD PPS would affect our ability to optimize the commercialization of XPHOZAH and could materially impact our profitability, results of operations, financial condition, and prospects.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and commercialized, XPHOZAH, may cause undesirable side effects or have other properties that could limit the commercial success of the product.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Undesirable side effects caused by IBSRELA and/or, if approved, XPHOZAH could cause us or regulatory authorities to interrupt, delay or halt the commercialization of the product. Despite our receipt of marketing approval for IBSRELA and the completion of our Phase 3 clinical program for XPHOZAH, the prevalence and/or severity of side effects caused by IBSRELA and/or, if approved and commercialized, XPHOZAH could result in a number of potentially significant negative consequences could occur, including:</w:t>
      </w:r>
    </w:p>
    <w:p>
      <w:pPr>
        <w:spacing w:after="0" w:line="2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11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pricing, coverage and reimbursement of IBSRELA and XPHOZAH, if approved,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if approved. Even if coverage is provided, the approved reimbursement amount may not be high enough to allow us to establish or maintain pricing sufficient to realize a return on our investment.</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U.S., the principal decisions about coverage and reimbursement for new drugs are typically made by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 Additionally, absent legislative or regulatory action, XPHOZAH, along with other oral ESRD related drugs without injectable or intravenous equivalents, will be included in the ESRD PPS beginning on January 1, 2025 at which time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if approved, to dialysis providers on a profitable basis. See “—</w:t>
      </w:r>
      <w:r>
        <w:rPr>
          <w:rFonts w:ascii="Arial" w:cs="Arial" w:eastAsia="Arial" w:hAnsi="Arial"/>
          <w:sz w:val="17"/>
          <w:szCs w:val="17"/>
          <w:i w:val="1"/>
          <w:iCs w:val="1"/>
          <w:color w:val="auto"/>
        </w:rPr>
        <w:t>In the event no legislative or</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action is taken to further delay the inclusion of oral only ESRD related drugs in the ESRD prospective payment system (“ESRD PPS”), XPHOZAH, if approved, will become part of the ESRD PPS on January 1, 2025, and will no longer be separately paid for under Part D, and as a result the revenue that we may generate on sales of XPHOZAH will be negatively and materially impacted.</w:t>
      </w:r>
      <w:r>
        <w:rPr>
          <w:rFonts w:ascii="Arial" w:cs="Arial" w:eastAsia="Arial" w:hAnsi="Arial"/>
          <w:sz w:val="17"/>
          <w:szCs w:val="17"/>
          <w:color w:val="auto"/>
        </w:rPr>
        <w:t>” above for a more detailed discussion related to the risks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occur if XPHOZAH is brought into the bundle.</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if approved and commercialized,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development efforts for tenapanor may be materially harmed.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IBSRELA or XPHOZAH on a commercial scale, or to manufacture our drug supplies for use in the conduct of our nonclinical and clinical studies. The facilities used by our contract manufacturing organizations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2022, we entered into a loan and security agreement with SLR Investment Corp. (“Lender”) pursuant to which the Lender agreed to provide us with a loan facility for up to $50.0 million with a maturity date of March 1, 2027, and on August 1, 2022 and February 9, 2023, we entered into amendments to the loan and security agreement (collectively, the “2022 Loan Agreement.”). The loan was funded in the amount of $27.5 million on February 23, 2022 and the remaining $22.5 million may be funded by December 20, 2023 upon the satisfaction of both (i) receipt from the FDA of approval of the NDA for XPHOZAH on or prior to November 30, 2023 and (ii) our achievement of certain product revenue milestone targets described in the 2022 Loan Agreement.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permitted to make interest only payments on the loan facility through March 2024, with principal repayments commencing on April 1, 2024, however, this interest only period will be extended to March 2025 with principal repayments delayed to April 1, 2025 if (i) we secure approval from the FDA for our NDA for XPHOZAH by November 30, 2023 or (ii) we achieve certain product revenue targets described in the 2022 Loan Agreement for the year ended December 31, 2023. In addition,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if approved,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we conduct additional clinical trials with RDX013 or any other product candidates,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XPHOZAH, if approved, will compete with phosphate binders.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lanthanum dioxycarbonate (Renazorb), which has demonstrated pharmacodynamic bioequivalence to Fosrenol. Renazorb is being developed by Unicycive Therapeutics, which has announced its plans to file an NDA via the 505(b)(2) pathway in mid-2023. Additionally, Chugai and Alebund are developing EOS789, an inhibitor of phosphate transporters NaPi-2b, PiT-1, and PiT-2, thus far studied in a phase 1 clinical trial.</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if approved, XPHOZAH.</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our commercial launch of IBSRELA and will face further risk following the commercial launch of XPHOZAH, if approved, in the fourth quarter of 2023.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or co-promote IBSRELA and/or, if approved, XPHOZAH.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Connecticut, Utah and Colorado,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As we continue to expand into other foreign countries and jurisdictions, we may be subject to additional laws and regulations that may affect how we conduct business.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Arial" w:cs="Arial" w:eastAsia="Arial" w:hAnsi="Arial"/>
          <w:sz w:val="16"/>
          <w:szCs w:val="16"/>
          <w:i w:val="1"/>
          <w:iCs w:val="1"/>
          <w:color w:val="auto"/>
        </w:rPr>
        <w:t>e.g.,</w:t>
      </w:r>
      <w:r>
        <w:rPr>
          <w:rFonts w:ascii="Arial" w:cs="Arial" w:eastAsia="Arial" w:hAnsi="Arial"/>
          <w:sz w:val="16"/>
          <w:szCs w:val="16"/>
          <w:color w:val="auto"/>
        </w:rPr>
        <w:t xml:space="preserve">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received a CRL from the FDA regarding our NDA for XPHOZAH. Following the OND’s decision to grant our appeal of the CRL, we resubmitted our NDA for XPHOZAH in mid-April 2023. On May 17, 2023, the FDA accepted the resubmission of the NDA for XPHOZAH. The FDA determined that the NDA is a class 2 review, which results in a six-month review period from the date of resubmission, and has set a user fee goal date of October 17, 2023.</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assurances that the acceptance of the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if approved,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08"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CMOs manufacture tenapanor API outside of the U.S., and we may seek and obtain approval to commercialize IBSRELA and XPHOZAH outside of the U.S., and as a result a variety of risks associated with international operations could materially adversely affect our business.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collaboration partners may decide to seek marketing approval for IBSRELA or XPHOZAH outside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U.S. and foreign drug import and export rules;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wholistic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or untitled letters or fines;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our or our CMOs’ operations;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U.S. or abroad.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XPHOZAH may cause or contribute to adverse medical events that we are required to report to regulatory agencies and if we fail to do so we could be subject to sanctions that would materially harm our business.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CMOs and vendors may engage in misconduct or other improper activities, including noncompliance with regulatory standards and requirements.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11" w:lineRule="exact"/>
        <w:rPr>
          <w:sz w:val="20"/>
          <w:szCs w:val="20"/>
          <w:color w:val="auto"/>
        </w:rPr>
      </w:pPr>
    </w:p>
    <w:p>
      <w:pPr>
        <w:jc w:val="both"/>
        <w:ind w:left="66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7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75"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5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21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19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19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7"/>
          <w:szCs w:val="17"/>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approved and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08" w:lineRule="exact"/>
        <w:rPr>
          <w:sz w:val="20"/>
          <w:szCs w:val="20"/>
          <w:color w:val="auto"/>
        </w:rPr>
      </w:pPr>
    </w:p>
    <w:p>
      <w:pPr>
        <w:jc w:val="both"/>
        <w:ind w:firstLine="504"/>
        <w:spacing w:after="0" w:line="288"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approved and launched, XPHOZAH. We cannot offer any assurances that our submissions will not be found to be incomplete or incorrect.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Others will not develop, manufacture and/or commercialize similar or alternative products or technologies that do not infringe our patents;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3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intellectual property related to IBSRELA, XPHOZAH, RDX013 or any future product candidates is not adequate or if we are not able to successfully enforce our intellectual property rights, the commercial value of IBSRELA, if approved, XPHOZAH, or other product candidates may be adversely affected and we may not be able to compete effectively in our market.</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2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the composition and use of IBSRELA are currently claimed by four (4) issued patents that are listed in the FDA’s Orange Book, we cannot assure that we will be successful in defending against third parties asserting that any of our patents are invalid or otherwise unenforceable or not infringed by the third parties’ products, or in competing against third parties seeking to introduce generic equivalents of IBSRELA or any of our future products.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U.S., the Hatch-Waxman Act provides non-patent regulatory exclusivity for five years from the date of the first FDA approval of a new chemical entity (“NCE”) in a NDA. The FDA is prohibited during those five years from approving an Abbreviated New Drug Application (“ANDA”) that references the NDA that has been granted NCE exclusivity. However, if a patent is included in the FDA Orange Book, a generic manufacturer may file an ANDA that references a NDA product with granted NCE exclusivity after four years from the NDA approval date accompanied by a Paragraph IV certification asserting that the Orange Book patents are invalid or unenforceable, or that the generic product does not infringe the Orange Book patents. The Hatch-Waxman Act does not prevent the filing or approval of another full NDA where the NDA applicant has conducted its own pre-clinical and adequate and well-controlled clinical trials to independently demonstrate safety and effectiveness.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cases where NCE exclusivity has been granted for an NDA, as in the case of IBSRELA, if an ANDA sponsor has provided a Paragraph IV certification to the FDA when filing an ANDA, the ANDA sponsor must also send a notice to the NCE NDA owner. The NCE NDA owner may then initiate a patent infringement lawsuit in response to the Paragraph IV certification. The filing of patent infringement lawsuit within 45 days after the NCE NDA owner’s receipt of a notice of the Paragraph IV certification automatically prevents the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when permitted, or that we will be successful in enforcing our Orange Book listed patents against such ANDA sponsor.</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Although we have obtained patent term extension in the U.S. under the Hatch-Waxman Act, extending the term of marketing exclusivity for tenapanor, if we do not obtain patent term extension in foreign countries under similar legislation, our business may be materially harmed.</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approval by the FDA for our NDA to market tenapanor for IBS-C, we obtained patent term restoration under the Hatch-Waxman Act until August 1, 2033 for U.S. patent no. 8,541,448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we may not be granted patent term extension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unable to obtain patent term extension or restoration in any particular foreign country, or the term of any such extension is less than we request, the period during which we will have the right to exclusively market our product in such foreign country will be shortened and our competitors may obtain approval of competing products following our patent expiration, and our revenue could be reduced, possibly materially.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Europe’s planned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continue to be volatile and our stockholders may not be able to resell shares of our common stock at or above the price they paid.</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regulatory decisions regarding our NDA seeking marketing approval for XPHOZAH;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 launch of XPHOZAH, if approved;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CMOs, or specific label restrictions or patient populations for XPHOZAH’s use, if approved, or changes or delays in the regulatory review process;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regarding whether XPHOZAH, if approved, alone or with other oral only medications, will be included in the ESRD prospective payment system, and the time and manner in which such transition is achieved;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commercialization of IBSRELA, the commercial launch of XPHOZAH, if approved, or the clinical development and commercialization of any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generally require, among other things, our management to report on the effectiveness of our internal control over financial reporting, subject to certain exceptions applicable to non-accelerated filers. Our compliance with Section 404 requires that we incur substantial expense and expend significant management efforts.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11"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97" w:lineRule="exact"/>
        <w:rPr>
          <w:sz w:val="20"/>
          <w:szCs w:val="20"/>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June 30, 2023, our Section 16 officers and directors adopted or terminated contracts, instructions or written plans for the purchase or sale of our securities as noted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412"/>
        </w:trPr>
        <w:tc>
          <w:tcPr>
            <w:tcW w:w="800" w:type="dxa"/>
            <w:vAlign w:val="bottom"/>
            <w:tcBorders>
              <w:top w:val="single" w:sz="8" w:color="auto"/>
              <w:lef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10"/>
          </w:tcPr>
          <w:p>
            <w:pPr>
              <w:ind w:left="180"/>
              <w:spacing w:after="0"/>
              <w:rPr>
                <w:sz w:val="20"/>
                <w:szCs w:val="20"/>
                <w:color w:val="auto"/>
              </w:rPr>
            </w:pPr>
            <w:r>
              <w:rPr>
                <w:rFonts w:ascii="Arial" w:cs="Arial" w:eastAsia="Arial" w:hAnsi="Arial"/>
                <w:sz w:val="18"/>
                <w:szCs w:val="18"/>
                <w:b w:val="1"/>
                <w:bCs w:val="1"/>
                <w:color w:val="auto"/>
              </w:rPr>
              <w:t>Trading Arrangement</w:t>
            </w: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8"/>
                <w:szCs w:val="18"/>
                <w:b w:val="1"/>
                <w:bCs w:val="1"/>
                <w:color w:val="auto"/>
              </w:rPr>
              <w:t>Action</w:t>
            </w:r>
          </w:p>
        </w:tc>
        <w:tc>
          <w:tcPr>
            <w:tcW w:w="320" w:type="dxa"/>
            <w:vAlign w:val="bottom"/>
          </w:tcPr>
          <w:p>
            <w:pPr>
              <w:spacing w:after="0"/>
              <w:rPr>
                <w:sz w:val="15"/>
                <w:szCs w:val="15"/>
                <w:color w:val="auto"/>
              </w:rPr>
            </w:pPr>
          </w:p>
        </w:tc>
        <w:tc>
          <w:tcPr>
            <w:tcW w:w="11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Date</w:t>
            </w:r>
          </w:p>
        </w:tc>
        <w:tc>
          <w:tcPr>
            <w:tcW w:w="1040" w:type="dxa"/>
            <w:vAlign w:val="bottom"/>
            <w:tcBorders>
              <w:right w:val="single" w:sz="8" w:color="auto"/>
            </w:tcBorders>
            <w:gridSpan w:val="3"/>
          </w:tcPr>
          <w:p>
            <w:pPr>
              <w:jc w:val="center"/>
              <w:ind w:right="40"/>
              <w:spacing w:after="0" w:line="176" w:lineRule="exact"/>
              <w:rPr>
                <w:sz w:val="20"/>
                <w:szCs w:val="20"/>
                <w:color w:val="auto"/>
              </w:rPr>
            </w:pPr>
            <w:r>
              <w:rPr>
                <w:rFonts w:ascii="Arial" w:cs="Arial" w:eastAsia="Arial" w:hAnsi="Arial"/>
                <w:sz w:val="18"/>
                <w:szCs w:val="18"/>
                <w:b w:val="1"/>
                <w:bCs w:val="1"/>
                <w:color w:val="auto"/>
                <w:w w:val="92"/>
              </w:rPr>
              <w:t>Rule 10b5-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right w:val="single" w:sz="8" w:color="auto"/>
            </w:tcBorders>
            <w:gridSpan w:val="5"/>
          </w:tcPr>
          <w:p>
            <w:pPr>
              <w:ind w:left="20"/>
              <w:spacing w:after="0" w:line="176" w:lineRule="exact"/>
              <w:rPr>
                <w:sz w:val="20"/>
                <w:szCs w:val="20"/>
                <w:color w:val="auto"/>
              </w:rPr>
            </w:pPr>
            <w:r>
              <w:rPr>
                <w:rFonts w:ascii="Arial" w:cs="Arial" w:eastAsia="Arial" w:hAnsi="Arial"/>
                <w:sz w:val="18"/>
                <w:szCs w:val="18"/>
                <w:b w:val="1"/>
                <w:bCs w:val="1"/>
                <w:color w:val="auto"/>
              </w:rPr>
              <w:t>Non-Rule</w:t>
            </w:r>
          </w:p>
        </w:tc>
        <w:tc>
          <w:tcPr>
            <w:tcW w:w="2220" w:type="dxa"/>
            <w:vAlign w:val="bottom"/>
            <w:tcBorders>
              <w:right w:val="single" w:sz="8" w:color="auto"/>
            </w:tcBorders>
            <w:gridSpan w:val="5"/>
            <w:vMerge w:val="restart"/>
          </w:tcPr>
          <w:p>
            <w:pPr>
              <w:jc w:val="right"/>
              <w:ind w:right="240"/>
              <w:spacing w:after="0"/>
              <w:rPr>
                <w:sz w:val="20"/>
                <w:szCs w:val="20"/>
                <w:color w:val="auto"/>
              </w:rPr>
            </w:pPr>
            <w:r>
              <w:rPr>
                <w:rFonts w:ascii="Arial" w:cs="Arial" w:eastAsia="Arial" w:hAnsi="Arial"/>
                <w:sz w:val="18"/>
                <w:szCs w:val="18"/>
                <w:b w:val="1"/>
                <w:bCs w:val="1"/>
                <w:color w:val="auto"/>
                <w:w w:val="97"/>
              </w:rPr>
              <w:t>Total Shares to be Sold</w:t>
            </w:r>
          </w:p>
        </w:tc>
        <w:tc>
          <w:tcPr>
            <w:tcW w:w="18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b w:val="1"/>
                <w:bCs w:val="1"/>
                <w:color w:val="auto"/>
              </w:rPr>
              <w:t>Expiration Date</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10b5-1**</w:t>
            </w:r>
          </w:p>
        </w:tc>
        <w:tc>
          <w:tcPr>
            <w:tcW w:w="2220" w:type="dxa"/>
            <w:vAlign w:val="bottom"/>
            <w:tcBorders>
              <w:bottom w:val="single" w:sz="8" w:color="auto"/>
              <w:right w:val="single" w:sz="8" w:color="auto"/>
            </w:tcBorders>
            <w:gridSpan w:val="5"/>
            <w:vMerge w:val="continue"/>
          </w:tcPr>
          <w:p>
            <w:pPr>
              <w:spacing w:after="0"/>
              <w:rPr>
                <w:sz w:val="19"/>
                <w:szCs w:val="19"/>
                <w:color w:val="auto"/>
              </w:rPr>
            </w:pPr>
          </w:p>
        </w:tc>
        <w:tc>
          <w:tcPr>
            <w:tcW w:w="1820" w:type="dxa"/>
            <w:vAlign w:val="bottom"/>
            <w:tcBorders>
              <w:bottom w:val="single" w:sz="8" w:color="auto"/>
              <w:right w:val="single" w:sz="8" w:color="auto"/>
            </w:tcBorders>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60" w:type="dxa"/>
            <w:vAlign w:val="bottom"/>
            <w:tcBorders>
              <w:left w:val="single" w:sz="8" w:color="auto"/>
              <w:right w:val="single" w:sz="8" w:color="auto"/>
            </w:tcBorders>
            <w:gridSpan w:val="4"/>
          </w:tcPr>
          <w:p>
            <w:pPr>
              <w:ind w:left="40"/>
              <w:spacing w:after="0" w:line="182" w:lineRule="exact"/>
              <w:rPr>
                <w:sz w:val="20"/>
                <w:szCs w:val="20"/>
                <w:color w:val="auto"/>
              </w:rPr>
            </w:pPr>
            <w:r>
              <w:rPr>
                <w:rFonts w:ascii="Arial" w:cs="Arial" w:eastAsia="Arial" w:hAnsi="Arial"/>
                <w:sz w:val="18"/>
                <w:szCs w:val="18"/>
                <w:color w:val="auto"/>
              </w:rPr>
              <w:t>David Rosenbaum, Chief</w:t>
            </w:r>
          </w:p>
        </w:tc>
        <w:tc>
          <w:tcPr>
            <w:tcW w:w="8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Development Officer</w:t>
            </w:r>
          </w:p>
        </w:tc>
        <w:tc>
          <w:tcPr>
            <w:tcW w:w="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Adoption</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88"/>
              </w:rPr>
              <w:t>June 9, 2023</w:t>
            </w:r>
          </w:p>
        </w:tc>
        <w:tc>
          <w:tcPr>
            <w:tcW w:w="10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X</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95,832</w:t>
            </w:r>
          </w:p>
        </w:tc>
        <w:tc>
          <w:tcPr>
            <w:tcW w:w="1820" w:type="dxa"/>
            <w:vAlign w:val="bottom"/>
            <w:tcBorders>
              <w:bottom w:val="single" w:sz="8" w:color="auto"/>
              <w:right w:val="single" w:sz="8" w:color="auto"/>
            </w:tcBorders>
            <w:gridSpan w:val="3"/>
          </w:tcPr>
          <w:p>
            <w:pPr>
              <w:ind w:left="640"/>
              <w:spacing w:after="0"/>
              <w:rPr>
                <w:sz w:val="20"/>
                <w:szCs w:val="20"/>
                <w:color w:val="auto"/>
              </w:rPr>
            </w:pPr>
            <w:r>
              <w:rPr>
                <w:rFonts w:ascii="Arial" w:cs="Arial" w:eastAsia="Arial" w:hAnsi="Arial"/>
                <w:sz w:val="18"/>
                <w:szCs w:val="18"/>
                <w:color w:val="auto"/>
                <w:w w:val="91"/>
              </w:rPr>
              <w:t>March 15, 2024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left w:val="single" w:sz="8" w:color="auto"/>
              <w:bottom w:val="single" w:sz="8" w:color="auto"/>
            </w:tcBorders>
            <w:gridSpan w:val="8"/>
          </w:tcPr>
          <w:p>
            <w:pPr>
              <w:ind w:left="40"/>
              <w:spacing w:after="0"/>
              <w:rPr>
                <w:sz w:val="20"/>
                <w:szCs w:val="20"/>
                <w:color w:val="auto"/>
              </w:rPr>
            </w:pPr>
            <w:r>
              <w:rPr>
                <w:rFonts w:ascii="Arial" w:cs="Arial" w:eastAsia="Arial" w:hAnsi="Arial"/>
                <w:sz w:val="18"/>
                <w:szCs w:val="18"/>
                <w:color w:val="auto"/>
                <w:w w:val="96"/>
              </w:rPr>
              <w:t>*Intended to satisfy the affirmative defense of Rule 10b5-1(c)</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left w:val="single" w:sz="8" w:color="auto"/>
              <w:bottom w:val="single" w:sz="8" w:color="auto"/>
            </w:tcBorders>
            <w:gridSpan w:val="13"/>
          </w:tcPr>
          <w:p>
            <w:pPr>
              <w:ind w:left="40"/>
              <w:spacing w:after="0"/>
              <w:rPr>
                <w:sz w:val="20"/>
                <w:szCs w:val="20"/>
                <w:color w:val="auto"/>
              </w:rPr>
            </w:pPr>
            <w:r>
              <w:rPr>
                <w:rFonts w:ascii="Arial" w:cs="Arial" w:eastAsia="Arial" w:hAnsi="Arial"/>
                <w:sz w:val="18"/>
                <w:szCs w:val="18"/>
                <w:color w:val="auto"/>
              </w:rPr>
              <w:t>** Not intended to satisfy the affirmative defense of Rule 10b5-1(c)</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4"/>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0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1"/>
                <w:szCs w:val="11"/>
                <w:color w:val="auto"/>
              </w:rPr>
            </w:pPr>
          </w:p>
        </w:tc>
        <w:tc>
          <w:tcPr>
            <w:tcW w:w="10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Certificate of Amendment to Amended and Restated Certificate of</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center"/>
              <w:ind w:right="156"/>
              <w:spacing w:after="0"/>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6/20/2023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7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Incorporation of Ardelyx, Inc.</w:t>
              </w:r>
            </w:hyperlink>
          </w:p>
        </w:tc>
        <w:tc>
          <w:tcPr>
            <w:tcW w:w="1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15"/>
          </w:tcPr>
          <w:p>
            <w:pPr>
              <w:spacing w:after="0"/>
              <w:rPr>
                <w:sz w:val="20"/>
                <w:szCs w:val="20"/>
                <w:color w:val="auto"/>
              </w:rPr>
            </w:pPr>
            <w:r>
              <w:rPr>
                <w:rFonts w:ascii="Arial" w:cs="Arial" w:eastAsia="Arial" w:hAnsi="Arial"/>
                <w:sz w:val="18"/>
                <w:szCs w:val="18"/>
                <w:color w:val="0000FF"/>
              </w:rPr>
              <w:t>Certification of Chief Executive Officer Pursuant to Section 302 of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2"/>
              </w:rPr>
              <w:t>Sarbanes-Oxley Act of 2002.</w:t>
            </w:r>
          </w:p>
        </w:tc>
        <w:tc>
          <w:tcPr>
            <w:tcW w:w="480" w:type="dxa"/>
            <w:vAlign w:val="bottom"/>
            <w:tcBorders>
              <w:top w:val="single" w:sz="8" w:color="0000FF"/>
            </w:tcBorders>
            <w:gridSpan w:val="2"/>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15"/>
          </w:tcPr>
          <w:p>
            <w:pPr>
              <w:spacing w:after="0"/>
              <w:rPr>
                <w:sz w:val="20"/>
                <w:szCs w:val="20"/>
                <w:color w:val="auto"/>
              </w:rPr>
            </w:pPr>
            <w:r>
              <w:rPr>
                <w:rFonts w:ascii="Arial" w:cs="Arial" w:eastAsia="Arial" w:hAnsi="Arial"/>
                <w:sz w:val="18"/>
                <w:szCs w:val="18"/>
                <w:color w:val="0000FF"/>
              </w:rPr>
              <w:t>Certification of Chief Financial Officer Pursuant to Section 302 of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2"/>
              </w:rPr>
              <w:t>Sarbanes-Oxley Act of 2002.</w:t>
            </w:r>
          </w:p>
        </w:tc>
        <w:tc>
          <w:tcPr>
            <w:tcW w:w="480" w:type="dxa"/>
            <w:vAlign w:val="bottom"/>
            <w:tcBorders>
              <w:top w:val="single" w:sz="8" w:color="0000FF"/>
            </w:tcBorders>
            <w:gridSpan w:val="2"/>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0000FF"/>
                <w:w w:val="95"/>
              </w:rPr>
              <w:t>Certification of Chief Executive Officer and Chief Financial Officer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15"/>
          </w:tcPr>
          <w:p>
            <w:pPr>
              <w:spacing w:after="0"/>
              <w:rPr>
                <w:sz w:val="20"/>
                <w:szCs w:val="20"/>
                <w:color w:val="auto"/>
              </w:rPr>
            </w:pPr>
            <w:r>
              <w:rPr>
                <w:rFonts w:ascii="Arial" w:cs="Arial" w:eastAsia="Arial" w:hAnsi="Arial"/>
                <w:sz w:val="18"/>
                <w:szCs w:val="18"/>
                <w:color w:val="auto"/>
                <w:w w:val="99"/>
              </w:rPr>
              <w:t>The following financial statements, formatted in Inline Extensible Business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gridSpan w:val="15"/>
          </w:tcPr>
          <w:p>
            <w:pPr>
              <w:spacing w:after="0" w:line="189" w:lineRule="exact"/>
              <w:rPr>
                <w:sz w:val="20"/>
                <w:szCs w:val="20"/>
                <w:color w:val="auto"/>
              </w:rPr>
            </w:pPr>
            <w:r>
              <w:rPr>
                <w:rFonts w:ascii="Arial" w:cs="Arial" w:eastAsia="Arial" w:hAnsi="Arial"/>
                <w:sz w:val="18"/>
                <w:szCs w:val="18"/>
                <w:color w:val="auto"/>
                <w:w w:val="97"/>
              </w:rPr>
              <w:t>Reporting Language (XBRL): (i) Condensed Balance Sheets as of June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gridSpan w:val="15"/>
          </w:tcPr>
          <w:p>
            <w:pPr>
              <w:spacing w:after="0" w:line="176" w:lineRule="exact"/>
              <w:rPr>
                <w:sz w:val="20"/>
                <w:szCs w:val="20"/>
                <w:color w:val="auto"/>
              </w:rPr>
            </w:pPr>
            <w:r>
              <w:rPr>
                <w:rFonts w:ascii="Arial" w:cs="Arial" w:eastAsia="Arial" w:hAnsi="Arial"/>
                <w:sz w:val="18"/>
                <w:szCs w:val="18"/>
                <w:color w:val="auto"/>
                <w:w w:val="96"/>
              </w:rPr>
              <w:t>2023 and December 31, 2022, (ii) Condensed Statements of Operations and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gridSpan w:val="15"/>
          </w:tcPr>
          <w:p>
            <w:pPr>
              <w:spacing w:after="0" w:line="176" w:lineRule="exact"/>
              <w:rPr>
                <w:sz w:val="20"/>
                <w:szCs w:val="20"/>
                <w:color w:val="auto"/>
              </w:rPr>
            </w:pPr>
            <w:r>
              <w:rPr>
                <w:rFonts w:ascii="Arial" w:cs="Arial" w:eastAsia="Arial" w:hAnsi="Arial"/>
                <w:sz w:val="18"/>
                <w:szCs w:val="18"/>
                <w:color w:val="auto"/>
                <w:w w:val="96"/>
              </w:rPr>
              <w:t>Comprehensive Loss for the three and six months ended June 30, 2023 and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0"/>
          </w:tcPr>
          <w:p>
            <w:pPr>
              <w:spacing w:after="0" w:line="189" w:lineRule="exact"/>
              <w:rPr>
                <w:sz w:val="20"/>
                <w:szCs w:val="20"/>
                <w:color w:val="auto"/>
              </w:rPr>
            </w:pPr>
            <w:r>
              <w:rPr>
                <w:rFonts w:ascii="Arial" w:cs="Arial" w:eastAsia="Arial" w:hAnsi="Arial"/>
                <w:sz w:val="18"/>
                <w:szCs w:val="18"/>
                <w:color w:val="auto"/>
                <w:w w:val="90"/>
              </w:rPr>
              <w:t>2022, (iii) Condensed Statements of Cash Flows for the three and six</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0"/>
          </w:tcPr>
          <w:p>
            <w:pPr>
              <w:spacing w:after="0" w:line="176" w:lineRule="exact"/>
              <w:rPr>
                <w:sz w:val="20"/>
                <w:szCs w:val="20"/>
                <w:color w:val="auto"/>
              </w:rPr>
            </w:pPr>
            <w:r>
              <w:rPr>
                <w:rFonts w:ascii="Arial" w:cs="Arial" w:eastAsia="Arial" w:hAnsi="Arial"/>
                <w:sz w:val="18"/>
                <w:szCs w:val="18"/>
                <w:color w:val="auto"/>
                <w:w w:val="91"/>
              </w:rPr>
              <w:t>months ended June 30, 2023 and 2022, and (iv) Notes to Unaudited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w w:val="96"/>
              </w:rPr>
              <w:t>Condensed Financial Statements.</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gridSpan w:val="15"/>
          </w:tcPr>
          <w:p>
            <w:pPr>
              <w:spacing w:after="0" w:line="189" w:lineRule="exact"/>
              <w:rPr>
                <w:sz w:val="20"/>
                <w:szCs w:val="20"/>
                <w:color w:val="auto"/>
              </w:rPr>
            </w:pPr>
            <w:r>
              <w:rPr>
                <w:rFonts w:ascii="Arial" w:cs="Arial" w:eastAsia="Arial" w:hAnsi="Arial"/>
                <w:sz w:val="18"/>
                <w:szCs w:val="18"/>
                <w:color w:val="auto"/>
              </w:rPr>
              <w:t>Cover Page Interactive Data File, formatted in Inline XBRL and contained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Exhibit 101.</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83" w:lineRule="exact"/>
        <w:rPr>
          <w:sz w:val="20"/>
          <w:szCs w:val="20"/>
          <w:color w:val="auto"/>
        </w:rPr>
      </w:pPr>
    </w:p>
    <w:p>
      <w:pPr>
        <w:ind w:left="20"/>
        <w:spacing w:after="0"/>
        <w:tabs>
          <w:tab w:leader="none" w:pos="5440" w:val="left"/>
          <w:tab w:leader="none" w:pos="59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178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Robert Felsch</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40" w:hanging="648"/>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60" w:hanging="648"/>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31750</wp:posOffset>
            </wp:positionV>
            <wp:extent cx="2906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40" w:hanging="648"/>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60" w:hanging="648"/>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31750</wp:posOffset>
            </wp:positionV>
            <wp:extent cx="2906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Ardelyx, Inc. (the “Company”) on Form 10-Q for the period ending June 30, 2023,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31750</wp:posOffset>
            </wp:positionV>
            <wp:extent cx="2906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6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31750</wp:posOffset>
            </wp:positionV>
            <wp:extent cx="28975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53"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606"/>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3" Type="http://schemas.openxmlformats.org/officeDocument/2006/relationships/hyperlink" Target="http://www.sec.gov/Archives/edgar/data/1437402/000162828023022681/certificateofamendment6-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2023-08-02T06:14:17Z</dcterms:created>
  <dcterms:modified xsi:type="dcterms:W3CDTF">2023-08-02T06:14:17Z</dcterms:modified>
</cp:coreProperties>
</file>