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028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02869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526"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SANDELL SCOTT D</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1954 GREENSPRING DRIVE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07/18/2016</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SUITE 600</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5"/>
                <w:szCs w:val="5"/>
                <w:color w:val="auto"/>
              </w:rPr>
            </w:pPr>
          </w:p>
        </w:tc>
        <w:tc>
          <w:tcPr>
            <w:tcW w:w="8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8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TIMONIUM</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MD</w:t>
            </w:r>
          </w:p>
        </w:tc>
        <w:tc>
          <w:tcPr>
            <w:tcW w:w="1200" w:type="dxa"/>
            <w:vAlign w:val="bottom"/>
          </w:tcPr>
          <w:p>
            <w:pPr>
              <w:spacing w:after="0"/>
              <w:rPr>
                <w:sz w:val="20"/>
                <w:szCs w:val="20"/>
                <w:color w:val="auto"/>
              </w:rPr>
            </w:pPr>
            <w:r>
              <w:rPr>
                <w:rFonts w:ascii="Arial" w:cs="Arial" w:eastAsia="Arial" w:hAnsi="Arial"/>
                <w:sz w:val="18"/>
                <w:szCs w:val="18"/>
                <w:color w:val="0000FF"/>
              </w:rPr>
              <w:t>21093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36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18"/>
          </w:tcPr>
          <w:p>
            <w:pPr>
              <w:jc w:val="center"/>
              <w:ind w:right="27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jc w:val="right"/>
              <w:ind w:right="21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40" w:type="dxa"/>
            <w:vAlign w:val="bottom"/>
            <w:gridSpan w:val="5"/>
            <w:vMerge w:val="restart"/>
          </w:tcPr>
          <w:p>
            <w:pPr>
              <w:ind w:left="860"/>
              <w:spacing w:after="0"/>
              <w:rPr>
                <w:sz w:val="20"/>
                <w:szCs w:val="20"/>
                <w:color w:val="auto"/>
              </w:rPr>
            </w:pPr>
            <w:r>
              <w:rPr>
                <w:rFonts w:ascii="Arial" w:cs="Arial" w:eastAsia="Arial" w:hAnsi="Arial"/>
                <w:sz w:val="18"/>
                <w:szCs w:val="18"/>
                <w:color w:val="0000FF"/>
              </w:rPr>
              <w:t>07/18/2016</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763,650</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40" w:type="dxa"/>
            <w:vAlign w:val="bottom"/>
            <w:gridSpan w:val="3"/>
            <w:vMerge w:val="restart"/>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8.73</w:t>
            </w: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8,752,543</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2</w:t>
            </w:r>
            <w:r>
              <w:rPr>
                <w:rFonts w:ascii="Arial" w:cs="Arial" w:eastAsia="Arial" w:hAnsi="Arial"/>
                <w:sz w:val="11"/>
                <w:szCs w:val="11"/>
                <w:color w:val="008000"/>
              </w:rPr>
              <w:t>(2)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40" w:type="dxa"/>
            <w:vAlign w:val="bottom"/>
            <w:gridSpan w:val="5"/>
            <w:vMerge w:val="restart"/>
          </w:tcPr>
          <w:p>
            <w:pPr>
              <w:ind w:left="860"/>
              <w:spacing w:after="0"/>
              <w:rPr>
                <w:sz w:val="20"/>
                <w:szCs w:val="20"/>
                <w:color w:val="auto"/>
              </w:rPr>
            </w:pPr>
            <w:r>
              <w:rPr>
                <w:rFonts w:ascii="Arial" w:cs="Arial" w:eastAsia="Arial" w:hAnsi="Arial"/>
                <w:sz w:val="18"/>
                <w:szCs w:val="18"/>
                <w:color w:val="0000FF"/>
              </w:rPr>
              <w:t>07/18/2016</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763,651</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40" w:type="dxa"/>
            <w:vAlign w:val="bottom"/>
            <w:gridSpan w:val="3"/>
            <w:vMerge w:val="restart"/>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8.73</w:t>
            </w: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2,665,520</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3</w:t>
            </w:r>
            <w:r>
              <w:rPr>
                <w:rFonts w:ascii="Arial" w:cs="Arial" w:eastAsia="Arial" w:hAnsi="Arial"/>
                <w:sz w:val="11"/>
                <w:szCs w:val="11"/>
                <w:color w:val="008000"/>
              </w:rPr>
              <w:t>(3)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40" w:type="dxa"/>
            <w:vAlign w:val="bottom"/>
            <w:gridSpan w:val="5"/>
            <w:vMerge w:val="restart"/>
          </w:tcPr>
          <w:p>
            <w:pPr>
              <w:ind w:left="860"/>
              <w:spacing w:after="0"/>
              <w:rPr>
                <w:sz w:val="20"/>
                <w:szCs w:val="20"/>
                <w:color w:val="auto"/>
              </w:rPr>
            </w:pPr>
            <w:r>
              <w:rPr>
                <w:rFonts w:ascii="Arial" w:cs="Arial" w:eastAsia="Arial" w:hAnsi="Arial"/>
                <w:sz w:val="18"/>
                <w:szCs w:val="18"/>
                <w:color w:val="0000FF"/>
              </w:rPr>
              <w:t>07/18/2016</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763,650</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40" w:type="dxa"/>
            <w:vAlign w:val="bottom"/>
            <w:gridSpan w:val="3"/>
            <w:vMerge w:val="restart"/>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8.73</w:t>
            </w: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2,665,519</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4</w:t>
            </w:r>
            <w:r>
              <w:rPr>
                <w:rFonts w:ascii="Arial" w:cs="Arial" w:eastAsia="Arial" w:hAnsi="Arial"/>
                <w:sz w:val="11"/>
                <w:szCs w:val="11"/>
                <w:color w:val="008000"/>
              </w:rPr>
              <w:t>(4)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vMerge w:val="restart"/>
          </w:tcPr>
          <w:p>
            <w:pPr>
              <w:jc w:val="center"/>
              <w:ind w:right="437"/>
              <w:spacing w:after="0"/>
              <w:rPr>
                <w:sz w:val="20"/>
                <w:szCs w:val="20"/>
                <w:color w:val="auto"/>
              </w:rPr>
            </w:pPr>
            <w:r>
              <w:rPr>
                <w:rFonts w:ascii="Arial" w:cs="Arial" w:eastAsia="Arial" w:hAnsi="Arial"/>
                <w:sz w:val="18"/>
                <w:szCs w:val="18"/>
                <w:color w:val="0000FF"/>
                <w:w w:val="86"/>
              </w:rPr>
              <w:t>592</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5</w:t>
            </w:r>
            <w:r>
              <w:rPr>
                <w:rFonts w:ascii="Arial" w:cs="Arial" w:eastAsia="Arial" w:hAnsi="Arial"/>
                <w:sz w:val="11"/>
                <w:szCs w:val="11"/>
                <w:color w:val="008000"/>
              </w:rPr>
              <w:t>(5)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vMerge w:val="continue"/>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6840" w:type="dxa"/>
            <w:vAlign w:val="bottom"/>
            <w:tcBorders>
              <w:top w:val="single" w:sz="8" w:color="2C2C2C"/>
            </w:tcBorders>
            <w:gridSpan w:val="17"/>
          </w:tcPr>
          <w:p>
            <w:pPr>
              <w:jc w:val="center"/>
              <w:ind w:left="3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0" w:type="dxa"/>
            <w:vAlign w:val="bottom"/>
            <w:gridSpan w:val="15"/>
          </w:tcPr>
          <w:p>
            <w:pPr>
              <w:jc w:val="center"/>
              <w:ind w:left="24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8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Acquired from the issuer pursuant to a Securities Purchase Agreement dated July 14, 2016, with a closing date of July 18, 2016.</w:t>
      </w:r>
    </w:p>
    <w:p>
      <w:pPr>
        <w:spacing w:after="0" w:line="41" w:lineRule="exact"/>
        <w:rPr>
          <w:rFonts w:ascii="Arial" w:cs="Arial" w:eastAsia="Arial" w:hAnsi="Arial"/>
          <w:sz w:val="14"/>
          <w:szCs w:val="14"/>
          <w:color w:val="008000"/>
        </w:rPr>
      </w:pPr>
    </w:p>
    <w:p>
      <w:pPr>
        <w:ind w:left="40" w:right="8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12 GP, LLC, ("NEA 12 GP") which is the sole general partner of NEA Partners 12, Limited Partnership ("NEA Partners 12"). NEA Partners 12 is the sole general partner of New Enterprise Associates 12, Limited Partnership ("NEA 12"), the direct beneficial owner of the securities. The Reporting Person disclaims beneficial ownership within the meaning of Section 16 of the Securities Exchange Act of 1934, as amended, or otherwise of such portion of the securities held by NEA 12 in which the Reporting Person has no pecuniary interest.</w:t>
      </w:r>
    </w:p>
    <w:p>
      <w:pPr>
        <w:spacing w:after="0" w:line="2" w:lineRule="exact"/>
        <w:rPr>
          <w:rFonts w:ascii="Arial" w:cs="Arial" w:eastAsia="Arial" w:hAnsi="Arial"/>
          <w:sz w:val="12"/>
          <w:szCs w:val="12"/>
          <w:color w:val="008000"/>
        </w:rPr>
      </w:pPr>
    </w:p>
    <w:p>
      <w:pPr>
        <w:jc w:val="both"/>
        <w:ind w:left="40" w:right="1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LLC, ("NEA 15 GP") which is the sole general partner of NEA Partners 15, L.P. ("NEA Partners 15"). NEA Partners 15 is the sole general partner of New Enterprise Associates 15, L. P. ("NEA 15"), the direct beneficial owner of the securities. The Reporting Person disclaims beneficial ownership within the meaning of Section 16 of the Securities Exchange Act of 1934, as amended, or otherwise of such portion of the securities held by NEA 15 in which the Reporting Person has no pecuniary interest.</w:t>
      </w:r>
    </w:p>
    <w:p>
      <w:pPr>
        <w:spacing w:after="0" w:line="2" w:lineRule="exact"/>
        <w:rPr>
          <w:rFonts w:ascii="Arial" w:cs="Arial" w:eastAsia="Arial" w:hAnsi="Arial"/>
          <w:sz w:val="12"/>
          <w:szCs w:val="12"/>
          <w:color w:val="008000"/>
        </w:rPr>
      </w:pPr>
    </w:p>
    <w:p>
      <w:pPr>
        <w:ind w:left="40" w:right="4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which is the sole general partner of NEA Partners 15-OF, L.P. ("NEA Partners 15-OF"). NEA Partners 15-OF is the sole general partner of NEA 15 Opportunity Fund, L. P. ("NEA Opportunity 15"), the direct beneficial owner of the securities. The Reporting Person disclaims beneficial ownership within the meaning of Section 16 of the Securities Exchange Act of 1934, as amended, or otherwise of such portion of the securities held by NEA Opportunity 15 in which the Reporting Person has no pecuniary interest.</w:t>
      </w:r>
    </w:p>
    <w:p>
      <w:pPr>
        <w:spacing w:after="0" w:line="2" w:lineRule="exact"/>
        <w:rPr>
          <w:rFonts w:ascii="Arial" w:cs="Arial" w:eastAsia="Arial" w:hAnsi="Arial"/>
          <w:sz w:val="12"/>
          <w:szCs w:val="12"/>
          <w:color w:val="008000"/>
        </w:rPr>
      </w:pPr>
    </w:p>
    <w:p>
      <w:pPr>
        <w:ind w:left="40" w:right="1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securities are directly held by Rising River Partners, L.P. The Reporting Person disclaims beneficial ownership within the meaning of Section 16 of the Securities Exchange Act of 1934, as amended, or otherwise of such portion of the securities of the Issuer held by Rising River Partners, L.P. in which the Reporting Person has no pecuniary interest.</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07/20/2016</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52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7289"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2019-12-24T03:17:52Z</dcterms:created>
  <dcterms:modified xsi:type="dcterms:W3CDTF">2019-12-24T03:17:52Z</dcterms:modified>
</cp:coreProperties>
</file>