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692823171.xml.htm"/>
      <w:bookmarkStart w:id="1" w:name="kswkform4_169282317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GRAMMER ELIZABETH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ARDELYX, INC.</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400 FIFTH AVENUE, SUITE 210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WALTHAM</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02451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ARDELYX, INC.</w:t>
              </w:r>
            </w:hyperlink>
            <w:r>
              <w:rPr/>
              <w:t xml:space="preserve"> [ </w:t>
            </w:r>
            <w:r>
              <w:rPr>
                <w:rFonts w:ascii="Times;serif" w:hAnsi="Times;serif"/>
                <w:color w:val="0000FF"/>
                <w:sz w:val="24"/>
                <w:shd w:fill="FFFFFF" w:val="clear"/>
              </w:rPr>
              <w:t>ARDX</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center"/>
                    <w:rPr/>
                  </w:pPr>
                  <w:r>
                    <w:rPr>
                      <w:rFonts w:ascii="Times;serif" w:hAnsi="Times;serif"/>
                      <w:color w:val="0000FF"/>
                      <w:sz w:val="24"/>
                      <w:shd w:fill="FFFFFF" w:val="clear"/>
                    </w:rPr>
                    <w:t>See Remarks</w:t>
                  </w:r>
                  <w:r>
                    <w:rPr/>
                    <w:t xml:space="preserve"> </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08/21/2023</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841"/>
        <w:gridCol w:w="451"/>
        <w:gridCol w:w="881"/>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08/21/2023</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2,392</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3.5518</w:t>
            </w:r>
            <w:r>
              <w:rPr>
                <w:rFonts w:ascii="Times;serif" w:hAnsi="Times;serif"/>
                <w:color w:val="008000"/>
                <w:position w:val="7"/>
                <w:sz w:val="16"/>
                <w:sz w:val="20"/>
                <w:shd w:fill="FFFFFF" w:val="clear"/>
              </w:rPr>
              <w:t>(2)</w:t>
            </w:r>
            <w:r>
              <w:rPr/>
              <w:t xml:space="preserve"> </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328,059</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Pursuant to an automatic sell-to-cover imposed by the terms of the initial grant of the restricted stock units ("RSUs") awards, the shares were sold upon the vesting of the RSUs solely to cover applicable withholding taxes.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transaction was executed in multiple trades in prices ranging from $3.511 to $3.551843, inclusive. The price reported in Column 4 above reflects the weighted average sales price. The Reporting Person hereby undertakes to provide to the Securities and Exchange Commission staff, the Issuer, or a security holder of the Issuer, upon request, full information regarding the number of shares sold at each respective price within the range set forth in this footnote.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Chief Legal and Administrative Officer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Elizabeth Grammer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08/23/2023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213041" TargetMode="External"/><Relationship Id="rId4" Type="http://schemas.openxmlformats.org/officeDocument/2006/relationships/hyperlink" Target="http://www.sec.gov/cgi-bin/browse-edgar?action=getcompany&amp;CIK=0001437402"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673</Words>
  <Characters>3666</Characters>
  <CharactersWithSpaces>4276</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