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RAAB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ARDELYX,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34175 ARDENWOOD BLVD,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ARDELYX,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ARDX</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06/04/2019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FREMONT</w:t>
            </w:r>
          </w:p>
        </w:tc>
        <w:tc>
          <w:tcPr>
            <w:tcW w:w="1060" w:type="dxa"/>
            <w:vAlign w:val="bottom"/>
          </w:tcPr>
          <w:p>
            <w:pPr>
              <w:ind w:left="22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94555</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06/04/2019</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10,054</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D</w:t>
            </w:r>
          </w:p>
        </w:tc>
        <w:tc>
          <w:tcPr>
            <w:tcW w:w="92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2.5414</w:t>
            </w:r>
            <w:r>
              <w:rPr>
                <w:rFonts w:ascii="Arial" w:cs="Arial" w:eastAsia="Arial" w:hAnsi="Arial"/>
                <w:sz w:val="22"/>
                <w:szCs w:val="22"/>
                <w:color w:val="008000"/>
                <w:w w:val="91"/>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254,355</w:t>
            </w:r>
            <w:r>
              <w:rPr>
                <w:rFonts w:ascii="Arial" w:cs="Arial" w:eastAsia="Arial" w:hAnsi="Arial"/>
                <w:sz w:val="22"/>
                <w:szCs w:val="22"/>
                <w:color w:val="008000"/>
                <w:w w:val="84"/>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80" w:type="dxa"/>
            <w:vAlign w:val="bottom"/>
            <w:vMerge w:val="restart"/>
          </w:tcPr>
          <w:p>
            <w:pPr>
              <w:jc w:val="center"/>
              <w:ind w:right="334"/>
              <w:spacing w:after="0"/>
              <w:rPr>
                <w:sz w:val="20"/>
                <w:szCs w:val="20"/>
                <w:color w:val="auto"/>
              </w:rPr>
            </w:pPr>
            <w:r>
              <w:rPr>
                <w:rFonts w:ascii="Arial" w:cs="Arial" w:eastAsia="Arial" w:hAnsi="Arial"/>
                <w:sz w:val="18"/>
                <w:szCs w:val="18"/>
                <w:color w:val="0000FF"/>
                <w:w w:val="87"/>
              </w:rPr>
              <w:t>80,831</w:t>
            </w:r>
          </w:p>
        </w:tc>
        <w:tc>
          <w:tcPr>
            <w:tcW w:w="92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(4)</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4"/>
              <w:spacing w:after="0"/>
              <w:rPr>
                <w:sz w:val="20"/>
                <w:szCs w:val="20"/>
                <w:color w:val="auto"/>
              </w:rPr>
            </w:pPr>
            <w:r>
              <w:rPr>
                <w:rFonts w:ascii="Arial" w:cs="Arial" w:eastAsia="Arial" w:hAnsi="Arial"/>
                <w:sz w:val="18"/>
                <w:szCs w:val="18"/>
                <w:color w:val="0000FF"/>
                <w:w w:val="88"/>
              </w:rPr>
              <w:t>1,000</w:t>
            </w:r>
          </w:p>
        </w:tc>
        <w:tc>
          <w:tcPr>
            <w:tcW w:w="9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(5)</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0" w:lineRule="exact"/>
        <w:rPr>
          <w:rFonts w:ascii="Arial" w:cs="Arial" w:eastAsia="Arial" w:hAnsi="Arial"/>
          <w:sz w:val="14"/>
          <w:szCs w:val="14"/>
          <w:color w:val="008000"/>
        </w:rPr>
      </w:pPr>
    </w:p>
    <w:p>
      <w:pPr>
        <w:ind w:left="40" w:right="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executed in multiple trades in prices ranging from $2.5200 to $2.5745,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3,000 shares acquired under the Issuer's Employee Stock Purchase Plan on February 28,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directly held by Michael G. Raab, Trustee of the Michael G. Raab Living Trust dated July 25,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are owned directly by trusts for the benefit of the Reporting Person's children.</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325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Michael</w:t>
      </w:r>
      <w:r>
        <w:rPr>
          <w:sz w:val="20"/>
          <w:szCs w:val="20"/>
          <w:color w:val="auto"/>
        </w:rPr>
        <w:tab/>
      </w:r>
      <w:r>
        <w:rPr>
          <w:rFonts w:ascii="Arial" w:cs="Arial" w:eastAsia="Arial" w:hAnsi="Arial"/>
          <w:sz w:val="15"/>
          <w:szCs w:val="15"/>
          <w:color w:val="0000FF"/>
        </w:rPr>
        <w:t>06/06/2019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29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923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2140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2019-12-24T08:29:25Z</dcterms:created>
  <dcterms:modified xsi:type="dcterms:W3CDTF">2019-12-24T08:29:25Z</dcterms:modified>
</cp:coreProperties>
</file>