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473710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431800</wp:posOffset>
            </wp:positionV>
            <wp:extent cx="7117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78105</wp:posOffset>
            </wp:positionV>
            <wp:extent cx="1666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84455</wp:posOffset>
            </wp:positionV>
            <wp:extent cx="1666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49"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24" w:lineRule="exact"/>
        <w:rPr>
          <w:sz w:val="24"/>
          <w:szCs w:val="24"/>
          <w:color w:val="auto"/>
        </w:rPr>
      </w:pPr>
    </w:p>
    <w:p>
      <w:pPr>
        <w:ind w:left="560" w:hanging="53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60" w:hanging="53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5" w:lineRule="exact"/>
        <w:rPr>
          <w:sz w:val="24"/>
          <w:szCs w:val="24"/>
          <w:color w:val="auto"/>
        </w:rPr>
      </w:pPr>
    </w:p>
    <w:tbl>
      <w:tblPr>
        <w:tblLayout w:type="fixed"/>
        <w:tblInd w:w="4080" w:type="dxa"/>
        <w:tblCellMar>
          <w:top w:w="0" w:type="dxa"/>
          <w:left w:w="0" w:type="dxa"/>
          <w:bottom w:w="0" w:type="dxa"/>
          <w:right w:w="0" w:type="dxa"/>
        </w:tblCellMar>
      </w:tblPr>
      <w:tr>
        <w:trPr>
          <w:trHeight w:val="212"/>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For the transition period from</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w w:val="70"/>
              </w:rPr>
              <w:t>to</w:t>
            </w:r>
          </w:p>
        </w:tc>
      </w:tr>
      <w:tr>
        <w:trPr>
          <w:trHeight w:val="229"/>
        </w:trPr>
        <w:tc>
          <w:tcPr>
            <w:tcW w:w="292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Commission file number: 001-36485</w:t>
            </w:r>
          </w:p>
        </w:tc>
        <w:tc>
          <w:tcPr>
            <w:tcW w:w="160" w:type="dxa"/>
            <w:vAlign w:val="bottom"/>
          </w:tcPr>
          <w:p>
            <w:pPr>
              <w:spacing w:after="0"/>
              <w:rPr>
                <w:sz w:val="19"/>
                <w:szCs w:val="19"/>
                <w:color w:val="auto"/>
              </w:rPr>
            </w:pPr>
          </w:p>
        </w:tc>
      </w:tr>
      <w:tr>
        <w:trPr>
          <w:trHeight w:val="120"/>
        </w:trPr>
        <w:tc>
          <w:tcPr>
            <w:tcW w:w="240" w:type="dxa"/>
            <w:vAlign w:val="bottom"/>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ARDELYX,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78740</wp:posOffset>
            </wp:positionV>
            <wp:extent cx="1666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jc w:val="center"/>
              <w:ind w:left="2202"/>
              <w:spacing w:after="0"/>
              <w:rPr>
                <w:sz w:val="20"/>
                <w:szCs w:val="20"/>
                <w:color w:val="auto"/>
              </w:rPr>
            </w:pPr>
            <w:r>
              <w:rPr>
                <w:rFonts w:ascii="Arial" w:cs="Arial" w:eastAsia="Arial" w:hAnsi="Arial"/>
                <w:sz w:val="18"/>
                <w:szCs w:val="18"/>
                <w:b w:val="1"/>
                <w:bCs w:val="1"/>
                <w:color w:val="auto"/>
                <w:w w:val="91"/>
              </w:rPr>
              <w:t>Delaware</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20" w:type="dxa"/>
            <w:vAlign w:val="bottom"/>
            <w:gridSpan w:val="2"/>
          </w:tcPr>
          <w:p>
            <w:pPr>
              <w:ind w:left="860"/>
              <w:spacing w:after="0"/>
              <w:rPr>
                <w:sz w:val="20"/>
                <w:szCs w:val="20"/>
                <w:color w:val="auto"/>
              </w:rPr>
            </w:pPr>
            <w:r>
              <w:rPr>
                <w:rFonts w:ascii="Arial" w:cs="Arial" w:eastAsia="Arial" w:hAnsi="Arial"/>
                <w:sz w:val="18"/>
                <w:szCs w:val="18"/>
                <w:b w:val="1"/>
                <w:bCs w:val="1"/>
                <w:color w:val="auto"/>
              </w:rPr>
              <w:t>26-1303944</w:t>
            </w:r>
          </w:p>
        </w:tc>
        <w:tc>
          <w:tcPr>
            <w:tcW w:w="0" w:type="dxa"/>
            <w:vAlign w:val="bottom"/>
          </w:tcPr>
          <w:p>
            <w:pPr>
              <w:spacing w:after="0"/>
              <w:rPr>
                <w:sz w:val="1"/>
                <w:szCs w:val="1"/>
                <w:color w:val="auto"/>
              </w:rPr>
            </w:pPr>
          </w:p>
        </w:tc>
      </w:tr>
      <w:tr>
        <w:trPr>
          <w:trHeight w:val="225"/>
        </w:trPr>
        <w:tc>
          <w:tcPr>
            <w:tcW w:w="7120" w:type="dxa"/>
            <w:vAlign w:val="bottom"/>
            <w:gridSpan w:val="7"/>
          </w:tcPr>
          <w:p>
            <w:pPr>
              <w:jc w:val="center"/>
              <w:ind w:right="152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512"/>
        </w:trPr>
        <w:tc>
          <w:tcPr>
            <w:tcW w:w="3320" w:type="dxa"/>
            <w:vAlign w:val="bottom"/>
          </w:tcPr>
          <w:p>
            <w:pPr>
              <w:spacing w:after="0"/>
              <w:rPr>
                <w:sz w:val="24"/>
                <w:szCs w:val="24"/>
                <w:color w:val="auto"/>
              </w:rPr>
            </w:pPr>
          </w:p>
        </w:tc>
        <w:tc>
          <w:tcPr>
            <w:tcW w:w="7920" w:type="dxa"/>
            <w:vAlign w:val="bottom"/>
            <w:gridSpan w:val="8"/>
          </w:tcPr>
          <w:p>
            <w:pPr>
              <w:jc w:val="center"/>
              <w:ind w:right="3249"/>
              <w:spacing w:after="0"/>
              <w:rPr>
                <w:sz w:val="20"/>
                <w:szCs w:val="20"/>
                <w:color w:val="auto"/>
              </w:rPr>
            </w:pPr>
            <w:r>
              <w:rPr>
                <w:rFonts w:ascii="Arial" w:cs="Arial" w:eastAsia="Arial" w:hAnsi="Arial"/>
                <w:sz w:val="18"/>
                <w:szCs w:val="18"/>
                <w:b w:val="1"/>
                <w:bCs w:val="1"/>
                <w:color w:val="auto"/>
                <w:w w:val="88"/>
              </w:rPr>
              <w:t>400 Fifth Avenue, Suite 210, Waltham, Massachusetts 02451</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80" w:type="dxa"/>
            <w:vAlign w:val="bottom"/>
            <w:gridSpan w:val="5"/>
          </w:tcPr>
          <w:p>
            <w:pPr>
              <w:jc w:val="center"/>
              <w:ind w:left="109"/>
              <w:spacing w:after="0"/>
              <w:rPr>
                <w:sz w:val="20"/>
                <w:szCs w:val="20"/>
                <w:color w:val="auto"/>
              </w:rPr>
            </w:pPr>
            <w:r>
              <w:rPr>
                <w:rFonts w:ascii="Arial" w:cs="Arial" w:eastAsia="Arial" w:hAnsi="Arial"/>
                <w:sz w:val="14"/>
                <w:szCs w:val="14"/>
                <w:color w:val="auto"/>
                <w:w w:val="93"/>
              </w:rPr>
              <w:t>(Address of Principal Executive Offices) (Zip Code)</w:t>
            </w:r>
          </w:p>
        </w:tc>
        <w:tc>
          <w:tcPr>
            <w:tcW w:w="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3320" w:type="dxa"/>
            <w:vAlign w:val="bottom"/>
          </w:tcPr>
          <w:p>
            <w:pPr>
              <w:spacing w:after="0"/>
              <w:rPr>
                <w:sz w:val="24"/>
                <w:szCs w:val="24"/>
                <w:color w:val="auto"/>
              </w:rPr>
            </w:pPr>
          </w:p>
        </w:tc>
        <w:tc>
          <w:tcPr>
            <w:tcW w:w="3500" w:type="dxa"/>
            <w:vAlign w:val="bottom"/>
            <w:gridSpan w:val="4"/>
          </w:tcPr>
          <w:p>
            <w:pPr>
              <w:jc w:val="center"/>
              <w:ind w:left="1032"/>
              <w:spacing w:after="0"/>
              <w:rPr>
                <w:sz w:val="20"/>
                <w:szCs w:val="20"/>
                <w:color w:val="auto"/>
              </w:rPr>
            </w:pPr>
            <w:r>
              <w:rPr>
                <w:rFonts w:ascii="Arial" w:cs="Arial" w:eastAsia="Arial" w:hAnsi="Arial"/>
                <w:sz w:val="18"/>
                <w:szCs w:val="18"/>
                <w:b w:val="1"/>
                <w:bCs w:val="1"/>
                <w:color w:val="auto"/>
                <w:w w:val="89"/>
              </w:rPr>
              <w:t>(510) 745-1700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300" w:type="dxa"/>
            <w:vAlign w:val="bottom"/>
            <w:gridSpan w:val="7"/>
          </w:tcPr>
          <w:p>
            <w:pPr>
              <w:jc w:val="center"/>
              <w:ind w:right="3849"/>
              <w:spacing w:after="0"/>
              <w:rPr>
                <w:sz w:val="20"/>
                <w:szCs w:val="20"/>
                <w:color w:val="auto"/>
              </w:rPr>
            </w:pPr>
            <w:r>
              <w:rPr>
                <w:rFonts w:ascii="Arial" w:cs="Arial" w:eastAsia="Arial" w:hAnsi="Arial"/>
                <w:sz w:val="14"/>
                <w:szCs w:val="14"/>
                <w:color w:val="auto"/>
                <w:w w:val="91"/>
              </w:rPr>
              <w:t>(Registrant’s Telephone Number, Including Area Code)</w:t>
            </w:r>
          </w:p>
        </w:tc>
        <w:tc>
          <w:tcPr>
            <w:tcW w:w="0" w:type="dxa"/>
            <w:vAlign w:val="bottom"/>
          </w:tcPr>
          <w:p>
            <w:pPr>
              <w:spacing w:after="0"/>
              <w:rPr>
                <w:sz w:val="1"/>
                <w:szCs w:val="1"/>
                <w:color w:val="auto"/>
              </w:rPr>
            </w:pPr>
          </w:p>
        </w:tc>
      </w:tr>
      <w:tr>
        <w:trPr>
          <w:trHeight w:val="24"/>
        </w:trPr>
        <w:tc>
          <w:tcPr>
            <w:tcW w:w="3320" w:type="dxa"/>
            <w:vAlign w:val="bottom"/>
            <w:vMerge w:val="restart"/>
          </w:tcPr>
          <w:p>
            <w:pPr>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3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20" w:type="dxa"/>
            <w:vAlign w:val="bottom"/>
          </w:tcPr>
          <w:p>
            <w:pPr>
              <w:jc w:val="center"/>
              <w:ind w:left="542"/>
              <w:spacing w:after="0"/>
              <w:rPr>
                <w:sz w:val="20"/>
                <w:szCs w:val="20"/>
                <w:color w:val="auto"/>
              </w:rPr>
            </w:pPr>
            <w:r>
              <w:rPr>
                <w:rFonts w:ascii="Arial" w:cs="Arial" w:eastAsia="Arial" w:hAnsi="Arial"/>
                <w:sz w:val="14"/>
                <w:szCs w:val="14"/>
                <w:b w:val="1"/>
                <w:bCs w:val="1"/>
                <w:color w:val="auto"/>
                <w:w w:val="87"/>
              </w:rPr>
              <w:t>Title of each class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Trading Symbol(s)</w:t>
            </w:r>
          </w:p>
        </w:tc>
        <w:tc>
          <w:tcPr>
            <w:tcW w:w="180" w:type="dxa"/>
            <w:vAlign w:val="bottom"/>
          </w:tcPr>
          <w:p>
            <w:pPr>
              <w:spacing w:after="0"/>
              <w:rPr>
                <w:sz w:val="17"/>
                <w:szCs w:val="17"/>
                <w:color w:val="auto"/>
              </w:rPr>
            </w:pPr>
          </w:p>
        </w:tc>
        <w:tc>
          <w:tcPr>
            <w:tcW w:w="3940" w:type="dxa"/>
            <w:vAlign w:val="bottom"/>
          </w:tcPr>
          <w:p>
            <w:pPr>
              <w:ind w:left="66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9"/>
        </w:trPr>
        <w:tc>
          <w:tcPr>
            <w:tcW w:w="3320" w:type="dxa"/>
            <w:vAlign w:val="bottom"/>
            <w:tcBorders>
              <w:top w:val="single" w:sz="8" w:color="auto"/>
            </w:tcBorders>
          </w:tcPr>
          <w:p>
            <w:pPr>
              <w:jc w:val="center"/>
              <w:ind w:left="542"/>
              <w:spacing w:after="0"/>
              <w:rPr>
                <w:sz w:val="20"/>
                <w:szCs w:val="20"/>
                <w:color w:val="auto"/>
              </w:rPr>
            </w:pPr>
            <w:r>
              <w:rPr>
                <w:rFonts w:ascii="Arial" w:cs="Arial" w:eastAsia="Arial" w:hAnsi="Arial"/>
                <w:sz w:val="14"/>
                <w:szCs w:val="14"/>
                <w:color w:val="auto"/>
                <w:w w:val="91"/>
              </w:rPr>
              <w:t>Common Stock, par value $0.0001</w:t>
            </w:r>
          </w:p>
        </w:tc>
        <w:tc>
          <w:tcPr>
            <w:tcW w:w="6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ARDX</w:t>
            </w:r>
          </w:p>
        </w:tc>
        <w:tc>
          <w:tcPr>
            <w:tcW w:w="3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940" w:type="dxa"/>
            <w:vAlign w:val="bottom"/>
            <w:tcBorders>
              <w:top w:val="single" w:sz="8" w:color="auto"/>
            </w:tcBorders>
          </w:tcPr>
          <w:p>
            <w:pPr>
              <w:ind w:left="1200"/>
              <w:spacing w:after="0"/>
              <w:rPr>
                <w:sz w:val="20"/>
                <w:szCs w:val="20"/>
                <w:color w:val="auto"/>
              </w:rPr>
            </w:pPr>
            <w:r>
              <w:rPr>
                <w:rFonts w:ascii="Arial" w:cs="Arial" w:eastAsia="Arial" w:hAnsi="Arial"/>
                <w:sz w:val="14"/>
                <w:szCs w:val="14"/>
                <w:color w:val="auto"/>
              </w:rPr>
              <w:t>The Nasdaq Global Market</w:t>
            </w: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120"/>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5" w:lineRule="exact"/>
        <w:rPr>
          <w:sz w:val="24"/>
          <w:szCs w:val="24"/>
          <w:color w:val="auto"/>
        </w:rPr>
      </w:pPr>
    </w:p>
    <w:p>
      <w:pPr>
        <w:ind w:right="260"/>
        <w:spacing w:after="0" w:line="20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5" w:lineRule="exact"/>
        <w:rPr>
          <w:sz w:val="24"/>
          <w:szCs w:val="24"/>
          <w:color w:val="auto"/>
        </w:rPr>
      </w:pPr>
    </w:p>
    <w:p>
      <w:pPr>
        <w:ind w:right="480"/>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278"/>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86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9"/>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24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86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700" w:type="dxa"/>
            <w:vAlign w:val="bottom"/>
          </w:tcPr>
          <w:p>
            <w:pPr>
              <w:ind w:left="186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5" w:lineRule="exact"/>
        <w:rPr>
          <w:sz w:val="24"/>
          <w:szCs w:val="24"/>
          <w:color w:val="auto"/>
        </w:rPr>
      </w:pPr>
    </w:p>
    <w:p>
      <w:pPr>
        <w:ind w:right="200"/>
        <w:spacing w:after="0" w:line="20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6" w:lineRule="exact"/>
        <w:rPr>
          <w:sz w:val="24"/>
          <w:szCs w:val="24"/>
          <w:color w:val="auto"/>
        </w:rPr>
      </w:pPr>
    </w:p>
    <w:p>
      <w:pPr>
        <w:spacing w:after="0" w:line="196" w:lineRule="exact"/>
        <w:tabs>
          <w:tab w:leader="none" w:pos="6540" w:val="left"/>
          <w:tab w:leader="none" w:pos="70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November 9, 2021, was 112,743,408.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654050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52705</wp:posOffset>
            </wp:positionV>
            <wp:extent cx="711771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27305</wp:posOffset>
            </wp:positionV>
            <wp:extent cx="7117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w:t>
            </w:r>
          </w:p>
        </w:tc>
      </w:t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Borders>
              <w:bottom w:val="single" w:sz="8" w:color="0000FF"/>
            </w:tcBorders>
            <w:gridSpan w:val="8"/>
          </w:tcPr>
          <w:p>
            <w:pPr>
              <w:jc w:val="center"/>
              <w:spacing w:after="0" w:line="17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600" w:type="dxa"/>
            <w:vAlign w:val="bottom"/>
            <w:gridSpan w:val="2"/>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457"/>
        </w:trPr>
        <w:tc>
          <w:tcPr>
            <w:tcW w:w="20" w:type="dxa"/>
            <w:vAlign w:val="bottom"/>
          </w:tcPr>
          <w:p>
            <w:pPr>
              <w:spacing w:after="0"/>
              <w:rPr>
                <w:sz w:val="24"/>
                <w:szCs w:val="24"/>
                <w:color w:val="auto"/>
              </w:rPr>
            </w:pPr>
          </w:p>
        </w:tc>
        <w:tc>
          <w:tcPr>
            <w:tcW w:w="20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Item 1. Financial Statements:</w:t>
              </w:r>
            </w:hyperlink>
          </w:p>
        </w:tc>
        <w:tc>
          <w:tcPr>
            <w:tcW w:w="8120" w:type="dxa"/>
            <w:vAlign w:val="bottom"/>
            <w:gridSpan w:val="1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gridSpan w:val="20"/>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Condensed Balance Sheets (unaudited)</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gridSpan w:val="20"/>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Condensed Statements of Operations and Comprehensive Loss (unaudited)</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00" w:type="dxa"/>
            <w:vAlign w:val="bottom"/>
            <w:tcBorders>
              <w:top w:val="single" w:sz="8" w:color="0000FF"/>
            </w:tcBorders>
            <w:gridSpan w:val="16"/>
          </w:tcPr>
          <w:p>
            <w:pPr>
              <w:spacing w:after="0" w:line="205"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Statements of Changes in Stockholders' Equity (unaudited)</w:t>
              </w:r>
            </w:hyperlink>
          </w:p>
        </w:tc>
        <w:tc>
          <w:tcPr>
            <w:tcW w:w="4380" w:type="dxa"/>
            <w:vAlign w:val="bottom"/>
            <w:gridSpan w:val="4"/>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0" w:type="dxa"/>
            <w:vAlign w:val="bottom"/>
            <w:tcBorders>
              <w:top w:val="single" w:sz="8" w:color="0000FF"/>
            </w:tcBorders>
            <w:gridSpan w:val="15"/>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Statements of Cash Flows (unaudited)</w:t>
              </w:r>
            </w:hyperlink>
          </w:p>
        </w:tc>
        <w:tc>
          <w:tcPr>
            <w:tcW w:w="4680" w:type="dxa"/>
            <w:vAlign w:val="bottom"/>
            <w:gridSpan w:val="5"/>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gridSpan w:val="20"/>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Financial Statements (unaudited)</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200" w:type="dxa"/>
            <w:vAlign w:val="bottom"/>
            <w:gridSpan w:val="21"/>
          </w:tcPr>
          <w:p>
            <w:pPr>
              <w:spacing w:after="0" w:line="205" w:lineRule="exact"/>
              <w:rPr>
                <w:rFonts w:ascii="Arial" w:cs="Arial" w:eastAsia="Arial" w:hAnsi="Arial"/>
                <w:sz w:val="18"/>
                <w:szCs w:val="18"/>
                <w:color w:val="0000FF"/>
              </w:rPr>
            </w:pPr>
            <w:hyperlink w:anchor="page21">
              <w:r>
                <w:rPr>
                  <w:rFonts w:ascii="Arial" w:cs="Arial" w:eastAsia="Arial" w:hAnsi="Arial"/>
                  <w:sz w:val="18"/>
                  <w:szCs w:val="18"/>
                  <w:color w:val="0000FF"/>
                </w:rPr>
                <w:t>Item 2. Management’s Discussion and Analysis of Financial Condition and Results of Operations</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880" w:type="dxa"/>
            <w:vAlign w:val="bottom"/>
            <w:tcBorders>
              <w:top w:val="single" w:sz="8" w:color="0000FF"/>
            </w:tcBorders>
            <w:gridSpan w:val="2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3. Quantitative and Qualitative Disclosures About Market Risk</w:t>
              </w:r>
            </w:hyperlink>
          </w:p>
        </w:tc>
        <w:tc>
          <w:tcPr>
            <w:tcW w:w="3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0200" w:type="dxa"/>
            <w:vAlign w:val="bottom"/>
            <w:gridSpan w:val="2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 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43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Borders>
              <w:bottom w:val="single" w:sz="8" w:color="0000FF"/>
            </w:tcBorders>
            <w:gridSpan w:val="6"/>
          </w:tcPr>
          <w:p>
            <w:pPr>
              <w:jc w:val="cente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OTHER INFORMATION</w:t>
              </w:r>
            </w:hyperlink>
          </w:p>
        </w:tc>
        <w:tc>
          <w:tcPr>
            <w:tcW w:w="3740" w:type="dxa"/>
            <w:vAlign w:val="bottom"/>
            <w:gridSpan w:val="3"/>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7"/>
        </w:trPr>
        <w:tc>
          <w:tcPr>
            <w:tcW w:w="20" w:type="dxa"/>
            <w:vAlign w:val="bottom"/>
          </w:tcPr>
          <w:p>
            <w:pPr>
              <w:spacing w:after="0"/>
              <w:rPr>
                <w:sz w:val="24"/>
                <w:szCs w:val="24"/>
                <w:color w:val="auto"/>
              </w:rPr>
            </w:pPr>
          </w:p>
        </w:tc>
        <w:tc>
          <w:tcPr>
            <w:tcW w:w="186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Item 1. Legal Proceedings</w:t>
              </w:r>
            </w:hyperlink>
          </w:p>
        </w:tc>
        <w:tc>
          <w:tcPr>
            <w:tcW w:w="8340" w:type="dxa"/>
            <w:vAlign w:val="bottom"/>
            <w:gridSpan w:val="1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0200" w:type="dxa"/>
            <w:vAlign w:val="bottom"/>
            <w:gridSpan w:val="21"/>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Item 1A. Risk Factors</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20" w:type="dxa"/>
            <w:vAlign w:val="bottom"/>
            <w:tcBorders>
              <w:bottom w:val="single" w:sz="8" w:color="0000FF"/>
            </w:tcBorders>
            <w:gridSpan w:val="15"/>
          </w:tcPr>
          <w:p>
            <w:pPr>
              <w:spacing w:after="0" w:line="205" w:lineRule="exact"/>
              <w:rPr>
                <w:rFonts w:ascii="Arial" w:cs="Arial" w:eastAsia="Arial" w:hAnsi="Arial"/>
                <w:sz w:val="18"/>
                <w:szCs w:val="18"/>
                <w:color w:val="0000FF"/>
                <w:w w:val="88"/>
              </w:rPr>
            </w:pPr>
            <w:hyperlink w:anchor="page65">
              <w:r>
                <w:rPr>
                  <w:rFonts w:ascii="Arial" w:cs="Arial" w:eastAsia="Arial" w:hAnsi="Arial"/>
                  <w:sz w:val="18"/>
                  <w:szCs w:val="18"/>
                  <w:color w:val="0000FF"/>
                  <w:w w:val="88"/>
                </w:rPr>
                <w:t>Item 2. Unregistered Sales of Equity Securities and Use of Proceeds</w:t>
              </w:r>
            </w:hyperlink>
          </w:p>
        </w:tc>
        <w:tc>
          <w:tcPr>
            <w:tcW w:w="5380" w:type="dxa"/>
            <w:vAlign w:val="bottom"/>
            <w:gridSpan w:val="6"/>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200" w:type="dxa"/>
            <w:vAlign w:val="bottom"/>
            <w:gridSpan w:val="21"/>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Item 3. Defaults Upon Senior Securities</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820" w:type="dxa"/>
            <w:vAlign w:val="bottom"/>
            <w:tcBorders>
              <w:top w:val="single" w:sz="8" w:color="0000FF"/>
            </w:tcBorders>
            <w:gridSpan w:val="9"/>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Item 4. Mine Safety Disclosures</w:t>
              </w:r>
            </w:hyperlink>
          </w:p>
        </w:tc>
        <w:tc>
          <w:tcPr>
            <w:tcW w:w="7380" w:type="dxa"/>
            <w:vAlign w:val="bottom"/>
            <w:gridSpan w:val="12"/>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840" w:type="dxa"/>
            <w:vAlign w:val="bottom"/>
            <w:tcBorders>
              <w:top w:val="single" w:sz="8" w:color="0000FF"/>
              <w:bottom w:val="single" w:sz="8" w:color="0000FF"/>
            </w:tcBorders>
            <w:gridSpan w:val="5"/>
          </w:tcPr>
          <w:p>
            <w:pPr>
              <w:spacing w:after="0" w:line="205"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Item 5. Other Information</w:t>
              </w:r>
            </w:hyperlink>
          </w:p>
        </w:tc>
        <w:tc>
          <w:tcPr>
            <w:tcW w:w="440" w:type="dxa"/>
            <w:vAlign w:val="bottom"/>
            <w:tcBorders>
              <w:top w:val="single" w:sz="8" w:color="0000FF"/>
            </w:tcBorders>
            <w:gridSpan w:val="3"/>
          </w:tcPr>
          <w:p>
            <w:pPr>
              <w:spacing w:after="0"/>
              <w:rPr>
                <w:sz w:val="17"/>
                <w:szCs w:val="17"/>
                <w:color w:val="auto"/>
              </w:rPr>
            </w:pPr>
          </w:p>
        </w:tc>
        <w:tc>
          <w:tcPr>
            <w:tcW w:w="7920" w:type="dxa"/>
            <w:vAlign w:val="bottom"/>
            <w:gridSpan w:val="13"/>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40" w:type="dxa"/>
            <w:vAlign w:val="bottom"/>
            <w:tcBorders>
              <w:bottom w:val="single" w:sz="8" w:color="0000FF"/>
            </w:tcBorders>
            <w:gridSpan w:val="3"/>
          </w:tcPr>
          <w:p>
            <w:pPr>
              <w:spacing w:after="0" w:line="205"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Item 6. Exhibits</w:t>
              </w:r>
            </w:hyperlink>
          </w:p>
        </w:tc>
        <w:tc>
          <w:tcPr>
            <w:tcW w:w="9060" w:type="dxa"/>
            <w:vAlign w:val="bottom"/>
            <w:gridSpan w:val="18"/>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200" w:type="dxa"/>
            <w:vAlign w:val="bottom"/>
            <w:gridSpan w:val="21"/>
          </w:tcPr>
          <w:p>
            <w:pPr>
              <w:spacing w:after="0" w:line="205" w:lineRule="exact"/>
              <w:rPr>
                <w:rFonts w:ascii="Arial" w:cs="Arial" w:eastAsia="Arial" w:hAnsi="Arial"/>
                <w:sz w:val="18"/>
                <w:szCs w:val="18"/>
                <w:color w:val="0000FF"/>
              </w:rPr>
            </w:pPr>
            <w:hyperlink w:anchor="page66">
              <w:r>
                <w:rPr>
                  <w:rFonts w:ascii="Arial" w:cs="Arial" w:eastAsia="Arial" w:hAnsi="Arial"/>
                  <w:sz w:val="18"/>
                  <w:szCs w:val="18"/>
                  <w:color w:val="0000FF"/>
                </w:rPr>
                <w:t>Signatures</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r>
      <w:tr>
        <w:trPr>
          <w:trHeight w:val="867"/>
        </w:trPr>
        <w:tc>
          <w:tcPr>
            <w:tcW w:w="20" w:type="dxa"/>
            <w:vAlign w:val="bottom"/>
          </w:tcPr>
          <w:p>
            <w:pPr>
              <w:spacing w:after="0"/>
              <w:rPr>
                <w:sz w:val="24"/>
                <w:szCs w:val="24"/>
                <w:color w:val="auto"/>
              </w:rPr>
            </w:pPr>
          </w:p>
        </w:tc>
        <w:tc>
          <w:tcPr>
            <w:tcW w:w="740" w:type="dxa"/>
            <w:vAlign w:val="bottom"/>
            <w:tcBorders>
              <w:top w:val="single" w:sz="8" w:color="0000FF"/>
            </w:tcBorders>
            <w:gridSpan w:val="2"/>
          </w:tcPr>
          <w:p>
            <w:pPr>
              <w:spacing w:after="0"/>
              <w:rPr>
                <w:sz w:val="24"/>
                <w:szCs w:val="24"/>
                <w:color w:val="auto"/>
              </w:rPr>
            </w:pPr>
          </w:p>
        </w:tc>
        <w:tc>
          <w:tcPr>
            <w:tcW w:w="5080" w:type="dxa"/>
            <w:vAlign w:val="bottom"/>
            <w:gridSpan w:val="15"/>
          </w:tcPr>
          <w:p>
            <w:pPr>
              <w:jc w:val="right"/>
              <w:ind w:right="18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140" w:type="dxa"/>
            <w:vAlign w:val="bottom"/>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3"/>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4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00" w:type="dxa"/>
            <w:vAlign w:val="bottom"/>
          </w:tcPr>
          <w:p>
            <w:pPr>
              <w:spacing w:after="0"/>
              <w:rPr>
                <w:sz w:val="24"/>
                <w:szCs w:val="24"/>
                <w:color w:val="auto"/>
              </w:rPr>
            </w:pPr>
          </w:p>
        </w:tc>
        <w:tc>
          <w:tcPr>
            <w:tcW w:w="7140" w:type="dxa"/>
            <w:vAlign w:val="bottom"/>
          </w:tcPr>
          <w:p>
            <w:pPr>
              <w:jc w:val="center"/>
              <w:ind w:left="1812"/>
              <w:spacing w:after="0"/>
              <w:rPr>
                <w:sz w:val="20"/>
                <w:szCs w:val="20"/>
                <w:color w:val="auto"/>
              </w:rPr>
            </w:pPr>
            <w:r>
              <w:rPr>
                <w:rFonts w:ascii="Arial" w:cs="Arial" w:eastAsia="Arial" w:hAnsi="Arial"/>
                <w:sz w:val="18"/>
                <w:szCs w:val="18"/>
                <w:b w:val="1"/>
                <w:bCs w:val="1"/>
                <w:color w:val="auto"/>
                <w:w w:val="99"/>
              </w:rPr>
              <w:t>ARDELYX, INC.</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7140" w:type="dxa"/>
            <w:vAlign w:val="bottom"/>
          </w:tcPr>
          <w:p>
            <w:pPr>
              <w:jc w:val="center"/>
              <w:ind w:left="1832"/>
              <w:spacing w:after="0"/>
              <w:rPr>
                <w:sz w:val="20"/>
                <w:szCs w:val="20"/>
                <w:color w:val="auto"/>
              </w:rPr>
            </w:pPr>
            <w:r>
              <w:rPr>
                <w:rFonts w:ascii="Arial" w:cs="Arial" w:eastAsia="Arial" w:hAnsi="Arial"/>
                <w:sz w:val="18"/>
                <w:szCs w:val="18"/>
                <w:b w:val="1"/>
                <w:bCs w:val="1"/>
                <w:color w:val="auto"/>
                <w:w w:val="96"/>
              </w:rPr>
              <w:t>CONDENSED BALANCE SHEETS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7140" w:type="dxa"/>
            <w:vAlign w:val="bottom"/>
          </w:tcPr>
          <w:p>
            <w:pPr>
              <w:jc w:val="center"/>
              <w:ind w:left="181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3"/>
                <w:szCs w:val="13"/>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CCEEFF"/>
            </w:tcBorders>
          </w:tcPr>
          <w:p>
            <w:pPr>
              <w:spacing w:after="0"/>
              <w:rPr>
                <w:sz w:val="16"/>
                <w:szCs w:val="16"/>
                <w:color w:val="auto"/>
              </w:rPr>
            </w:pPr>
          </w:p>
        </w:tc>
        <w:tc>
          <w:tcPr>
            <w:tcW w:w="7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110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(Unaudited)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7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Current assets:</w:t>
            </w:r>
          </w:p>
        </w:tc>
        <w:tc>
          <w:tcPr>
            <w:tcW w:w="7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75,288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91,032</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95,452</w:t>
            </w:r>
          </w:p>
        </w:tc>
        <w:tc>
          <w:tcPr>
            <w:tcW w:w="0" w:type="dxa"/>
            <w:vAlign w:val="bottom"/>
          </w:tcPr>
          <w:p>
            <w:pPr>
              <w:spacing w:after="0"/>
              <w:rPr>
                <w:sz w:val="1"/>
                <w:szCs w:val="1"/>
                <w:color w:val="auto"/>
              </w:rPr>
            </w:pPr>
          </w:p>
        </w:tc>
      </w:tr>
      <w:tr>
        <w:trPr>
          <w:trHeight w:val="225"/>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1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153,379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194,686</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25"/>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25"/>
        </w:trPr>
        <w:tc>
          <w:tcPr>
            <w:tcW w:w="1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7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201,562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25"/>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 payable, current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25"/>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28,416</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5"/>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Loan payable, net of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46,621</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75,450</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Commitments and contingencies (Note 12)</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40" w:type="dxa"/>
            <w:vAlign w:val="bottom"/>
            <w:gridSpan w:val="2"/>
            <w:shd w:val="clear" w:color="auto" w:fill="CCEEFF"/>
          </w:tcPr>
          <w:p>
            <w:pPr>
              <w:ind w:left="40"/>
              <w:spacing w:after="0" w:line="174" w:lineRule="exact"/>
              <w:rPr>
                <w:sz w:val="20"/>
                <w:szCs w:val="20"/>
                <w:color w:val="auto"/>
              </w:rPr>
            </w:pPr>
            <w:r>
              <w:rPr>
                <w:rFonts w:ascii="Arial" w:cs="Arial" w:eastAsia="Arial" w:hAnsi="Arial"/>
                <w:sz w:val="18"/>
                <w:szCs w:val="18"/>
                <w:color w:val="auto"/>
                <w:w w:val="97"/>
              </w:rPr>
              <w:t>Preferred stock, $0.0001 par value; 5,000,000 shares authorized; no shares issued and outstanding as of</w:t>
            </w:r>
          </w:p>
        </w:tc>
        <w:tc>
          <w:tcPr>
            <w:tcW w:w="20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2021 and December 31, 2020, respectively.</w:t>
            </w:r>
          </w:p>
        </w:tc>
        <w:tc>
          <w:tcPr>
            <w:tcW w:w="20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40" w:type="dxa"/>
            <w:vAlign w:val="bottom"/>
            <w:gridSpan w:val="2"/>
          </w:tcPr>
          <w:p>
            <w:pPr>
              <w:ind w:left="40"/>
              <w:spacing w:after="0" w:line="173" w:lineRule="exact"/>
              <w:rPr>
                <w:sz w:val="20"/>
                <w:szCs w:val="20"/>
                <w:color w:val="auto"/>
              </w:rPr>
            </w:pPr>
            <w:r>
              <w:rPr>
                <w:rFonts w:ascii="Arial" w:cs="Arial" w:eastAsia="Arial" w:hAnsi="Arial"/>
                <w:sz w:val="18"/>
                <w:szCs w:val="18"/>
                <w:color w:val="auto"/>
                <w:w w:val="88"/>
              </w:rPr>
              <w:t>Common stock, $0.0001 par value; 300,000,000 shares authorized; 106,771,584 and 93,599,975 shares issued and</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outstanding as of September 30, 2021 and December 31, 2020,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680,872</w:t>
            </w:r>
          </w:p>
        </w:tc>
        <w:tc>
          <w:tcPr>
            <w:tcW w:w="0" w:type="dxa"/>
            <w:vAlign w:val="bottom"/>
          </w:tcPr>
          <w:p>
            <w:pPr>
              <w:spacing w:after="0"/>
              <w:rPr>
                <w:sz w:val="1"/>
                <w:szCs w:val="1"/>
                <w:color w:val="auto"/>
              </w:rPr>
            </w:pPr>
          </w:p>
        </w:tc>
      </w:tr>
      <w:tr>
        <w:trPr>
          <w:trHeight w:val="225"/>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(676,696)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(554,765)</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126,112</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201,562</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3"/>
        </w:trPr>
        <w:tc>
          <w:tcPr>
            <w:tcW w:w="52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5200" w:type="dxa"/>
            <w:vAlign w:val="bottom"/>
          </w:tcPr>
          <w:p>
            <w:pPr>
              <w:ind w:left="120"/>
              <w:spacing w:after="0"/>
              <w:rPr>
                <w:sz w:val="20"/>
                <w:szCs w:val="20"/>
                <w:color w:val="auto"/>
              </w:rPr>
            </w:pPr>
            <w:r>
              <w:rPr>
                <w:rFonts w:ascii="Arial" w:cs="Arial" w:eastAsia="Arial" w:hAnsi="Arial"/>
                <w:sz w:val="18"/>
                <w:szCs w:val="18"/>
                <w:color w:val="auto"/>
              </w:rPr>
              <w:t>Collaborative development revenue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3,656</w:t>
            </w:r>
          </w:p>
        </w:tc>
      </w:tr>
      <w:tr>
        <w:trPr>
          <w:trHeight w:val="22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supply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25"/>
        </w:trPr>
        <w:tc>
          <w:tcPr>
            <w:tcW w:w="5200" w:type="dxa"/>
            <w:vAlign w:val="bottom"/>
          </w:tcPr>
          <w:p>
            <w:pPr>
              <w:ind w:left="120"/>
              <w:spacing w:after="0"/>
              <w:rPr>
                <w:sz w:val="20"/>
                <w:szCs w:val="20"/>
                <w:color w:val="auto"/>
              </w:rPr>
            </w:pPr>
            <w:r>
              <w:rPr>
                <w:rFonts w:ascii="Arial" w:cs="Arial" w:eastAsia="Arial" w:hAnsi="Arial"/>
                <w:sz w:val="18"/>
                <w:szCs w:val="18"/>
                <w:color w:val="auto"/>
              </w:rPr>
              <w:t>Licensing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19"/>
        </w:trPr>
        <w:tc>
          <w:tcPr>
            <w:tcW w:w="52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r>
      <w:tr>
        <w:trPr>
          <w:trHeight w:val="205"/>
        </w:trPr>
        <w:tc>
          <w:tcPr>
            <w:tcW w:w="52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5"/>
        </w:trPr>
        <w:tc>
          <w:tcPr>
            <w:tcW w:w="52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46,948</w:t>
            </w:r>
          </w:p>
        </w:tc>
      </w:tr>
      <w:tr>
        <w:trPr>
          <w:trHeight w:val="22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21,810</w:t>
            </w:r>
          </w:p>
        </w:tc>
      </w:tr>
      <w:tr>
        <w:trPr>
          <w:trHeight w:val="218"/>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68,899</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(63,137)</w:t>
            </w: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(3,785)</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18"/>
        </w:trPr>
        <w:tc>
          <w:tcPr>
            <w:tcW w:w="52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(121,927)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(65,437)</w:t>
            </w: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(121,931)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200" w:type="dxa"/>
            <w:vAlign w:val="bottom"/>
          </w:tcPr>
          <w:p>
            <w:pPr>
              <w:ind w:left="20"/>
              <w:spacing w:after="0" w:line="198" w:lineRule="exact"/>
              <w:rPr>
                <w:sz w:val="20"/>
                <w:szCs w:val="20"/>
                <w:color w:val="auto"/>
              </w:rPr>
            </w:pPr>
            <w:r>
              <w:rPr>
                <w:rFonts w:ascii="Arial" w:cs="Arial" w:eastAsia="Arial" w:hAnsi="Arial"/>
                <w:sz w:val="18"/>
                <w:szCs w:val="18"/>
                <w:color w:val="auto"/>
              </w:rPr>
              <w:t>Shares used in computing net loss per share - basic and diluted</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104,144,606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89,365,798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100,480,156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89,109,772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52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(18,108)</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(121,931)</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(65,437)</w:t>
            </w: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gains on available-for-sale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9"/>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(65,367)</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2" w:lineRule="exact"/>
        <w:rPr>
          <w:sz w:val="20"/>
          <w:szCs w:val="20"/>
          <w:color w:val="auto"/>
        </w:rPr>
      </w:pPr>
    </w:p>
    <w:p>
      <w:pPr>
        <w:ind w:left="3580" w:right="2460" w:hanging="1006"/>
        <w:spacing w:after="0" w:line="260" w:lineRule="auto"/>
        <w:rPr>
          <w:sz w:val="20"/>
          <w:szCs w:val="20"/>
          <w:color w:val="auto"/>
        </w:rPr>
      </w:pPr>
      <w:r>
        <w:rPr>
          <w:rFonts w:ascii="Arial" w:cs="Arial" w:eastAsia="Arial" w:hAnsi="Arial"/>
          <w:sz w:val="17"/>
          <w:szCs w:val="17"/>
          <w:b w:val="1"/>
          <w:bCs w:val="1"/>
          <w:color w:val="auto"/>
        </w:rPr>
        <w:t>CONDENSED STATEMENTS OF CHANGES IN STOCKHOLDERS’ EQUITY For the Three and Nine Months ended September 30, 2021</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right="23"/>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2580" w:type="dxa"/>
            <w:vAlign w:val="bottom"/>
            <w:gridSpan w:val="5"/>
          </w:tcPr>
          <w:p>
            <w:pPr>
              <w:ind w:left="780"/>
              <w:spacing w:after="0" w:line="145"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14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4"/>
                <w:szCs w:val="4"/>
                <w:color w:val="auto"/>
              </w:rPr>
            </w:pPr>
          </w:p>
        </w:tc>
        <w:tc>
          <w:tcPr>
            <w:tcW w:w="1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4"/>
                <w:szCs w:val="4"/>
                <w:color w:val="auto"/>
              </w:rPr>
            </w:pPr>
          </w:p>
        </w:tc>
        <w:tc>
          <w:tcPr>
            <w:tcW w:w="1400" w:type="dxa"/>
            <w:vAlign w:val="bottom"/>
            <w:gridSpan w:val="2"/>
            <w:vMerge w:val="restart"/>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4"/>
                <w:szCs w:val="4"/>
                <w:color w:val="auto"/>
              </w:rPr>
            </w:pPr>
          </w:p>
        </w:tc>
        <w:tc>
          <w:tcPr>
            <w:tcW w:w="1040" w:type="dxa"/>
            <w:vAlign w:val="bottom"/>
            <w:vMerge w:val="restart"/>
          </w:tcPr>
          <w:p>
            <w:pPr>
              <w:jc w:val="center"/>
              <w:ind w:right="56"/>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0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04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102,967,017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(633,109)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117,569</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rPr>
              <w:t>Issuance of common stock under</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284,456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Issuance of common stock for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0"/>
              </w:rPr>
              <w:t>Issuance of common stock upon exercise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126,004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of options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88"/>
              </w:rPr>
              <w:t>Taxes paid related to net share settlement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of equity awards</w:t>
            </w: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Issuance of common stock in at-the-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3,333,708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6"/>
              </w:rPr>
              <w:t>Unrealized losses on available-for-sale</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(43,587)</w:t>
            </w:r>
          </w:p>
        </w:tc>
        <w:tc>
          <w:tcPr>
            <w:tcW w:w="0" w:type="dxa"/>
            <w:vAlign w:val="bottom"/>
          </w:tcPr>
          <w:p>
            <w:pPr>
              <w:spacing w:after="0"/>
              <w:rPr>
                <w:sz w:val="1"/>
                <w:szCs w:val="1"/>
                <w:color w:val="auto"/>
              </w:rPr>
            </w:pPr>
          </w:p>
        </w:tc>
      </w:tr>
      <w:tr>
        <w:trPr>
          <w:trHeight w:val="244"/>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106,771,584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1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Nine Months Ended September 30, 2021</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2580" w:type="dxa"/>
            <w:vAlign w:val="bottom"/>
            <w:gridSpan w:val="5"/>
          </w:tcPr>
          <w:p>
            <w:pPr>
              <w:ind w:left="780"/>
              <w:spacing w:after="0" w:line="145"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14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4"/>
                <w:szCs w:val="4"/>
                <w:color w:val="auto"/>
              </w:rPr>
            </w:pPr>
          </w:p>
        </w:tc>
        <w:tc>
          <w:tcPr>
            <w:tcW w:w="1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4"/>
                <w:szCs w:val="4"/>
                <w:color w:val="auto"/>
              </w:rPr>
            </w:pPr>
          </w:p>
        </w:tc>
        <w:tc>
          <w:tcPr>
            <w:tcW w:w="1400" w:type="dxa"/>
            <w:vAlign w:val="bottom"/>
            <w:gridSpan w:val="2"/>
            <w:vMerge w:val="restart"/>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4"/>
                <w:szCs w:val="4"/>
                <w:color w:val="auto"/>
              </w:rPr>
            </w:pPr>
          </w:p>
        </w:tc>
        <w:tc>
          <w:tcPr>
            <w:tcW w:w="1040" w:type="dxa"/>
            <w:vAlign w:val="bottom"/>
            <w:vMerge w:val="restart"/>
          </w:tcPr>
          <w:p>
            <w:pPr>
              <w:jc w:val="center"/>
              <w:ind w:right="56"/>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0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04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93,599,975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(554,765)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126,112</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rPr>
              <w:t>Issuance of common stock under</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386,664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Issuance of common stock for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0"/>
              </w:rPr>
              <w:t>Issuance of common stock upon exercise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331,310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of options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114,194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8"/>
              </w:rPr>
              <w:t>Taxes paid for net share settlement of</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equity awards</w:t>
            </w: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Issuance of common stock in at-the-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12,313,452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67,187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67,189</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8"/>
              </w:rPr>
              <w:t>Unrealized gains on available-for-sale</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(121,931)</w:t>
            </w:r>
          </w:p>
        </w:tc>
        <w:tc>
          <w:tcPr>
            <w:tcW w:w="0" w:type="dxa"/>
            <w:vAlign w:val="bottom"/>
          </w:tcPr>
          <w:p>
            <w:pPr>
              <w:spacing w:after="0"/>
              <w:rPr>
                <w:sz w:val="1"/>
                <w:szCs w:val="1"/>
                <w:color w:val="auto"/>
              </w:rPr>
            </w:pPr>
          </w:p>
        </w:tc>
      </w:tr>
      <w:tr>
        <w:trPr>
          <w:trHeight w:val="244"/>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106,771,584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339" w:right="4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2" w:lineRule="exact"/>
        <w:rPr>
          <w:sz w:val="20"/>
          <w:szCs w:val="20"/>
          <w:color w:val="auto"/>
        </w:rPr>
      </w:pPr>
    </w:p>
    <w:p>
      <w:pPr>
        <w:ind w:left="3580" w:right="2460" w:hanging="1006"/>
        <w:spacing w:after="0" w:line="260" w:lineRule="auto"/>
        <w:rPr>
          <w:sz w:val="20"/>
          <w:szCs w:val="20"/>
          <w:color w:val="auto"/>
        </w:rPr>
      </w:pPr>
      <w:r>
        <w:rPr>
          <w:rFonts w:ascii="Arial" w:cs="Arial" w:eastAsia="Arial" w:hAnsi="Arial"/>
          <w:sz w:val="17"/>
          <w:szCs w:val="17"/>
          <w:b w:val="1"/>
          <w:bCs w:val="1"/>
          <w:color w:val="auto"/>
        </w:rPr>
        <w:t>CONDENSED STATEMENTS OF CHANGES IN STOCKHOLDERS’ EQUITY For the Three and Nine Months ended September 30, 2020</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right="23"/>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2180" w:type="dxa"/>
            <w:vAlign w:val="bottom"/>
            <w:gridSpan w:val="3"/>
          </w:tcPr>
          <w:p>
            <w:pPr>
              <w:jc w:val="right"/>
              <w:ind w:right="398"/>
              <w:spacing w:after="0" w:line="145"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14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4"/>
                <w:szCs w:val="4"/>
                <w:color w:val="auto"/>
              </w:rPr>
            </w:pPr>
          </w:p>
        </w:tc>
        <w:tc>
          <w:tcPr>
            <w:tcW w:w="1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4"/>
                <w:szCs w:val="4"/>
                <w:color w:val="auto"/>
              </w:rPr>
            </w:pPr>
          </w:p>
        </w:tc>
        <w:tc>
          <w:tcPr>
            <w:tcW w:w="1400" w:type="dxa"/>
            <w:vAlign w:val="bottom"/>
            <w:gridSpan w:val="2"/>
            <w:vMerge w:val="restart"/>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4"/>
                <w:szCs w:val="4"/>
                <w:color w:val="auto"/>
              </w:rPr>
            </w:pPr>
          </w:p>
        </w:tc>
        <w:tc>
          <w:tcPr>
            <w:tcW w:w="1040" w:type="dxa"/>
            <w:vAlign w:val="bottom"/>
            <w:vMerge w:val="restart"/>
          </w:tcPr>
          <w:p>
            <w:pPr>
              <w:jc w:val="center"/>
              <w:ind w:right="57"/>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0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89,140,563</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(507,781)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146,350</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rPr>
              <w:t>Issuance of common stock under</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94,127</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Issuance of common stock upon exercise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142,191</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options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3"/>
              </w:rPr>
              <w:t>Issuance of common stock upon vesting</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866,528</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of restricted stock units</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6"/>
              </w:rPr>
              <w:t>Unrealized losses on available-for-sale</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2020</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90,243,409</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657,130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(525,889)</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131,340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31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Nine Months Ended September 30, 2020</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140" w:type="dxa"/>
            <w:vAlign w:val="bottom"/>
          </w:tcPr>
          <w:p>
            <w:pPr>
              <w:spacing w:after="0"/>
              <w:rPr>
                <w:sz w:val="12"/>
                <w:szCs w:val="12"/>
                <w:color w:val="auto"/>
              </w:rPr>
            </w:pPr>
          </w:p>
        </w:tc>
        <w:tc>
          <w:tcPr>
            <w:tcW w:w="2180" w:type="dxa"/>
            <w:vAlign w:val="bottom"/>
            <w:gridSpan w:val="3"/>
          </w:tcPr>
          <w:p>
            <w:pPr>
              <w:jc w:val="right"/>
              <w:ind w:right="398"/>
              <w:spacing w:after="0" w:line="145"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14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4"/>
                <w:szCs w:val="4"/>
                <w:color w:val="auto"/>
              </w:rPr>
            </w:pPr>
          </w:p>
        </w:tc>
        <w:tc>
          <w:tcPr>
            <w:tcW w:w="1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4"/>
                <w:szCs w:val="4"/>
                <w:color w:val="auto"/>
              </w:rPr>
            </w:pPr>
          </w:p>
        </w:tc>
        <w:tc>
          <w:tcPr>
            <w:tcW w:w="1400" w:type="dxa"/>
            <w:vAlign w:val="bottom"/>
            <w:gridSpan w:val="2"/>
            <w:vMerge w:val="restart"/>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4"/>
                <w:szCs w:val="4"/>
                <w:color w:val="auto"/>
              </w:rPr>
            </w:pPr>
          </w:p>
        </w:tc>
        <w:tc>
          <w:tcPr>
            <w:tcW w:w="1040" w:type="dxa"/>
            <w:vAlign w:val="bottom"/>
            <w:vMerge w:val="restart"/>
          </w:tcPr>
          <w:p>
            <w:pPr>
              <w:jc w:val="center"/>
              <w:ind w:right="57"/>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0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88,817,741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(460,452)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186,655</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rPr>
              <w:t>Issuance of common stock under</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169,931</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Issuance of common stock for services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0"/>
              </w:rPr>
              <w:t>Issuance of common stock upon exercise</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346,806</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of options</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Issuance of common stock upon vesting</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866,528</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restricted stock units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8"/>
              </w:rPr>
              <w:t>Unrealized gains on available-for-sale</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(65,437)</w:t>
            </w:r>
          </w:p>
        </w:tc>
        <w:tc>
          <w:tcPr>
            <w:tcW w:w="0" w:type="dxa"/>
            <w:vAlign w:val="bottom"/>
          </w:tcPr>
          <w:p>
            <w:pPr>
              <w:spacing w:after="0"/>
              <w:rPr>
                <w:sz w:val="1"/>
                <w:szCs w:val="1"/>
                <w:color w:val="auto"/>
              </w:rPr>
            </w:pPr>
          </w:p>
        </w:tc>
      </w:tr>
      <w:tr>
        <w:trPr>
          <w:trHeight w:val="244"/>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90,243,409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131,340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339" w:right="4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(121,931)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(65,437)</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Depreciation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Amortization of deferred compensation for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(discount) premium on investment securities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Change in derivative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interest associated with debt discount accretion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Accrued and other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(63,845)</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Arial" w:cs="Arial" w:eastAsia="Arial" w:hAnsi="Arial"/>
                <w:sz w:val="18"/>
                <w:szCs w:val="18"/>
                <w:color w:val="auto"/>
              </w:rPr>
              <w:t>Proceeds from maturities and redemptions of investments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79,402</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(107,200)</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(27,872)</w:t>
            </w: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in at-the-market offering, net of issuance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under equity incentive and stock purchase plans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(90,124)</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40" w:type="dxa"/>
            <w:vAlign w:val="bottom"/>
          </w:tcPr>
          <w:p>
            <w:pPr>
              <w:ind w:left="120"/>
              <w:spacing w:after="0" w:line="198" w:lineRule="exact"/>
              <w:rPr>
                <w:sz w:val="20"/>
                <w:szCs w:val="20"/>
                <w:color w:val="auto"/>
              </w:rPr>
            </w:pPr>
            <w:r>
              <w:rPr>
                <w:rFonts w:ascii="Arial" w:cs="Arial" w:eastAsia="Arial" w:hAnsi="Arial"/>
                <w:sz w:val="18"/>
                <w:szCs w:val="18"/>
                <w:color w:val="auto"/>
              </w:rPr>
              <w:t>Cash paid for income taxes</w:t>
            </w: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Supplementary disclosure of non-cash activities: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Arial" w:cs="Arial" w:eastAsia="Arial" w:hAnsi="Arial"/>
                <w:sz w:val="18"/>
                <w:szCs w:val="18"/>
                <w:color w:val="auto"/>
              </w:rPr>
              <w:t>Right-of-use assets obtained in exchange for lease obligations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services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r>
        <w:rPr>
          <w:rFonts w:ascii="Arial" w:cs="Arial" w:eastAsia="Arial" w:hAnsi="Arial"/>
          <w:sz w:val="18"/>
          <w:szCs w:val="18"/>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amounts and where otherwise noted)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Ardelyx, Inc. (the “Company,” “we,” “us” or “our”) is a biopharmaceutical company focused on the discovery, development, and commercialization of innovative first-in-class medicines to improve treatment for people with kidney and cardiorenal diseases.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operate in one business segment, which is the research, development and commercialization of biopharmaceutical products.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spacing w:after="0" w:line="19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included in our Annual Report on Form 10-K for the year ended December 31, 2020. The results for the three and nine months ended September 30, 2021 are not necessarily indicative of results to be expected for the entire year ending December 31, 2021, or for any other interim period or future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the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September 30, 2021, we had cash, cash equivalents and marketable securities of approximately $141.7 million. We believe our current available cash, cash equivalents and marketable securities will be sufficient to fund our planned expenditures and meet our obligations for at least 12 months following the filing of this Report on Form 10-Q.</w:t>
      </w:r>
    </w:p>
    <w:p>
      <w:pPr>
        <w:spacing w:after="0" w:line="1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July 28, 2021, we received a Complete Response Letter ("CRL") from the U.S. Food and Drug Administration ("FDA") regarding our New Drug Application ("NDA") for the control of serum phosphorus in adult patients with chronic kidney disease ("CKD") on dialysis in which the FDA noted additional requirements would need to be met in order to obtain approval for tenapanor for the control of serum phosphorus in adult patients with CKD on dialysis. On July 29, 2021 we entered into a Fourth Amendment to our Term Loan Agreement which extended the period of time that we are permitted to make interest-only payments on the Term Loan to December 1, 2021, provided, however, the amendment provided that if the FDA did not approve our NDA for tenapanor for the control of serum phosphorus in adult patients with CKD on or before October 25, 2021, then the interest-only period would expire and principal repayments would be required to begin on November 1, 2021. Further, on July 29, 2021, our Board of Directors approved, and on August 2, 2021, we implemented a restructuring plan to better align our workforce and anticipated commercial and development spend with our capital resources and the needs of our business following the receipt of the CRL.</w:t>
      </w:r>
    </w:p>
    <w:p>
      <w:pPr>
        <w:spacing w:after="0" w:line="1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8, 2021, our Board of Directors approved, and on October 12, 2021 we began implementing, an additional restructuring plan to further reduce operating costs and better align our workforce with the needs of our business following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conclusion of an End of Review Type A Meeting ("End of Review Meeting") with the FDA on October 1, 2021. The restructuring plan is expected to be completed in December 2021.</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November 2021, in compliance with the terms of our Loan Agreement as discussed in Note 5, we paid the first principal repayment on the Term Loan in the amount of $16.7 million. For additional information see Note 13, Subsequent Events.</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Failure to raise sufficient capital when needed or generate product revenue will further impact our ability to pursue our business strategies and could require us to further delay, scale back or discontinue one or more of our product development programs, commercialization efforts, or other aspects of our business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have been no changes to the significant accounting policies disclosed in our most recent Annual Report on Form 10-K other than the following: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recognize restructuring charges related to reorganization plans that have been committed to by management and when liabilities have been incurred. In connection with these activities, we record restructuring charges at fair value for, a) contractual employee termination benefits when obligations are associated to services already rendered, rights to such benefits have vested, and payment of benefits is probable and can be reasonably estimated, b)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c) contract termination costs when a contract is terminated before the end of its term.</w:t>
      </w:r>
    </w:p>
    <w:p>
      <w:pPr>
        <w:spacing w:after="0" w:line="15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spacing w:after="0" w:line="18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recognition of restructuring charges requires us to make certain judgments and estimates regarding the nature, timing and amount of costs associated with the planned reorganization plan. To the extent our actual results differ from our estimates and assumptions, we may be required to revise the estimates of future accrued restructuring liabilities, requiring the recognition of additional restructuring charges or the reduction of accrued restructuring liabilities already recognized. Such changes to previously estimated amounts may be material to the consolidated financial statements. Changes in the estimates of the restructuring charges are recorded in the period the change is determined.</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the end of each reporting period, we evaluate the remaining accrued restructuring balances to ensure that no excess accruals are retained, and the utilization of the provisions are for their intended purpose in accordance with developed restructuring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adopted no new accounting pronouncements other than those disclosed in our most recent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an amendment which modifies the measurement and recognition of credit losses for most financial assets and certain other instruments.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 allowance through net income rather than reducing the carrying amount under the current, other-than-temporary-impairment model. For smaller reporting companies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guidance is effective for fiscal years beginning after December 15, 2022, including interim periods within those fiscal years. On June 30, 2021, our public float exceeded $700 million and therefore, on December 31, 2021, we will no longer qualify as a “smaller reporting company” and will instead be considered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large accelerated filer. We expect to adopt Topic 326 in the fourth quarter of 2021. We do not expect the adoption of ASU 2016-13 to have a material impact on our financial statements and related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INVESTMENTS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Securities classified as cash, cash equivalents and investments as of September 30, 2021 and December 31, 2020 are summarized below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September 30, 2021</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19"/>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Gross Unrealized</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28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Losses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b w:val="1"/>
                <w:bCs w:val="1"/>
                <w:color w:val="auto"/>
              </w:rPr>
              <w:t>Fair Value</w:t>
            </w:r>
          </w:p>
        </w:tc>
      </w:tr>
      <w:tr>
        <w:trPr>
          <w:trHeight w:val="205"/>
        </w:trPr>
        <w:tc>
          <w:tcPr>
            <w:tcW w:w="49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980" w:type="dxa"/>
            <w:vAlign w:val="bottom"/>
          </w:tcPr>
          <w:p>
            <w:pPr>
              <w:ind w:left="12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5,712</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5,712</w:t>
            </w:r>
          </w:p>
        </w:tc>
      </w:tr>
      <w:tr>
        <w:trPr>
          <w:trHeight w:val="22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68,326</w:t>
            </w:r>
          </w:p>
        </w:tc>
      </w:tr>
      <w:tr>
        <w:trPr>
          <w:trHeight w:val="225"/>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75,288</w:t>
            </w:r>
          </w:p>
        </w:tc>
      </w:tr>
      <w:tr>
        <w:trPr>
          <w:trHeight w:val="205"/>
        </w:trPr>
        <w:tc>
          <w:tcPr>
            <w:tcW w:w="4980" w:type="dxa"/>
            <w:vAlign w:val="bottom"/>
          </w:tcPr>
          <w:p>
            <w:pPr>
              <w:ind w:left="20"/>
              <w:spacing w:after="0" w:line="204" w:lineRule="exact"/>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2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49,922</w:t>
            </w:r>
          </w:p>
        </w:tc>
      </w:tr>
      <w:tr>
        <w:trPr>
          <w:trHeight w:val="225"/>
        </w:trPr>
        <w:tc>
          <w:tcPr>
            <w:tcW w:w="49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11,101</w:t>
            </w:r>
          </w:p>
        </w:tc>
      </w:tr>
      <w:tr>
        <w:trPr>
          <w:trHeight w:val="22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r>
      <w:tr>
        <w:trPr>
          <w:trHeight w:val="21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66,360</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0"/>
              </w:rPr>
              <w:t>(3)</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66,363</w:t>
            </w: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0"/>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December 31, 2020</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19"/>
        </w:trPr>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rPr>
              <w:t>Gross Unrealized</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8"/>
        </w:trPr>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b w:val="1"/>
                <w:bCs w:val="1"/>
                <w:color w:val="auto"/>
              </w:rPr>
              <w:t>Fair Value</w:t>
            </w:r>
          </w:p>
        </w:tc>
      </w:tr>
      <w:tr>
        <w:trPr>
          <w:trHeight w:val="205"/>
        </w:trPr>
        <w:tc>
          <w:tcPr>
            <w:tcW w:w="50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5000" w:type="dxa"/>
            <w:vAlign w:val="bottom"/>
          </w:tcPr>
          <w:p>
            <w:pPr>
              <w:ind w:left="12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2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88,151</w:t>
            </w:r>
          </w:p>
        </w:tc>
      </w:tr>
      <w:tr>
        <w:trPr>
          <w:trHeight w:val="225"/>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91,032</w:t>
            </w:r>
          </w:p>
        </w:tc>
      </w:tr>
      <w:tr>
        <w:trPr>
          <w:trHeight w:val="205"/>
        </w:trPr>
        <w:tc>
          <w:tcPr>
            <w:tcW w:w="5000" w:type="dxa"/>
            <w:vAlign w:val="bottom"/>
          </w:tcPr>
          <w:p>
            <w:pPr>
              <w:ind w:left="20"/>
              <w:spacing w:after="0" w:line="204" w:lineRule="exact"/>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2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60,629</w:t>
            </w:r>
          </w:p>
        </w:tc>
      </w:tr>
      <w:tr>
        <w:trPr>
          <w:trHeight w:val="225"/>
        </w:trPr>
        <w:tc>
          <w:tcPr>
            <w:tcW w:w="500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24,544</w:t>
            </w:r>
          </w:p>
        </w:tc>
      </w:tr>
      <w:tr>
        <w:trPr>
          <w:trHeight w:val="22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government-sponsored agency bonds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r>
      <w:tr>
        <w:trPr>
          <w:trHeight w:val="225"/>
        </w:trPr>
        <w:tc>
          <w:tcPr>
            <w:tcW w:w="500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95,452</w:t>
            </w:r>
          </w:p>
        </w:tc>
      </w:tr>
      <w:tr>
        <w:trPr>
          <w:trHeight w:val="205"/>
        </w:trPr>
        <w:tc>
          <w:tcPr>
            <w:tcW w:w="5000" w:type="dxa"/>
            <w:vAlign w:val="bottom"/>
          </w:tcPr>
          <w:p>
            <w:pPr>
              <w:ind w:left="20"/>
              <w:spacing w:after="0" w:line="204" w:lineRule="exact"/>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19"/>
        </w:trPr>
        <w:tc>
          <w:tcPr>
            <w:tcW w:w="5000" w:type="dxa"/>
            <w:vAlign w:val="bottom"/>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188,598</w:t>
            </w: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We invest excess cash in marketable securities with high credit ratings. These securities consist primarily of money market funds, commercial paper, corporate bonds, asset-backed securities, and U.S. treasury and agency securities and are classified as “available-for-sale.”</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All of the available-for-sale securities that we held as of September 30, 2021 had contractual maturities of less than one year. Our available-for-sale securities are subject to a periodic impairment review. We consider a debt security to be impaired when the fair value of that security is less than its carrying cost, in which case we would further evaluate the investment to determine whether the security is other-than-temporarily impaired. When we evaluate an investment for other-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than-temporary impairment, we review factors such as the length of time and extent to which fair value has been below cost basis, the financial condition or creditworthiness of the issuer and any changes thereto, intent to sell, and whether it is more likely than not we will be required to sell the investment before the recovery of its cost basis. If an investment is other-than-temporarily impaired, we write the investment down through the statement of operations to its fair value and establish that value as the new cost basis for the investment. Management has determined that none of our available-for-sale securities were other-than-temporarily impaired in any of the periods presented, and, as of September 30, 2021, no investment was in a continuous unrealized loss position for more than one year. As such, we believe that it is more likely than not that investments in a loss position will be held until maturity or a forecasted recovery of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3"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138" w:lineRule="exact"/>
        <w:rPr>
          <w:sz w:val="20"/>
          <w:szCs w:val="20"/>
          <w:color w:val="auto"/>
        </w:rPr>
      </w:pPr>
    </w:p>
    <w:p>
      <w:pPr>
        <w:jc w:val="both"/>
        <w:ind w:left="1460" w:right="140" w:hanging="1112"/>
        <w:spacing w:after="0" w:line="219" w:lineRule="auto"/>
        <w:tabs>
          <w:tab w:leader="none" w:pos="144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are based on quoted prices in active markets for identical assets or liabilities and readily accessible by us at the reporting date. Examples of assets and liabilities utilizing Level 1 inputs are certain money market funds, U.S. treasuries and trading securities with quoted prices on active markets.</w:t>
      </w:r>
    </w:p>
    <w:p>
      <w:pPr>
        <w:spacing w:after="0" w:line="56" w:lineRule="exact"/>
        <w:rPr>
          <w:sz w:val="20"/>
          <w:szCs w:val="20"/>
          <w:color w:val="auto"/>
        </w:rPr>
      </w:pPr>
    </w:p>
    <w:p>
      <w:pPr>
        <w:jc w:val="both"/>
        <w:ind w:left="1460" w:right="140" w:hanging="1112"/>
        <w:spacing w:after="0" w:line="227" w:lineRule="auto"/>
        <w:tabs>
          <w:tab w:leader="none" w:pos="144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7"/>
          <w:szCs w:val="17"/>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1 inputs are certain money market funds, U.S. treasuries and trading securities with quoted prices on active markets.</w:t>
      </w:r>
    </w:p>
    <w:p>
      <w:pPr>
        <w:spacing w:after="0" w:line="55"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5"/>
          <w:szCs w:val="15"/>
          <w:color w:val="auto"/>
        </w:rPr>
        <w:t>Valuations based on unobservable inputs for which there is little or no market data, which require us to develop our own assumptions.</w:t>
      </w:r>
    </w:p>
    <w:p>
      <w:pPr>
        <w:spacing w:after="0" w:line="297"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The following table sets forth the fair value of our financial assets and liabilities that are measured or disclosed on a recurring basis by level within the fair value hierarchy (in thousands):</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September 30, 2021</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360"/>
              <w:spacing w:after="0" w:line="166" w:lineRule="exact"/>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Level 1</w:t>
            </w:r>
          </w:p>
        </w:tc>
        <w:tc>
          <w:tcPr>
            <w:tcW w:w="58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Level 2</w:t>
            </w:r>
          </w:p>
        </w:tc>
        <w:tc>
          <w:tcPr>
            <w:tcW w:w="540" w:type="dxa"/>
            <w:vAlign w:val="bottom"/>
          </w:tcPr>
          <w:p>
            <w:pPr>
              <w:spacing w:after="0"/>
              <w:rPr>
                <w:sz w:val="14"/>
                <w:szCs w:val="14"/>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5"/>
        </w:trPr>
        <w:tc>
          <w:tcPr>
            <w:tcW w:w="4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20" w:type="dxa"/>
            <w:vAlign w:val="bottom"/>
            <w:tcBorders>
              <w:top w:val="single" w:sz="8" w:color="CCEEFF"/>
            </w:tcBorders>
            <w:shd w:val="clear" w:color="auto" w:fill="CCEEFF"/>
          </w:tcPr>
          <w:p>
            <w:pPr>
              <w:ind w:left="340"/>
              <w:spacing w:after="0" w:line="204" w:lineRule="exact"/>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2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68,326</w:t>
            </w:r>
          </w:p>
        </w:tc>
        <w:tc>
          <w:tcPr>
            <w:tcW w:w="1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68,326</w:t>
            </w:r>
          </w:p>
        </w:tc>
        <w:tc>
          <w:tcPr>
            <w:tcW w:w="10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Asset-backed securities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20" w:type="dxa"/>
            <w:vAlign w:val="bottom"/>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135,939</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68,326</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67,613</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2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liability for Exit Fee</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9"/>
        </w:trPr>
        <w:tc>
          <w:tcPr>
            <w:tcW w:w="4320" w:type="dxa"/>
            <w:vAlign w:val="bottom"/>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3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518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6" w:lineRule="exact"/>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4"/>
                <w:szCs w:val="14"/>
                <w:color w:val="auto"/>
              </w:rPr>
            </w:pPr>
          </w:p>
        </w:tc>
        <w:tc>
          <w:tcPr>
            <w:tcW w:w="114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government-sponsored agency bonds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U.S. treasury notes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5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Derivative liability for Exit Fee</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asset-backed securities and foreign currency derivative contracts as Level 2. In certain cases, where there is limited activity or less transparency around inputs to valuation, securities or derivative liabilities, such as the Exit Fee, as defined and discussed in Note 6, are classified as Level 3.</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carrying amounts reflected in the balance sheets for cash equivalents, short-term investments, accounts receivable, prepaid expenses and other current assets, accounts payable and accrued expenses approximate their fair values at both September 30, 2021 and December 31, 2020, due to their short-term nature.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interest rate of our term loan facility approximates the rate at which we could obtain alternative financing. Therefore, the carrying amount of the term loan facility approximated its fair value at September 30, 2021 and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 AND LICENSING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(“KKC”)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KKC Agreement</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November 2019, we entered into a research collaboration and option agreement with KKC (the “2019 KKC Agreement”) for research associated with identifying two preclinical compounds that are ready for designation as development compounds (“DCs”), with one compound inhibiting the first undisclosed target (“Program 1”), and a second inhibiting the second undisclosed target (“Program 2”). Pursuant to the 2019 KKC Agreement, upon completion of the research and designation by the research steering committee of one or more DCs, KKC has the right to execute one or more separate collaborative agreements relating to the development and commercialization of one or both DCs in certain specified territories.</w:t>
      </w:r>
    </w:p>
    <w:p>
      <w:pPr>
        <w:spacing w:after="0" w:line="18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Under the terms of the 2019 KKC Agreement, KKC paid us a non-refundable, non-creditable upfront fee of $10.0 million in two installments as follows: the first installment of $5.0 million within 30 days of November 11, 2019 (the “Effective Date”), and the second installment of $5.0 million on the first anniversary of the Effective Date. The term of the 2019 KKC Agreement commenced on the Effective Date and ends on the earliest of: (i) 2 years following the Effective Date, (ii) the nomination of a program DC for both programs, (iii) the nomination of one program DC and the decision by the parties to cease research for the other program, or (iv) the decision by the parties to cease research for both programs.</w:t>
      </w:r>
    </w:p>
    <w:p>
      <w:pPr>
        <w:spacing w:after="0" w:line="18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During the three and nine months ended September 30, 2021, we recognized $0.9 million and $3.7 million, respectively, as collaborative development revenue under the 2019 KKC Agreement in the accompanying condensed statement of operations and comprehensive loss. During the three and nine months ended September 30, 2020, we recognized $1.4 million and $3.7 million, respectively, as collaborative development revenue under the 2019 KKC Agreement in the accompanying condensed statement of operations and comprehensive loss. The aggregate amount of the transaction price allocated to our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partially unsatisfied performance obligations as of September 30, 2021 and December 31, 2020 was $0.5 million and $4.2 million, respectively, which is presented in the accompanying condensed balance sheet as deferred revenue. As of September 30, 2021, we expect to recognize the remaining transaction price allocated to our partially unsatisfied performance obligations over the remaining research terms, which is currently expected to extend through the end of 2021. There were no significant changes in estimates associated with the 2019 KKC Agreement during the nine months ended September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KKC Agreement</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November 2017, we entered into an exclusive license agreement with KKC (the “2017 KKC Agreement”), for the development, commercialization, and distribution of tenapanor in Japan for cardiorenal indications. We granted KKC an exclusive license to develop and commercialize certain sodium hydrogen exchanger 3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all licensed indications in Japan. We are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We assessed these arrangements in accordance with Accounting Standards Update (“ASU”) No. 2014-09, </w:t>
      </w:r>
      <w:r>
        <w:rPr>
          <w:rFonts w:ascii="Arial" w:cs="Arial" w:eastAsia="Arial" w:hAnsi="Arial"/>
          <w:sz w:val="15"/>
          <w:szCs w:val="15"/>
          <w:i w:val="1"/>
          <w:iCs w:val="1"/>
          <w:color w:val="auto"/>
        </w:rPr>
        <w:t>Revenue from Contracts with Customers (Topic</w:t>
      </w:r>
    </w:p>
    <w:p>
      <w:pPr>
        <w:spacing w:after="0" w:line="51" w:lineRule="exact"/>
        <w:rPr>
          <w:sz w:val="20"/>
          <w:szCs w:val="20"/>
          <w:color w:val="auto"/>
        </w:rPr>
      </w:pPr>
    </w:p>
    <w:p>
      <w:pPr>
        <w:jc w:val="both"/>
        <w:ind w:firstLine="6"/>
        <w:spacing w:after="0" w:line="247" w:lineRule="auto"/>
        <w:tabs>
          <w:tab w:leader="none" w:pos="37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related amendments (“ASC 606”) </w:t>
      </w:r>
      <w:r>
        <w:rPr>
          <w:rFonts w:ascii="Arial" w:cs="Arial" w:eastAsia="Arial" w:hAnsi="Arial"/>
          <w:sz w:val="18"/>
          <w:szCs w:val="18"/>
          <w:color w:val="auto"/>
        </w:rPr>
        <w:t>and concluded that the contract counterparty, KKC, is a customer. Under the terms of the 2017 KKC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received $30.0 million in upfront license fees, which was recognized as revenue when the agreement was executed. Based on our assessment, management determined that the license and the manufacturing supply services were its material performance obligations at the inception of the 2017 KKC Agreement, and as such, each of the performance obligations is distinct.</w:t>
      </w:r>
    </w:p>
    <w:p>
      <w:pPr>
        <w:spacing w:after="0" w:line="19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to the up-front license fee received of $30.0 million, we may be entitled to receive up to $55.0 million in total development milestones, of which $10.0 million has been received and recognized as revenue as of September 30, 2021, and approximately ¥8.5 billion for commercialization milestones, or approximately $76.1 million at the currency exchange rate on September 30, 2021, as well as reimbursement of costs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September 30, 2021.</w:t>
      </w:r>
    </w:p>
    <w:p>
      <w:pPr>
        <w:spacing w:after="0" w:line="1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During the three and nine months ended September 30, 2021 we recognized zero and $5.0 million, respectively, as licensing revenue upon the achievement of development milestones. During the three and nine months ended September 30, 2020, we recognized no licensing revenue upon the achievement of development milestones. The $5.0 million development milestone recognized during the three months ended March 31, 2021 related to the initiation by KKC of phase 3 clinical studies in Japan to evaluate tenapanor for hyperphosphatemia. During the three and nine months ended September 30, 2021, we recognized $0.3 million and $0.4 million as product supply revenue related to the manufacturing supply of tenapanor and other materials to KKC pursuant to the 2017 KKC Agreement. During the three and nine months ended September 30, 2020, we recognized $1.4 million and $1.4 million as product supply revenue.</w:t>
      </w:r>
    </w:p>
    <w:p>
      <w:pPr>
        <w:spacing w:after="0" w:line="1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March 31, 2021, we received a $2.9 million prepayment from KKC for the manufacturing of tenapanor drug substance. The prepayment is reflected within prepaid and other current assets and deferred revenue, non-current on our condensed balance sheet as of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December 2017, we entered into an exclusive license agreement with Fosun Pharma (the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 $12.0 million in upfront license fees which was recognized as revenue when the agreement was executed. Based on management’s assessment, we determined that the license and the manufacturing supply services represented the material performance obligations at the inception of the agreement, and as such, each of the performance obligations is distinct.</w:t>
      </w:r>
    </w:p>
    <w:p>
      <w:pPr>
        <w:spacing w:after="0" w:line="19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September 30, 2021.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recorded no revenue during the three and nine months ended September 30, 2021 related to the Fosun Agreement.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March 2018, we entered into an exclusive license agreement with Knight (the “Knight Agreement”) for the development, commercialization and distribution of tenapanor in Canada for hyperphosphatemia and IBS-C. We assessed this arrangement in accordance with ASC 606 and concluded that the contract counterparty, Knight, is a customer. Based on management’s assessment, we determined that the license and the manufacturing supply services represented the material performance obligations at the inception of the agreement, and as such, each of the performance obligations is distinct. Under the terms of the agreement, we received a $2.3 million nonrefundable, one-time upfront payment in March 2018 and are eligible to receive additional development and commercialization milestone payments worth up to $17.5 million.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AB (“AstraZeneca”)</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June 2015, we entered into a termination agreement with AstraZeneca (the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As of September 30, 2021, to date in aggregate, we have recognized $11.6 million of the $75.0 million, which has been recorded as cost of revenue, and have paid AstraZeneca $11.6 million. For the three and nine months ended September 30, 2021 we recognized and recorded as cost of revenue zero and $1.0 million related to the AstraZeneca Termination Agreement. For the three and nine months ended September 30, 2020 we recognized zero and $0.1 million, respectively, as cost of revenue related to the AstraZeneca Termination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present changes in our current and non-current deferred revenue balances during the reporting period. The current deferred revenue balance is attributable entirely to the 2019 KKC Agreement and the non-current deferred revenue balance is attributable entirely to the 2017 KKC Agreement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ind w:right="192"/>
              <w:spacing w:after="0"/>
              <w:rPr>
                <w:sz w:val="20"/>
                <w:szCs w:val="20"/>
                <w:color w:val="auto"/>
              </w:rPr>
            </w:pPr>
            <w:r>
              <w:rPr>
                <w:rFonts w:ascii="Arial" w:cs="Arial" w:eastAsia="Arial" w:hAnsi="Arial"/>
                <w:sz w:val="18"/>
                <w:szCs w:val="18"/>
                <w:b w:val="1"/>
                <w:bCs w:val="1"/>
                <w:color w:val="auto"/>
                <w:w w:val="91"/>
              </w:rPr>
              <w:t>Deferred revenue -</w:t>
            </w:r>
          </w:p>
        </w:tc>
      </w:tr>
      <w:tr>
        <w:trPr>
          <w:trHeight w:val="225"/>
        </w:trPr>
        <w:tc>
          <w:tcPr>
            <w:tcW w:w="9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current</w:t>
            </w:r>
          </w:p>
        </w:tc>
      </w:tr>
      <w:tr>
        <w:trPr>
          <w:trHeight w:val="218"/>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r>
      <w:tr>
        <w:trPr>
          <w:trHeight w:val="225"/>
        </w:trPr>
        <w:tc>
          <w:tcPr>
            <w:tcW w:w="9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Decreases due to revenue recognized in the period for which cash has been received</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r>
      <w:tr>
        <w:trPr>
          <w:trHeight w:val="244"/>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Deferred revenue - non-</w:t>
            </w:r>
          </w:p>
        </w:tc>
      </w:tr>
      <w:tr>
        <w:trPr>
          <w:trHeight w:val="225"/>
        </w:trPr>
        <w:tc>
          <w:tcPr>
            <w:tcW w:w="9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current</w:t>
            </w:r>
          </w:p>
        </w:tc>
      </w:tr>
      <w:tr>
        <w:trPr>
          <w:trHeight w:val="218"/>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Increases to amounts invoiced for which cash has been received</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r>
      <w:tr>
        <w:trPr>
          <w:trHeight w:val="244"/>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May 16, 2018, we entered into a loan and security agreement (the “Loan Agreement”), with Solar Capital Ltd. and Western Alliance Bank (collectively the “Lenders”). The Loan Agreement provides for a $50.0 million term loan facility with a maturity date of November 1, 2022 (the “Term Loan”).</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October 9, 2020, we and the Lenders entered into an amendment to the Loan Agreement (“the 2020 Amendment”) to extend the date through which we are permitted to make interest-only payments on the Term Loan by twelve months to December 1, 2021. The 2020 amendment also required that if either the FDA does not approve our NDA for tenapanor for the control of serum phosphorus in adult patients with CKD on dialysis on or before May 31, 2021 or the FDA issues a CRL with</w:t>
      </w:r>
    </w:p>
    <w:p>
      <w:pPr>
        <w:sectPr>
          <w:pgSz w:w="11900" w:h="16838" w:orient="portrait"/>
          <w:cols w:equalWidth="0" w:num="1">
            <w:col w:w="11240"/>
          </w:cols>
          <w:pgMar w:left="320" w:top="339"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respect to our NDA Number 213931, then we are to begin principal payments on the earlier of June 1, 2021 or the first day of the month immediately following the date that the FDA issues us a CRL. On April 29, 2021, the FDA extended the Prescription Drug User Fee Act ("PDUFA") date for tenapanor for the control of serum phosphorus in adult patients with CKD on dialysis by three months to July 29, 2021, making it unlikely that the FDA would approve our NDA for tenapanor for the control of serum phosphorus in adult patients with CKD on dialysis on or before May 31, 2021.</w:t>
      </w:r>
    </w:p>
    <w:p>
      <w:pPr>
        <w:spacing w:after="0" w:line="17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May and July 2021, we and the Lenders entered into additional amendments to the Loan Agreement (“the 2021 Amendments”) which together extended the period of time that we are permitted to make interest-only payments on the Term Loan to December 1, 2021; provided that if we have not received FDA approval for our NDA for tenapanor for the control of serum phosphorus in adult patients with CDK on dialysis on or before October 25, 2021, the interest-only period will expire and principal repayments shall be required to begin on November 1, 2021. If principal repayments are required to begin prior to December 1, 2021 under the 2021 Amendments, then the first such repayment shall include all payments that would have been due if monthly principal repayment had begun on June 1, 2021. As of September 30, 2021, we have classified our loan payable, current to include all principal payments that would have been due beginning on June 1, 2021. During November 2021, in compliance with the terms of our Loan Agreement, we paid the first principal repayment on the Term Loan in the amount of $16.7 million. For additional information see Note 13, Subsequent Events.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paid a closing fee of 1% of the Term Loan, or $0.5 million, upon the closing of the Term Loan, $0.1 million upon closing of the 2020 Amendment and $0.1 million upon closing of the 2021 Amendments. Under the Term Loan, we are also obligated to pay a final fee equal to 4.95% of the Term Loan upon the earliest to occur of the maturity date, the acceleration of the Term Loan, the prepayment or repayment of the Term Loan or the termination of the Loan Agreement. We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our assets, except for our intellectual property and certain other customary exclusions. Additionally, in connection with the Term Loan, we entered into the Exit Fee Agreement, as discussed in Note 6.</w:t>
      </w:r>
    </w:p>
    <w:p>
      <w:pPr>
        <w:spacing w:after="0" w:line="19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Loan Agreement also contains customary events of default that entitle the Lenders to cause us indebtedness under the Loan Agreement to become immediately due and payable, and to exercise remedies against us and the collateral securing the Term Loan, including our cash. Upon the occurrence and for the duration of an event of default, an additional default interest rate equal to 4% per annum will apply to all amounts owed under the Loan Agreement. As of September 30, 2021 and as of the date of filing this Quarterly Report on Form 10-Q, to our knowledge, there were no facts or circumstances in existence that would give rise to an event of default.</w:t>
      </w:r>
    </w:p>
    <w:p>
      <w:pPr>
        <w:spacing w:after="0" w:line="19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our future payment obligations related to the Term Loan, excluding interest payments and the Exit Fee, are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repayment obligations</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52,475</w:t>
            </w:r>
          </w:p>
        </w:tc>
      </w:tr>
      <w:tr>
        <w:trPr>
          <w:trHeight w:val="225"/>
        </w:trPr>
        <w:tc>
          <w:tcPr>
            <w:tcW w:w="9780" w:type="dxa"/>
            <w:vAlign w:val="bottom"/>
          </w:tcPr>
          <w:p>
            <w:pPr>
              <w:ind w:left="120"/>
              <w:spacing w:after="0"/>
              <w:rPr>
                <w:sz w:val="20"/>
                <w:szCs w:val="20"/>
                <w:color w:val="auto"/>
              </w:rPr>
            </w:pPr>
            <w:r>
              <w:rPr>
                <w:rFonts w:ascii="Arial" w:cs="Arial" w:eastAsia="Arial" w:hAnsi="Arial"/>
                <w:sz w:val="18"/>
                <w:szCs w:val="18"/>
                <w:color w:val="auto"/>
              </w:rPr>
              <w:t>Less: Unamortized discount and debt issuance costs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26"/>
        </w:trPr>
        <w:tc>
          <w:tcPr>
            <w:tcW w:w="9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Unaccreted value of final fee</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18"/>
        </w:trPr>
        <w:tc>
          <w:tcPr>
            <w:tcW w:w="9780" w:type="dxa"/>
            <w:vAlign w:val="bottom"/>
          </w:tcPr>
          <w:p>
            <w:pPr>
              <w:ind w:left="20"/>
              <w:spacing w:after="0" w:line="204" w:lineRule="exact"/>
              <w:rPr>
                <w:sz w:val="20"/>
                <w:szCs w:val="20"/>
                <w:color w:val="auto"/>
              </w:rPr>
            </w:pPr>
            <w:r>
              <w:rPr>
                <w:rFonts w:ascii="Arial" w:cs="Arial" w:eastAsia="Arial" w:hAnsi="Arial"/>
                <w:sz w:val="18"/>
                <w:szCs w:val="18"/>
                <w:color w:val="auto"/>
              </w:rPr>
              <w:t>Loan payable</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51,476</w:t>
            </w:r>
          </w:p>
        </w:tc>
      </w:tr>
      <w:tr>
        <w:trPr>
          <w:trHeight w:val="226"/>
        </w:trPr>
        <w:tc>
          <w:tcPr>
            <w:tcW w:w="9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Loan payable,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(44,444)</w:t>
            </w:r>
          </w:p>
        </w:tc>
      </w:tr>
      <w:tr>
        <w:trPr>
          <w:trHeight w:val="218"/>
        </w:trPr>
        <w:tc>
          <w:tcPr>
            <w:tcW w:w="9780" w:type="dxa"/>
            <w:vAlign w:val="bottom"/>
          </w:tcPr>
          <w:p>
            <w:pPr>
              <w:ind w:left="20"/>
              <w:spacing w:after="0"/>
              <w:rPr>
                <w:sz w:val="20"/>
                <w:szCs w:val="20"/>
                <w:color w:val="auto"/>
              </w:rPr>
            </w:pPr>
            <w:r>
              <w:rPr>
                <w:rFonts w:ascii="Arial" w:cs="Arial" w:eastAsia="Arial" w:hAnsi="Arial"/>
                <w:sz w:val="18"/>
                <w:szCs w:val="18"/>
                <w:color w:val="auto"/>
              </w:rPr>
              <w:t>Loan payable, net of current portion</w:t>
            </w: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w:t>
            </w:r>
          </w:p>
        </w:tc>
      </w:tr>
      <w:tr>
        <w:trPr>
          <w:trHeight w:val="20"/>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LIABILITY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Fee</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May 2018, in connection with entering into the Loan Agreement, as defined and discussed in Note 5, we entered into an agreement pursuant to which we agreed to pay $1.5 million in cash (the “Exit Fee”) upon any change of control transaction in respect of the Company or if we obtain both (i) FDA approval of tenapanor for the control of serum phosphorus in adult patients with CKD on dialysis and (ii) FDA approval of tenapanor for the treatment of patients with irritable bowel syndrome with constipation (“IBS-C”), which was obtained on September 12, 2019 when the FDA approved IBSRELA® (tenapanor), a 50 milligram, twice daily oral pill for the treatment of IBS-C in adults (the “Exit Fee Agreement”). Notwithstanding the prepayment or termination of the Term Loan, as defined and discussed in Note 5, our obligation to pay the Exit Fee will expire on May 16, 2028. We concluded that the Exit Fee is a freestanding derivative which should be accounted for at fair value on a</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recurring basis. The estimated fair value of the Exit Fee is recorded as a derivative liability and included in accrued expenses and other current liabilities on the accompanying condensed balance sheets.</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derivative liability include: (i) our estimates of both the probability and timing of a potential $1.5 million payment to Solar Capital Ltd. and Western Alliance Bank as a result of the FDA approvals and (ii) a discount rate which was derived from our estimated cost of debt, adjusted with current LIBOR (or a comparable successor rate if LIBOR no longer exists). Generally, increases or decreases in the probability of occurrence would result in a directionally similar impact in the fair value measurement of the derivative liability and it is estimated that a 10% increase (decrease), not to exceed 100%, in the probability of occurrence would result in a fair value fluctuation of no more than $0.1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Changes in the fair value of recurring measurements included in Level 3 of the fair value hierarchy are presented as other income, net in our statements of</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operations</w:t>
            </w:r>
          </w:p>
        </w:tc>
        <w:tc>
          <w:tcPr>
            <w:tcW w:w="540" w:type="dxa"/>
            <w:vAlign w:val="bottom"/>
          </w:tcPr>
          <w:p>
            <w:pPr>
              <w:ind w:left="140"/>
              <w:spacing w:after="0"/>
              <w:rPr>
                <w:sz w:val="20"/>
                <w:szCs w:val="20"/>
                <w:color w:val="auto"/>
              </w:rPr>
            </w:pPr>
            <w:r>
              <w:rPr>
                <w:rFonts w:ascii="Arial" w:cs="Arial" w:eastAsia="Arial" w:hAnsi="Arial"/>
                <w:sz w:val="18"/>
                <w:szCs w:val="18"/>
                <w:color w:val="auto"/>
              </w:rPr>
              <w:t>and</w:t>
            </w:r>
          </w:p>
        </w:tc>
        <w:tc>
          <w:tcPr>
            <w:tcW w:w="640" w:type="dxa"/>
            <w:vAlign w:val="bottom"/>
          </w:tcPr>
          <w:p>
            <w:pPr>
              <w:ind w:left="160"/>
              <w:spacing w:after="0"/>
              <w:rPr>
                <w:sz w:val="20"/>
                <w:szCs w:val="20"/>
                <w:color w:val="auto"/>
              </w:rPr>
            </w:pPr>
            <w:r>
              <w:rPr>
                <w:rFonts w:ascii="Arial" w:cs="Arial" w:eastAsia="Arial" w:hAnsi="Arial"/>
                <w:sz w:val="18"/>
                <w:szCs w:val="18"/>
                <w:color w:val="auto"/>
              </w:rPr>
              <w:t>were</w:t>
            </w:r>
          </w:p>
        </w:tc>
        <w:tc>
          <w:tcPr>
            <w:tcW w:w="440" w:type="dxa"/>
            <w:vAlign w:val="bottom"/>
          </w:tcPr>
          <w:p>
            <w:pPr>
              <w:ind w:left="140"/>
              <w:spacing w:after="0"/>
              <w:rPr>
                <w:sz w:val="20"/>
                <w:szCs w:val="20"/>
                <w:color w:val="auto"/>
              </w:rPr>
            </w:pPr>
            <w:r>
              <w:rPr>
                <w:rFonts w:ascii="Arial" w:cs="Arial" w:eastAsia="Arial" w:hAnsi="Arial"/>
                <w:sz w:val="18"/>
                <w:szCs w:val="18"/>
                <w:color w:val="auto"/>
              </w:rPr>
              <w:t>as</w:t>
            </w:r>
          </w:p>
        </w:tc>
        <w:tc>
          <w:tcPr>
            <w:tcW w:w="820" w:type="dxa"/>
            <w:vAlign w:val="bottom"/>
          </w:tcPr>
          <w:p>
            <w:pPr>
              <w:ind w:left="140"/>
              <w:spacing w:after="0"/>
              <w:rPr>
                <w:sz w:val="20"/>
                <w:szCs w:val="20"/>
                <w:color w:val="auto"/>
              </w:rPr>
            </w:pPr>
            <w:r>
              <w:rPr>
                <w:rFonts w:ascii="Arial" w:cs="Arial" w:eastAsia="Arial" w:hAnsi="Arial"/>
                <w:sz w:val="18"/>
                <w:szCs w:val="18"/>
                <w:color w:val="auto"/>
              </w:rPr>
              <w:t>follows</w:t>
            </w:r>
          </w:p>
        </w:tc>
        <w:tc>
          <w:tcPr>
            <w:tcW w:w="480" w:type="dxa"/>
            <w:vAlign w:val="bottom"/>
          </w:tcPr>
          <w:p>
            <w:pPr>
              <w:ind w:left="140"/>
              <w:spacing w:after="0"/>
              <w:rPr>
                <w:sz w:val="20"/>
                <w:szCs w:val="20"/>
                <w:color w:val="auto"/>
              </w:rPr>
            </w:pPr>
            <w:r>
              <w:rPr>
                <w:rFonts w:ascii="Arial" w:cs="Arial" w:eastAsia="Arial" w:hAnsi="Arial"/>
                <w:sz w:val="18"/>
                <w:szCs w:val="18"/>
                <w:color w:val="auto"/>
              </w:rPr>
              <w:t>for</w:t>
            </w:r>
          </w:p>
        </w:tc>
        <w:tc>
          <w:tcPr>
            <w:tcW w:w="640" w:type="dxa"/>
            <w:vAlign w:val="bottom"/>
          </w:tcPr>
          <w:p>
            <w:pPr>
              <w:ind w:left="140"/>
              <w:spacing w:after="0"/>
              <w:rPr>
                <w:sz w:val="20"/>
                <w:szCs w:val="20"/>
                <w:color w:val="auto"/>
              </w:rPr>
            </w:pPr>
            <w:r>
              <w:rPr>
                <w:rFonts w:ascii="Arial" w:cs="Arial" w:eastAsia="Arial" w:hAnsi="Arial"/>
                <w:sz w:val="18"/>
                <w:szCs w:val="18"/>
                <w:color w:val="auto"/>
              </w:rPr>
              <w:t>the</w:t>
            </w:r>
          </w:p>
        </w:tc>
        <w:tc>
          <w:tcPr>
            <w:tcW w:w="480" w:type="dxa"/>
            <w:vAlign w:val="bottom"/>
          </w:tcPr>
          <w:p>
            <w:pPr>
              <w:ind w:left="20"/>
              <w:spacing w:after="0"/>
              <w:rPr>
                <w:sz w:val="20"/>
                <w:szCs w:val="20"/>
                <w:color w:val="auto"/>
              </w:rPr>
            </w:pPr>
            <w:r>
              <w:rPr>
                <w:rFonts w:ascii="Arial" w:cs="Arial" w:eastAsia="Arial" w:hAnsi="Arial"/>
                <w:sz w:val="18"/>
                <w:szCs w:val="18"/>
                <w:color w:val="auto"/>
              </w:rPr>
              <w:t>nine</w:t>
            </w:r>
          </w:p>
        </w:tc>
        <w:tc>
          <w:tcPr>
            <w:tcW w:w="780" w:type="dxa"/>
            <w:vAlign w:val="bottom"/>
          </w:tcPr>
          <w:p>
            <w:pPr>
              <w:ind w:left="120"/>
              <w:spacing w:after="0"/>
              <w:rPr>
                <w:sz w:val="20"/>
                <w:szCs w:val="20"/>
                <w:color w:val="auto"/>
              </w:rPr>
            </w:pPr>
            <w:r>
              <w:rPr>
                <w:rFonts w:ascii="Arial" w:cs="Arial" w:eastAsia="Arial" w:hAnsi="Arial"/>
                <w:sz w:val="18"/>
                <w:szCs w:val="18"/>
                <w:color w:val="auto"/>
              </w:rPr>
              <w:t>months</w:t>
            </w:r>
          </w:p>
        </w:tc>
        <w:tc>
          <w:tcPr>
            <w:tcW w:w="720" w:type="dxa"/>
            <w:vAlign w:val="bottom"/>
          </w:tcPr>
          <w:p>
            <w:pPr>
              <w:ind w:left="160"/>
              <w:spacing w:after="0"/>
              <w:rPr>
                <w:sz w:val="20"/>
                <w:szCs w:val="20"/>
                <w:color w:val="auto"/>
              </w:rPr>
            </w:pPr>
            <w:r>
              <w:rPr>
                <w:rFonts w:ascii="Arial" w:cs="Arial" w:eastAsia="Arial" w:hAnsi="Arial"/>
                <w:sz w:val="18"/>
                <w:szCs w:val="18"/>
                <w:color w:val="auto"/>
              </w:rPr>
              <w:t>ended</w:t>
            </w:r>
          </w:p>
        </w:tc>
        <w:tc>
          <w:tcPr>
            <w:tcW w:w="1040" w:type="dxa"/>
            <w:vAlign w:val="bottom"/>
          </w:tcPr>
          <w:p>
            <w:pPr>
              <w:ind w:left="140"/>
              <w:spacing w:after="0"/>
              <w:rPr>
                <w:sz w:val="20"/>
                <w:szCs w:val="20"/>
                <w:color w:val="auto"/>
              </w:rPr>
            </w:pPr>
            <w:r>
              <w:rPr>
                <w:rFonts w:ascii="Arial" w:cs="Arial" w:eastAsia="Arial" w:hAnsi="Arial"/>
                <w:sz w:val="18"/>
                <w:szCs w:val="18"/>
                <w:color w:val="auto"/>
                <w:w w:val="99"/>
              </w:rPr>
              <w:t>September</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580" w:type="dxa"/>
            <w:vAlign w:val="bottom"/>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Pr>
          <w:p>
            <w:pPr>
              <w:jc w:val="right"/>
              <w:spacing w:after="0"/>
              <w:rPr>
                <w:sz w:val="20"/>
                <w:szCs w:val="20"/>
                <w:color w:val="auto"/>
              </w:rPr>
            </w:pPr>
            <w:r>
              <w:rPr>
                <w:rFonts w:ascii="Arial" w:cs="Arial" w:eastAsia="Arial" w:hAnsi="Arial"/>
                <w:sz w:val="18"/>
                <w:szCs w:val="18"/>
                <w:color w:val="auto"/>
              </w:rPr>
              <w:t>and</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(in</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w w:val="85"/>
              </w:rPr>
              <w:t>thousands):</w:t>
            </w:r>
          </w:p>
        </w:tc>
      </w:tr>
      <w:tr>
        <w:trPr>
          <w:trHeight w:val="241"/>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9"/>
          </w:tcPr>
          <w:p>
            <w:pPr>
              <w:ind w:left="38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19"/>
        </w:trPr>
        <w:tc>
          <w:tcPr>
            <w:tcW w:w="8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18"/>
        </w:trPr>
        <w:tc>
          <w:tcPr>
            <w:tcW w:w="444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w w:val="98"/>
              </w:rPr>
              <w:t>Fair value of Exit Fee derivative liability at January 1</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9"/>
                <w:szCs w:val="19"/>
                <w:color w:val="auto"/>
              </w:rPr>
            </w:pPr>
          </w:p>
        </w:tc>
      </w:tr>
      <w:tr>
        <w:trPr>
          <w:trHeight w:val="225"/>
        </w:trPr>
        <w:tc>
          <w:tcPr>
            <w:tcW w:w="4920" w:type="dxa"/>
            <w:vAlign w:val="bottom"/>
            <w:tcBorders>
              <w:bottom w:val="single" w:sz="8" w:color="CCEEFF"/>
            </w:tcBorders>
            <w:gridSpan w:val="8"/>
          </w:tcPr>
          <w:p>
            <w:pPr>
              <w:ind w:left="440"/>
              <w:spacing w:after="0"/>
              <w:rPr>
                <w:sz w:val="20"/>
                <w:szCs w:val="20"/>
                <w:color w:val="auto"/>
              </w:rPr>
            </w:pPr>
            <w:r>
              <w:rPr>
                <w:rFonts w:ascii="Arial" w:cs="Arial" w:eastAsia="Arial" w:hAnsi="Arial"/>
                <w:sz w:val="18"/>
                <w:szCs w:val="18"/>
                <w:color w:val="auto"/>
                <w:w w:val="93"/>
              </w:rPr>
              <w:t>Change in estimated fair value of Exit Fee derivative liability</w:t>
            </w:r>
          </w:p>
        </w:tc>
        <w:tc>
          <w:tcPr>
            <w:tcW w:w="7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9"/>
                <w:szCs w:val="19"/>
                <w:color w:val="auto"/>
              </w:rPr>
            </w:pPr>
          </w:p>
        </w:tc>
      </w:tr>
      <w:tr>
        <w:trPr>
          <w:trHeight w:val="244"/>
        </w:trPr>
        <w:tc>
          <w:tcPr>
            <w:tcW w:w="4440" w:type="dxa"/>
            <w:vAlign w:val="bottom"/>
            <w:tcBorders>
              <w:bottom w:val="single" w:sz="8" w:color="CCEEFF"/>
            </w:tcBorders>
            <w:gridSpan w:val="7"/>
            <w:shd w:val="clear" w:color="auto" w:fill="CCEEFF"/>
          </w:tcPr>
          <w:p>
            <w:pPr>
              <w:ind w:left="340"/>
              <w:spacing w:after="0"/>
              <w:rPr>
                <w:sz w:val="20"/>
                <w:szCs w:val="20"/>
                <w:color w:val="auto"/>
              </w:rPr>
            </w:pPr>
            <w:r>
              <w:rPr>
                <w:rFonts w:ascii="Arial" w:cs="Arial" w:eastAsia="Arial" w:hAnsi="Arial"/>
                <w:sz w:val="18"/>
                <w:szCs w:val="18"/>
                <w:color w:val="auto"/>
                <w:w w:val="90"/>
              </w:rPr>
              <w:t>Fair value of Exit Fee derivative liability at September 30</w:t>
            </w:r>
          </w:p>
        </w:tc>
        <w:tc>
          <w:tcPr>
            <w:tcW w:w="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20"/>
                <w:szCs w:val="20"/>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318"/>
        <w:spacing w:after="0" w:line="237" w:lineRule="auto"/>
        <w:rPr>
          <w:sz w:val="20"/>
          <w:szCs w:val="20"/>
          <w:color w:val="auto"/>
        </w:rPr>
      </w:pPr>
      <w:r>
        <w:rPr>
          <w:rFonts w:ascii="Arial" w:cs="Arial" w:eastAsia="Arial" w:hAnsi="Arial"/>
          <w:sz w:val="18"/>
          <w:szCs w:val="18"/>
          <w:color w:val="auto"/>
        </w:rPr>
        <w:t>During the nine months ended September 30, 2021 we reduced the value of the derivative liability due the receipt of the CRL from the FDA regarding our NDA for the control of serum phosphorus in adult patients with CKD on dialysis.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May 2021, we entered into an amendment to the lease for our Fremont, California facility that extended the term of the lease to March 2025. The office space consists of 72,500 square feet with the lease terminating in September 2025. We increased the right-of-use asset and lease liability by $11.9 million for the Fremont lease upon commencement of the amendment.</w:t>
      </w:r>
    </w:p>
    <w:p>
      <w:pPr>
        <w:spacing w:after="0" w:line="18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During April 2021 and May 2021, we recorded right-of-use operating lease assets for a new facility in Waltham, Massachusetts under a lease agreement entered into during December 2020 with lease commencement dates during April and May 2021. The office space consists of 12,864 square feet with the lease terminating in June 2026. We have an option to extend the lease term for one additional five year period. This option to extend the lease term has not been included in the calculation since currently the exercise of the option is uncertain and therefore deemed not probable. We recorded a $1.6 million right-of-use asset and lease liability for the Waltham lease upon commencement of the lease.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provides additional details of our facility leases presented in the condensed balance sheet as of September 30, 2021 (dollars in thousands):</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Facilities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5"/>
        </w:trPr>
        <w:tc>
          <w:tcPr>
            <w:tcW w:w="4200" w:type="dxa"/>
            <w:vAlign w:val="bottom"/>
          </w:tcPr>
          <w:p>
            <w:pPr>
              <w:ind w:left="540"/>
              <w:spacing w:after="0"/>
              <w:rPr>
                <w:sz w:val="20"/>
                <w:szCs w:val="20"/>
                <w:color w:val="auto"/>
              </w:rPr>
            </w:pPr>
            <w:r>
              <w:rPr>
                <w:rFonts w:ascii="Arial" w:cs="Arial" w:eastAsia="Arial" w:hAnsi="Arial"/>
                <w:sz w:val="18"/>
                <w:szCs w:val="18"/>
                <w:color w:val="auto"/>
              </w:rPr>
              <w:t>Right-of-use assets</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52"/>
        </w:trPr>
        <w:tc>
          <w:tcPr>
            <w:tcW w:w="4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5"/>
        </w:trPr>
        <w:tc>
          <w:tcPr>
            <w:tcW w:w="4200" w:type="dxa"/>
            <w:vAlign w:val="bottom"/>
          </w:tcPr>
          <w:p>
            <w:pPr>
              <w:ind w:left="540"/>
              <w:spacing w:after="0"/>
              <w:rPr>
                <w:sz w:val="20"/>
                <w:szCs w:val="20"/>
                <w:color w:val="auto"/>
              </w:rPr>
            </w:pPr>
            <w:r>
              <w:rPr>
                <w:rFonts w:ascii="Arial" w:cs="Arial" w:eastAsia="Arial" w:hAnsi="Arial"/>
                <w:sz w:val="18"/>
                <w:szCs w:val="18"/>
                <w:color w:val="auto"/>
              </w:rPr>
              <w:t>Current portion of lease liabilities</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6"/>
        </w:trPr>
        <w:tc>
          <w:tcPr>
            <w:tcW w:w="4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lease liability, net of current portion</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18"/>
        </w:trPr>
        <w:tc>
          <w:tcPr>
            <w:tcW w:w="4200" w:type="dxa"/>
            <w:vAlign w:val="bottom"/>
          </w:tcPr>
          <w:p>
            <w:pPr>
              <w:ind w:left="66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9"/>
        </w:trPr>
        <w:tc>
          <w:tcPr>
            <w:tcW w:w="4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4200" w:type="dxa"/>
            <w:vAlign w:val="bottom"/>
          </w:tcPr>
          <w:p>
            <w:pPr>
              <w:ind w:left="340"/>
              <w:spacing w:after="0"/>
              <w:rPr>
                <w:sz w:val="20"/>
                <w:szCs w:val="20"/>
                <w:color w:val="auto"/>
              </w:rPr>
            </w:pPr>
            <w:r>
              <w:rPr>
                <w:rFonts w:ascii="Arial" w:cs="Arial" w:eastAsia="Arial" w:hAnsi="Arial"/>
                <w:sz w:val="18"/>
                <w:szCs w:val="18"/>
                <w:color w:val="auto"/>
              </w:rPr>
              <w:t>Weighted-average remaining life (years)</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discount rate</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6.86</w:t>
            </w:r>
          </w:p>
        </w:tc>
      </w:tr>
      <w:tr>
        <w:trPr>
          <w:trHeight w:val="516"/>
        </w:trPr>
        <w:tc>
          <w:tcPr>
            <w:tcW w:w="9340" w:type="dxa"/>
            <w:vAlign w:val="bottom"/>
            <w:gridSpan w:val="10"/>
          </w:tcPr>
          <w:p>
            <w:pPr>
              <w:spacing w:after="0"/>
              <w:rPr>
                <w:sz w:val="20"/>
                <w:szCs w:val="20"/>
                <w:color w:val="auto"/>
              </w:rPr>
            </w:pPr>
            <w:r>
              <w:rPr>
                <w:rFonts w:ascii="Arial" w:cs="Arial" w:eastAsia="Arial" w:hAnsi="Arial"/>
                <w:sz w:val="18"/>
                <w:szCs w:val="18"/>
                <w:color w:val="auto"/>
                <w:w w:val="98"/>
              </w:rPr>
              <w:t>Lease costs, which are included in operating expenses in our statements of operations, were as follows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4"/>
        </w:trPr>
        <w:tc>
          <w:tcPr>
            <w:tcW w:w="4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gridSpan w:val="5"/>
          </w:tcPr>
          <w:p>
            <w:pPr>
              <w:ind w:left="60"/>
              <w:spacing w:after="0"/>
              <w:rPr>
                <w:sz w:val="20"/>
                <w:szCs w:val="20"/>
                <w:color w:val="auto"/>
              </w:rPr>
            </w:pPr>
            <w:r>
              <w:rPr>
                <w:rFonts w:ascii="Arial" w:cs="Arial" w:eastAsia="Arial" w:hAnsi="Arial"/>
                <w:sz w:val="18"/>
                <w:szCs w:val="18"/>
                <w:b w:val="1"/>
                <w:bCs w:val="1"/>
                <w:color w:val="auto"/>
                <w:w w:val="98"/>
              </w:rPr>
              <w:t>Three Months Ended September 30,</w:t>
            </w:r>
          </w:p>
        </w:tc>
        <w:tc>
          <w:tcPr>
            <w:tcW w:w="480" w:type="dxa"/>
            <w:vAlign w:val="bottom"/>
          </w:tcPr>
          <w:p>
            <w:pPr>
              <w:spacing w:after="0"/>
              <w:rPr>
                <w:sz w:val="24"/>
                <w:szCs w:val="24"/>
                <w:color w:val="auto"/>
              </w:rPr>
            </w:pPr>
          </w:p>
        </w:tc>
        <w:tc>
          <w:tcPr>
            <w:tcW w:w="2780" w:type="dxa"/>
            <w:vAlign w:val="bottom"/>
            <w:gridSpan w:val="6"/>
          </w:tcPr>
          <w:p>
            <w:pPr>
              <w:jc w:val="right"/>
              <w:ind w:right="12"/>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9"/>
        </w:trPr>
        <w:tc>
          <w:tcPr>
            <w:tcW w:w="42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r>
      <w:tr>
        <w:trPr>
          <w:trHeight w:val="219"/>
        </w:trPr>
        <w:tc>
          <w:tcPr>
            <w:tcW w:w="4200" w:type="dxa"/>
            <w:vAlign w:val="bottom"/>
            <w:shd w:val="clear" w:color="auto" w:fill="CCEEFF"/>
          </w:tcPr>
          <w:p>
            <w:pPr>
              <w:ind w:left="340"/>
              <w:spacing w:after="0" w:line="204" w:lineRule="exact"/>
              <w:rPr>
                <w:sz w:val="20"/>
                <w:szCs w:val="20"/>
                <w:color w:val="auto"/>
              </w:rPr>
            </w:pPr>
            <w:r>
              <w:rPr>
                <w:rFonts w:ascii="Arial" w:cs="Arial" w:eastAsia="Arial" w:hAnsi="Arial"/>
                <w:sz w:val="18"/>
                <w:szCs w:val="18"/>
                <w:color w:val="auto"/>
              </w:rPr>
              <w:t>Operating lease expense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2,606</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4"/>
        </w:trPr>
        <w:tc>
          <w:tcPr>
            <w:tcW w:w="4200" w:type="dxa"/>
            <w:vAlign w:val="bottom"/>
          </w:tcPr>
          <w:p>
            <w:pPr>
              <w:ind w:left="340"/>
              <w:spacing w:after="0"/>
              <w:rPr>
                <w:sz w:val="20"/>
                <w:szCs w:val="20"/>
                <w:color w:val="auto"/>
              </w:rPr>
            </w:pPr>
            <w:r>
              <w:rPr>
                <w:rFonts w:ascii="Arial" w:cs="Arial" w:eastAsia="Arial" w:hAnsi="Arial"/>
                <w:sz w:val="18"/>
                <w:szCs w:val="18"/>
                <w:color w:val="auto"/>
              </w:rPr>
              <w:t>Cash paid for operating leases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2,383</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r>
    </w:tbl>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summarizes our undiscounted cash payment obligations for our operating lease liabilities as of September 30, 2021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25"/>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4,292</w:t>
            </w:r>
          </w:p>
        </w:tc>
      </w:tr>
      <w:tr>
        <w:trPr>
          <w:trHeight w:val="22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r>
      <w:tr>
        <w:trPr>
          <w:trHeight w:val="225"/>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4,589</w:t>
            </w:r>
          </w:p>
        </w:tc>
      </w:tr>
      <w:tr>
        <w:trPr>
          <w:trHeight w:val="22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25"/>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15,950</w:t>
            </w:r>
          </w:p>
        </w:tc>
      </w:tr>
      <w:tr>
        <w:trPr>
          <w:trHeight w:val="225"/>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 expenses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w:t>
            </w:r>
          </w:p>
        </w:tc>
      </w:tr>
      <w:tr>
        <w:trPr>
          <w:trHeight w:val="225"/>
        </w:trPr>
        <w:tc>
          <w:tcPr>
            <w:tcW w:w="9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Current portion of operating lease liability</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w:t>
            </w:r>
          </w:p>
        </w:tc>
      </w:tr>
      <w:tr>
        <w:trPr>
          <w:trHeight w:val="244"/>
        </w:trPr>
        <w:tc>
          <w:tcPr>
            <w:tcW w:w="9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liability, net of current portion</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Offerings Agreement</w:t>
      </w:r>
    </w:p>
    <w:p>
      <w:pPr>
        <w:spacing w:after="0" w:line="217" w:lineRule="exact"/>
        <w:rPr>
          <w:sz w:val="20"/>
          <w:szCs w:val="20"/>
          <w:color w:val="auto"/>
        </w:rPr>
      </w:pPr>
    </w:p>
    <w:p>
      <w:pPr>
        <w:jc w:val="both"/>
        <w:ind w:right="100" w:firstLine="318"/>
        <w:spacing w:after="0" w:line="303" w:lineRule="auto"/>
        <w:rPr>
          <w:sz w:val="20"/>
          <w:szCs w:val="20"/>
          <w:color w:val="auto"/>
        </w:rPr>
      </w:pPr>
      <w:r>
        <w:rPr>
          <w:rFonts w:ascii="Arial" w:cs="Arial" w:eastAsia="Arial" w:hAnsi="Arial"/>
          <w:sz w:val="15"/>
          <w:szCs w:val="15"/>
          <w:color w:val="auto"/>
        </w:rPr>
        <w:t>In July 2020, we filed a Form S-3 registration statement, which became effective in August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 the market offerings” (the "2020 Open Market Sales Agreement"). Pursuant to the 2020 Open Market Sales Agreement, Jefferies, as our sales agent, received a commission of up to 3.0% of the gross sales price for shares of common stock sold under the 2020 Open Market Sales Agreement. During the nine months ended September 30, 2021 we sold 12.3 million shares of our common stock for aggregate gross proceeds of $68.7 million at a weighted average price of $5.58 per share under the 2020 Open Market Sales Agreement. We sold 8.2 million shares of our common stock between the dates of November 13, 2020 through February 19, 2021, 4.0 million shares between the dates of May 11, 2021 through June 18, 2021 and 3.3 million shares between the dates of August 24, 2021 and September 10, 2021 for 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39"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cumulative total of 15.6 million shares and gross proceeds of $90.3 million at a weighted average sales price of approximately $5.80 per share during the life of the 2020 Open Market Sales Agreement.</w:t>
      </w:r>
    </w:p>
    <w:p>
      <w:pPr>
        <w:spacing w:after="0" w:line="181" w:lineRule="exact"/>
        <w:rPr>
          <w:sz w:val="20"/>
          <w:szCs w:val="20"/>
          <w:color w:val="auto"/>
        </w:rPr>
      </w:pPr>
    </w:p>
    <w:p>
      <w:pPr>
        <w:jc w:val="both"/>
        <w:ind w:right="100" w:firstLine="318"/>
        <w:spacing w:after="0" w:line="309" w:lineRule="auto"/>
        <w:rPr>
          <w:sz w:val="20"/>
          <w:szCs w:val="20"/>
          <w:color w:val="auto"/>
        </w:rPr>
      </w:pPr>
      <w:r>
        <w:rPr>
          <w:rFonts w:ascii="Arial" w:cs="Arial" w:eastAsia="Arial" w:hAnsi="Arial"/>
          <w:sz w:val="15"/>
          <w:szCs w:val="15"/>
          <w:color w:val="auto"/>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3.0% of the gross sales price for shares of common stock sold under the 2021 Open Market Sales Agreement. As of September 30, 2021 we had sold no shares of our common stock under the 2021 Open Market Sales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Stock-based compensation expense recognized for stock options, restricted stock units ("RSUs"), performance-based restricted stock units ("PRSUs") and our employee stock purchase program (the "ESPP") are recorded as operating expenses in our condensed statements of operations and comprehensive loss, as follows (in thousands):</w:t>
      </w:r>
    </w:p>
    <w:p>
      <w:pPr>
        <w:spacing w:after="0" w:line="22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3520" w:type="dxa"/>
            <w:vAlign w:val="bottom"/>
            <w:gridSpan w:val="6"/>
          </w:tcPr>
          <w:p>
            <w:pPr>
              <w:ind w:left="500"/>
              <w:spacing w:after="0"/>
              <w:rPr>
                <w:sz w:val="20"/>
                <w:szCs w:val="20"/>
                <w:color w:val="auto"/>
              </w:rPr>
            </w:pPr>
            <w:r>
              <w:rPr>
                <w:rFonts w:ascii="Arial" w:cs="Arial" w:eastAsia="Arial" w:hAnsi="Arial"/>
                <w:sz w:val="18"/>
                <w:szCs w:val="18"/>
                <w:b w:val="1"/>
                <w:bCs w:val="1"/>
                <w:color w:val="auto"/>
                <w:w w:val="98"/>
              </w:rPr>
              <w:t>Three Months Ended September 30,</w:t>
            </w:r>
          </w:p>
        </w:tc>
        <w:tc>
          <w:tcPr>
            <w:tcW w:w="500" w:type="dxa"/>
            <w:vAlign w:val="bottom"/>
          </w:tcPr>
          <w:p>
            <w:pPr>
              <w:spacing w:after="0"/>
              <w:rPr>
                <w:sz w:val="19"/>
                <w:szCs w:val="19"/>
                <w:color w:val="auto"/>
              </w:rPr>
            </w:pPr>
          </w:p>
        </w:tc>
        <w:tc>
          <w:tcPr>
            <w:tcW w:w="290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9"/>
        </w:trPr>
        <w:tc>
          <w:tcPr>
            <w:tcW w:w="40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r>
      <w:tr>
        <w:trPr>
          <w:trHeight w:val="218"/>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1,532</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w:t>
            </w:r>
          </w:p>
        </w:tc>
      </w:tr>
      <w:tr>
        <w:trPr>
          <w:trHeight w:val="244"/>
        </w:trPr>
        <w:tc>
          <w:tcPr>
            <w:tcW w:w="4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2,262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As of September 30, 2021, our total unrecognized stock-based compensation expense, net of estimated forfeitures, and average remaining vesting period, included the following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Unrecognized</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Average Remaining</w:t>
            </w:r>
          </w:p>
        </w:tc>
        <w:tc>
          <w:tcPr>
            <w:tcW w:w="0" w:type="dxa"/>
            <w:vAlign w:val="bottom"/>
          </w:tcPr>
          <w:p>
            <w:pPr>
              <w:spacing w:after="0"/>
              <w:rPr>
                <w:sz w:val="1"/>
                <w:szCs w:val="1"/>
                <w:color w:val="auto"/>
              </w:rPr>
            </w:pPr>
          </w:p>
        </w:tc>
      </w:tr>
      <w:tr>
        <w:trPr>
          <w:trHeight w:val="172"/>
        </w:trPr>
        <w:tc>
          <w:tcPr>
            <w:tcW w:w="7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340"/>
              <w:spacing w:after="0" w:line="172" w:lineRule="exact"/>
              <w:rPr>
                <w:sz w:val="20"/>
                <w:szCs w:val="20"/>
                <w:color w:val="auto"/>
              </w:rPr>
            </w:pPr>
            <w:r>
              <w:rPr>
                <w:rFonts w:ascii="Arial" w:cs="Arial" w:eastAsia="Arial" w:hAnsi="Arial"/>
                <w:sz w:val="18"/>
                <w:szCs w:val="18"/>
                <w:b w:val="1"/>
                <w:bCs w:val="1"/>
                <w:color w:val="auto"/>
                <w:w w:val="86"/>
              </w:rPr>
              <w:t>Compensation</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Expense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7"/>
              </w:rPr>
              <w:t>Vesting Period (Years)</w:t>
            </w:r>
          </w:p>
        </w:tc>
        <w:tc>
          <w:tcPr>
            <w:tcW w:w="0" w:type="dxa"/>
            <w:vAlign w:val="bottom"/>
          </w:tcPr>
          <w:p>
            <w:pPr>
              <w:spacing w:after="0"/>
              <w:rPr>
                <w:sz w:val="1"/>
                <w:szCs w:val="1"/>
                <w:color w:val="auto"/>
              </w:rPr>
            </w:pP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19,546</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RSUs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2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A summary of our stock option activity and related information for the nine months ended September 30, 2021 is as follows (in thousands, except dollar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w w:val="95"/>
              </w:rPr>
              <w:t>Number of Shares</w:t>
            </w:r>
          </w:p>
        </w:tc>
        <w:tc>
          <w:tcPr>
            <w:tcW w:w="5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Weighted Average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gridSpan w:val="2"/>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balance at December 31, 2020</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20" w:type="dxa"/>
            <w:vAlign w:val="bottom"/>
          </w:tcPr>
          <w:p>
            <w:pPr>
              <w:ind w:left="440"/>
              <w:spacing w:after="0"/>
              <w:rPr>
                <w:sz w:val="20"/>
                <w:szCs w:val="20"/>
                <w:color w:val="auto"/>
              </w:rPr>
            </w:pPr>
            <w:r>
              <w:rPr>
                <w:rFonts w:ascii="Arial" w:cs="Arial" w:eastAsia="Arial" w:hAnsi="Arial"/>
                <w:sz w:val="18"/>
                <w:szCs w:val="18"/>
                <w:color w:val="auto"/>
              </w:rPr>
              <w:t>Granted</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Forfeited</w:t>
            </w:r>
          </w:p>
        </w:tc>
        <w:tc>
          <w:tcPr>
            <w:tcW w:w="27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balance at September 30, 2021</w:t>
            </w:r>
          </w:p>
        </w:tc>
        <w:tc>
          <w:tcPr>
            <w:tcW w:w="27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0" w:type="dxa"/>
            <w:vAlign w:val="bottom"/>
          </w:tcPr>
          <w:p>
            <w:pPr>
              <w:spacing w:after="0"/>
              <w:rPr>
                <w:sz w:val="17"/>
                <w:szCs w:val="17"/>
                <w:color w:val="auto"/>
              </w:rPr>
            </w:pPr>
          </w:p>
        </w:tc>
        <w:tc>
          <w:tcPr>
            <w:tcW w:w="4320" w:type="dxa"/>
            <w:vAlign w:val="bottom"/>
          </w:tcPr>
          <w:p>
            <w:pPr>
              <w:ind w:left="340"/>
              <w:spacing w:after="0" w:line="198" w:lineRule="exact"/>
              <w:rPr>
                <w:sz w:val="20"/>
                <w:szCs w:val="20"/>
                <w:color w:val="auto"/>
              </w:rPr>
            </w:pPr>
            <w:r>
              <w:rPr>
                <w:rFonts w:ascii="Arial" w:cs="Arial" w:eastAsia="Arial" w:hAnsi="Arial"/>
                <w:sz w:val="18"/>
                <w:szCs w:val="18"/>
                <w:color w:val="auto"/>
              </w:rPr>
              <w:t>Exercisable at September 30, 2021</w:t>
            </w:r>
          </w:p>
        </w:tc>
        <w:tc>
          <w:tcPr>
            <w:tcW w:w="446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6,434</w:t>
            </w:r>
          </w:p>
        </w:tc>
        <w:tc>
          <w:tcPr>
            <w:tcW w:w="100" w:type="dxa"/>
            <w:vAlign w:val="bottom"/>
          </w:tcPr>
          <w:p>
            <w:pPr>
              <w:spacing w:after="0"/>
              <w:rPr>
                <w:sz w:val="17"/>
                <w:szCs w:val="17"/>
                <w:color w:val="auto"/>
              </w:rPr>
            </w:pPr>
          </w:p>
        </w:tc>
        <w:tc>
          <w:tcPr>
            <w:tcW w:w="540" w:type="dxa"/>
            <w:vAlign w:val="bottom"/>
          </w:tcPr>
          <w:p>
            <w:pPr>
              <w:jc w:val="right"/>
              <w:ind w:right="32"/>
              <w:spacing w:after="0" w:line="198"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700" w:type="dxa"/>
            <w:vAlign w:val="bottom"/>
            <w:vMerge w:val="restart"/>
          </w:tcPr>
          <w:p>
            <w:pPr>
              <w:jc w:val="right"/>
              <w:ind w:right="1532"/>
              <w:spacing w:after="0"/>
              <w:rPr>
                <w:sz w:val="20"/>
                <w:szCs w:val="20"/>
                <w:color w:val="auto"/>
              </w:rPr>
            </w:pPr>
            <w:r>
              <w:rPr>
                <w:rFonts w:ascii="Arial" w:cs="Arial" w:eastAsia="Arial" w:hAnsi="Arial"/>
                <w:sz w:val="18"/>
                <w:szCs w:val="18"/>
                <w:color w:val="auto"/>
              </w:rPr>
              <w:t>17</w:t>
            </w: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3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39"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summary of our RSUs activity and related information for the nine months ended September 30, 2021 is as follows (in thousands, except dollar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780" w:type="dxa"/>
            <w:vAlign w:val="bottom"/>
            <w:vMerge w:val="restart"/>
          </w:tcPr>
          <w:p>
            <w:pPr>
              <w:ind w:left="480"/>
              <w:spacing w:after="0"/>
              <w:rPr>
                <w:sz w:val="20"/>
                <w:szCs w:val="20"/>
                <w:color w:val="auto"/>
              </w:rPr>
            </w:pPr>
            <w:r>
              <w:rPr>
                <w:rFonts w:ascii="Arial" w:cs="Arial" w:eastAsia="Arial" w:hAnsi="Arial"/>
                <w:sz w:val="18"/>
                <w:szCs w:val="18"/>
                <w:b w:val="1"/>
                <w:bCs w:val="1"/>
                <w:color w:val="auto"/>
                <w:w w:val="89"/>
              </w:rPr>
              <w:t>Number of RSUs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Weighted Average Value</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at Grant</w:t>
            </w:r>
          </w:p>
        </w:tc>
        <w:tc>
          <w:tcPr>
            <w:tcW w:w="0" w:type="dxa"/>
            <w:vAlign w:val="bottom"/>
          </w:tcPr>
          <w:p>
            <w:pPr>
              <w:spacing w:after="0"/>
              <w:rPr>
                <w:sz w:val="1"/>
                <w:szCs w:val="1"/>
                <w:color w:val="auto"/>
              </w:rPr>
            </w:pPr>
          </w:p>
        </w:tc>
      </w:tr>
      <w:tr>
        <w:trPr>
          <w:trHeight w:val="21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at December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5"/>
        </w:trPr>
        <w:tc>
          <w:tcPr>
            <w:tcW w:w="864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6"/>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3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September 30, 2021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issued no PRSUs during the nine months ended September 30, 2021 and we have no PRSUs outstanding as of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August 2021, we sold approximately 0.5 million shares of our common stock under the ESPP. The shares were purchased by employees at a purchase price of $1.21 per share resulting in proceeds to us of approximately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Our Amended and Restated Non-Employee Director Compensation Program, members of our board of directors may elect to receive shares of our stock in lieu of their cash fees. During the nine months ended September 30, 2021, we issued approximately 25,989 shares of our common stock to members of the board of directors in accordance with the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RESTRUCTURING</w:t>
      </w:r>
    </w:p>
    <w:p>
      <w:pPr>
        <w:spacing w:after="0" w:line="22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July 29, 2021, our Board of Directors approved, and on August 2, 2021, we began implementing a restructuring plan to better align our workforce and anticipated commercial and development spend with our capital resources and the needs of our business following the receipt of the CRL. Under the restructuring plan, we reduced our workforce by 83 employees (approximately 33%). Impacted employees received cash payments equal to their base pay for a notice period of sixty (60) days and Company funded COBRA premiums through such notice period. In addition, impacted employees were eligible to receive severance benefits and additional Company funded COBRA premiums, contingent upon an impacted employee’s execution (and non-revocation) of a separation agreement, which includes a general release of claims against us. In connection with the restructuring, we have incurred restructuring charges of $3.6 million, which were recorded during the quarter ended September 30, 2021, related to one-time termination notice and severance payments and other employee-related costs. Of this charge, $1.2 million was recorded in research and development expenses, and $2.4 million was recorded in general and administrative expense in the accompanying condensed statements of operations and comprehensive loss. The cash payments related to the reduction in workforce were disbursed during the quarter ended September 30, 2021.</w:t>
      </w:r>
    </w:p>
    <w:p>
      <w:pPr>
        <w:spacing w:after="0" w:line="35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As discussed in Note 13, on October 8, 2021, our Board of Directors approved an additional restructuring plan subsequent to the conclusion of an End of Review Meeting with the FDA on October 1, 2021. The restructuring plan is expected to be completed in December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three and nine months ended September 30, 2021 and 2020, all potential common shares were determined to be anti-dilutive.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19"/>
                <w:szCs w:val="19"/>
                <w:color w:val="auto"/>
              </w:rPr>
            </w:pPr>
          </w:p>
        </w:tc>
        <w:tc>
          <w:tcPr>
            <w:tcW w:w="282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9"/>
        </w:trPr>
        <w:tc>
          <w:tcPr>
            <w:tcW w:w="5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r>
      <w:tr>
        <w:trPr>
          <w:trHeight w:val="205"/>
        </w:trPr>
        <w:tc>
          <w:tcPr>
            <w:tcW w:w="5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5200" w:type="dxa"/>
            <w:vAlign w:val="bottom"/>
            <w:shd w:val="clear" w:color="auto" w:fill="CCEEFF"/>
          </w:tcPr>
          <w:p>
            <w:pPr>
              <w:ind w:left="40"/>
              <w:spacing w:after="0" w:line="192"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5"/>
              </w:rPr>
              <w:t>Weighted average common shares outstanding - basic and diluted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89,110</w:t>
            </w:r>
          </w:p>
        </w:tc>
      </w:tr>
      <w:tr>
        <w:trPr>
          <w:trHeight w:val="244"/>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and nine months ended September 30, 2021, the total number of securities that could potentially dilute basic net loss per share in the future that were not included in the computation of diluted net loss per share because the effect would have been antidilutive was 13.2 million and 13.4 million, respectively.</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and nine months ended September 30, 2020, the total number of securities that could potentially dilute basic net loss per share in the future that were not included in the computation of diluted net loss per share because the effect would have been antidilutive was 9.6 million and 10.4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21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7"/>
          <w:szCs w:val="17"/>
          <w:color w:val="auto"/>
        </w:rPr>
        <w:t>On July 30, 2021, a putative securities class action lawsuit was commenced in the U.S. District Court for the Northern District of California naming as defendants Ardelyx and two current officers. The complaint alleges that the defendants violated Sections 10(b) and 20(a) of the Securities Exchange Act of 1934, as amended, and Rule 10b-5 thereunder, by making false and misleading statements and omissions of material fact related to tenapanor. The plaintiff seeks to represent all persons who purchased or otherwise acquired Ardelyx securities between August 6, 2020, and July 19, 2021. The plaintiff seeks damages and interest, and an award of costs, including attorneys’ fees. We believe the plaintiff’s claims are without merit and we have not recorded any accrual for a contingent liability associated with these legal proceedings.</w:t>
      </w:r>
    </w:p>
    <w:p>
      <w:pPr>
        <w:spacing w:after="0" w:line="177"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From time to time we may be involved in claims arising in connection with our business. Based on information currently available, management believes that the amount, or range, of reasonably possible losses in connection with any pending actions against us would not be material to our financial condition or cash flows, and no contingent liabilities were accrued as of September 30, 2021 or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w:t>
      </w: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October 8, 2021, our Board of Directors approved, and on October 12, 2021 we began implementing, a restructuring plan to reduce operating costs and better align our workforce with the needs of our business following the receipt of a CRL from the FDA on July 28, 2021 regarding our NDA for the control of serum phosphorus in CKD patients on dialysis, and the subsequent conclusion of an End of Review Meeting with the FDA on October 1, 2021. The restructuring plan actions are expected to be completed in December 2021.</w:t>
      </w:r>
    </w:p>
    <w:p>
      <w:pPr>
        <w:spacing w:after="0" w:line="204"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5"/>
          <w:szCs w:val="15"/>
          <w:color w:val="auto"/>
        </w:rPr>
        <w:t>Under the restructuring plan, we are reducing our workforce by approximately 100 employees (approximately 60%). Impacted employees received notice that their positions will be eliminated on December 15, 2021. The restructuring plan will result in the elimination of all positions in our research organization</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well as the cessation of all research activities. At the time of departure from the Company, either on December 15, 2021, or earlier, impacted employees are eligible to receive severance benefits and Company funded COBRA premiums, contingent upon an impacted employee’s execution (and non-revocation) of a separation agreement, which includes a general release of claims against the Company.</w:t>
      </w:r>
    </w:p>
    <w:p>
      <w:pPr>
        <w:spacing w:after="0" w:line="176"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7"/>
          <w:szCs w:val="17"/>
          <w:color w:val="auto"/>
        </w:rPr>
        <w:t>In connection with the restructuring, we estimate that we will incur aggregate restructuring charges of approximately $4 million, which will be recorded primarily in the fourth quarter 2021, related to severance payments and other employee-related costs. We may also incur additional costs not currently contemplated due to events that may occur as a result of, or that are associated with, the reduction in workforce.</w:t>
      </w:r>
    </w:p>
    <w:p>
      <w:pPr>
        <w:spacing w:after="0" w:line="1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on October 8, 2021, the Board determined that it is in the best interests of the Company and its stockholder to put in place arrangements designed to provide that the Company will have the continued dedication and commitment of those employees, including executives, determined to be key to the restructuring and planned future operations of the Company,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thus, not impacted by the reduction in force. The Board approved, and management has implemented a retention program consisting of cash payments and grants of RSUs to the Company’s employees not impacted by the reduction in force. As part of the retention plan we have entered into retention agreements with the retained employees, including the following named executive officers: Mike Raab, our Chief Executive Officer, Justin Renz, our Chief Financial Officer and Susan Rodriguez, our Chief Commercial Officer. Under those retention arrangements, each of Messrs. Raab and Renz and Ms. Rodriguez have received an RSU grant for 300 thousand, 250 thousand and 150 thousand shares, respectively. The RSUs will vest in full on June 1, 2022. Additionally, the retention agreements provide Messrs. Raab and Renz and Ms. Rodriguez the opportunity to earn cash bonuses upon the achievement of certain milestones in the amounts of $300 thousand, $250 thousand and $150 thousand,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November 2021, in compliance with the terms of our Loan Agreement as discussed in Note 5, we made the first principal repayment on the Term Loan in the amount of $16.7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Offerings Agreement</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sold 6.0 million shares of our common stock pursuant to the 2020 Open Market Sales Agreement between the dates of October 21, 2021 and November 5, 2021 for gross proceeds of $7.4 million at a weighted average sales price of approximately $1.23 per share. We did not sell any additional shares of our common stock after November 5, 2021 and through the date of filing this report on Form 10-Q.</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2020.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a biopharmaceutical company focused on the discovery, development, and commercialization of innovative first-in-class medicines to improve treatment for people with kidney and cardiorenal diseases. This includes patients with chronic kidney disease ("CKD") on dialysis suffering from elevated serum phosphorus, or hyperphosphatemia; and CKD patients and/or heart failure patients with elevated serum potassium, or hyperkalemia. Tenapanor has a unique mechanism of action and acts locally in the gut to inhibit the sodium hydrogen exchanger 3 ("NHE3"). This results in the tightening of the epithelial cell junctions, thereby significantly reducing paracellular uptake of phosphate, the primary pathway of phosphate absorption.</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have not generated any revenues from product sales. As of September 30, 2021, we had an accumulated deficit of $676.7 million.</w:t>
      </w:r>
    </w:p>
    <w:p>
      <w:pPr>
        <w:spacing w:after="0" w:line="21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expect to continue to incur substantial operating losses for the foreseeable future as we seek to gain approval for our New Drug Application (“NDA”) for tenapanor for the control of serum phosphorus in adult patients with CKD on dialysis; prepare for the potential commercialization of tenapanor for any approved indication, incur manufacturing and development cost for, tenapanor; and incur development costs for RDX013. To date, we have funded our operations from the sale and issuance of common stock and convertible preferred stock, funds from our collaboration partnerships, which includes license fees, milestones and product supply revenue, as well as funds from our Loan Agreement with Solar Capital Ltd. and Western Alliance Bank.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Tenapanor: A New Approach for The Control of Serum Phosphorus in Adult Patients with CKD on Dialysis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Tenapanor is a first-in-class medicine being developed for the control of serum phosphorus in adult patients with CKD on dialysis. Tenapanor for the control of serum phosphorus has a unique mechanism of action and acts locally in the gut to inhibit the NHE3. This results in the tightening of the epithelial cell junctions, thereby significantly reducing paracellular uptake of phosphate, the primary pathway of phosphate absorption. Tenapanor is the first therapy for phosphate management that blocks phosphorus absorption at the primary pathway of uptake. It is not a phosphate binder. In June 2020, we submitted an NDA to the U.S. Food and Drug Administration (“FDA”) for tenapanor the control of serum phosphorus in adult patients with CKD on dialysis. The NDA is supported by three Phase 3 trials involving over 1,000 patients that evaluated the use of tenapanor for the control of serum phosphorus in CKD patients on dialysis, with two trials evaluating tenapanor as monotherapy and one trial evaluating tenapanor as part of a dual mechanism approach with phosphate binders. All three Phase 3 trials met the primary and all key secondary endpoints.</w:t>
      </w:r>
    </w:p>
    <w:p>
      <w:pPr>
        <w:spacing w:after="0" w:line="18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July 28, 2021, we received a Complete Response Letter ("CRL") from the FDA regarding our NDA for tenapanor for the control of serum phosphorus in adult patients with CKD on dialysis. According to the CRL, while the FDA agrees “that the submitted data provide substantial evidence that tenapanor is effective in reducing serum phosphorus in CKD patients on dialysis,” the FDA characterizes the magnitude of the treatment effect as “small and of unclear clinical significance.” Additionally, the FDA noted that for the application to be approved, we will need “to conduct an additional adequate and well-controlled trial demonstrating a clinically relevant treatment effect on serum phosphorus or an effect on the clinical outcome thought to be caused by hyperphosphatemia in CKD patients on dialysis.” There were no safety, clinical pharmacology/biopharmaceutics, chemistry, manufacturing, and controls or non-clinical issues identified in the CRL. We held an End-of-Review Type A meeting (“End of Review Meeting”) in October 2021, with the FDA’s Division of Cardiology and Nephrology (the “Division”). The End of Review Meeting did not provide a reasonable path forward for resubmission of our NDA. As a result, we currently expect to submit a Formal Dispute Resolution Request (“FDRR”) by the end of the fourth quarter 2021 in order raise our scientific disagreement above the Division level within FDA’s Center for Drug Evaluation and Research (“CDER”). There can be no assurances that the Formal Dispute Resolution (“FDR”) process will result in approval of our NDA, or in a clear path to resubmission of our NDA that is achievable in terms of clinical endpoints, time and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IBSRELA</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(tenapanor) for Irritable Bowel Syndrome with Constipation (IBS-C)</w:t>
      </w:r>
    </w:p>
    <w:p>
      <w:pPr>
        <w:spacing w:after="0" w:line="20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to the development of tenapanor for hyperphosphatemia, we have developed tenapanor for the treatment of patients with IBS-C. IBSRELA (tenapanor) for IBS-C is a first-in-class novel therapy with a unique mechanism of action that acts locally in the gut to inhibit the NHE3. This reduces absorption of sodium from the small intestine and colon, resulting in an increase in water secretion into the intestinal lumen, which accelerates intestinal transit time and results in a softer stool consistency.</w:t>
      </w:r>
    </w:p>
    <w:p>
      <w:pPr>
        <w:spacing w:after="0" w:line="21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In September 2019, we received FDA approval of IBSRELA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(tenapanor) for the treatment of IBS-C in adults. IBS-C is a burdensome gastrointestinal (“GI”) disorder. It is characterized by significant abdominal pain, constipation, straining during bowel movements, bloating and/or gas.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RDX013 Program: Small Molecule for Treating Hyperkalemia</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renin-angiotensin-aldosterone system (“RAAS”) inhibitors. Similar to what we have done with tenapanor in developing a non-binder approach for the treatment of elevated serum phosphate levels, RDX013 is designed to target the underlying biological mechanisms of potassium secretion to lower elevated potassium. While currently available therapies are all ion exchange agents, RDX013 is a first in class approach that exerts its effects by amplifying the underlying pathways of potassium secretion in the colon.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exclusive rights to tenapanor in the U.S. and 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Knight has exclusive rights for the development, commercialization and distribution of tenapanor in Canada for hyperphosphatemia and IBS-C. In March 2021, Knight announced the commercial availability of IBSRELA (tenapanor) in Canada, following its approval by Health Canada in April 2020. Under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terms of the agreement with Knight, we received a $2.3 million nonrefundable, one-time upfront payment in March 2018 and are eligible to receive additional development and commercialization milestone payments worth up to $17.5 million. We are also eligible to receive royalties throughout the term of the agreement, and a transfer price for manufacturing services.</w:t>
      </w:r>
    </w:p>
    <w:p>
      <w:pPr>
        <w:spacing w:after="0" w:line="2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KKC has exclusive rights for the development, commercialization and distribution of tenapanor in Japan for cardiorenal indications. In April 2021, we announced that KKC had commenced four phase 3 clinical trials in Japan evaluating tenapanor for hyperphosphatemia. The phase 3 clinical trials consist of a multi-center, randomized, double-blind, placebo-controlled, parallel-group comparative study; a phosphate binder-combination parallel-group comparative study; an open-label, single-arm study evaluating hyperphosphatemia patients on peritoneal dialysis; and a long-term study evaluating serum phosphorus in patients who switch from one or more phosphate binders to tenapanor. Under the terms of the agreement with KKC, we received a $30.0 million upfront</w:t>
      </w:r>
    </w:p>
    <w:p>
      <w:pPr>
        <w:jc w:val="both"/>
        <w:spacing w:after="0" w:line="277" w:lineRule="auto"/>
        <w:rPr>
          <w:sz w:val="20"/>
          <w:szCs w:val="20"/>
          <w:color w:val="auto"/>
        </w:rPr>
      </w:pPr>
      <w:r>
        <w:rPr>
          <w:rFonts w:ascii="Arial" w:cs="Arial" w:eastAsia="Arial" w:hAnsi="Arial"/>
          <w:sz w:val="17"/>
          <w:szCs w:val="17"/>
          <w:color w:val="auto"/>
        </w:rPr>
        <w:t>payment from KKC, and we may be entitled to receive up to $55.0 million in total development milestones, of which $10.0 million has been received and recognized as revenue as of September 30, 2021, and approximately ¥8.5 billion for commercialization milestones, or approximately $76.1 million at the currency exchange rate on September 30, 2021, as well as high-teen royalties on net sales throughout the term of the agreement.</w:t>
      </w:r>
    </w:p>
    <w:p>
      <w:pPr>
        <w:spacing w:after="0" w:line="19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7"/>
          <w:szCs w:val="17"/>
          <w:color w:val="auto"/>
        </w:rPr>
        <w:t>Fosun Pharma has exclusive rights for the development and commercialization for the development, commercialization and distribution of tenapanor in China for both hyperphosphatemia and IBS-C. Under the terms of the Fosun Agreement, we received $12.0 million in upfront license, and we may be entitled to additional development and commercialization milestones of up to $110.0 million, as well as reimbursement of cost plus a reasonable overhead for the supply of product and tiered royalties on net sales ranging from the mid-teens to 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Restructurings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Following the receipt of the CRL for our NDA for tenapanor for the control of serum phosphorus in CKD patients on dialysis, in August, we implemented a restructuring plan (the “August Restructuring”) to better align our workforce and anticipated commercial and development spend with our capital resources and the needs of our business following the receipt of the CRL. Under the August restructuring plan we reduced our workforce by 83 employees (approximately 33%).</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Following the conclusion of an End of Review Type A meeting with the FDA, in October 2021, we began to implement an additional restructuring plan (the “October Restructuring”) to further reduce operating costs and better align our workforce with the needs of our business. Under the restructuring plan, we are reducing our workforce by approximately 100 of our remaining employees (approximately 60%). Our impacted employees received notice that their positions will be eliminated on December 15, 2021. The restructuring plan, which will result in the elimination of our research organization and most of our commercial sales and marketing organizations, is expected to be completed in December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the results of our operations and overall financial performance may be adversely impacted. The extent of the impact from the COVID-19 pandemic on our business will depend largely on future developments that are highly uncertain and cannot be predicted. For a discussion of risks of COVID-19 relating to our business, see “Part II: Other Information-Item 1A.- Risk Factors- Risks Related to Our Business- </w:t>
      </w:r>
      <w:r>
        <w:rPr>
          <w:rFonts w:ascii="Arial" w:cs="Arial" w:eastAsia="Arial" w:hAnsi="Arial"/>
          <w:sz w:val="17"/>
          <w:szCs w:val="17"/>
          <w:i w:val="1"/>
          <w:iCs w:val="1"/>
          <w:color w:val="auto"/>
        </w:rPr>
        <w:t>The ongoing COVID-19 pandemic, or any</w:t>
      </w:r>
      <w:r>
        <w:rPr>
          <w:rFonts w:ascii="Arial" w:cs="Arial" w:eastAsia="Arial" w:hAnsi="Arial"/>
          <w:sz w:val="17"/>
          <w:szCs w:val="17"/>
          <w:color w:val="auto"/>
        </w:rPr>
        <w:t xml:space="preserve"> </w:t>
      </w:r>
      <w:r>
        <w:rPr>
          <w:rFonts w:ascii="Arial" w:cs="Arial" w:eastAsia="Arial" w:hAnsi="Arial"/>
          <w:sz w:val="17"/>
          <w:szCs w:val="17"/>
          <w:i w:val="1"/>
          <w:iCs w:val="1"/>
          <w:color w:val="auto"/>
        </w:rPr>
        <w:t>other outbreak of epidemic diseases, or the perception of their effects, could have a material adverse effect on our business, financial condition, results of operations or cash flows</w:t>
      </w:r>
      <w:r>
        <w:rPr>
          <w:rFonts w:ascii="Arial" w:cs="Arial" w:eastAsia="Arial" w:hAnsi="Arial"/>
          <w:sz w:val="17"/>
          <w:szCs w:val="17"/>
          <w:color w:val="auto"/>
        </w:rPr>
        <w:t>.” As of the date of issuance of this financial report, we are not aware of any specific event or circumstance that would require updates</w:t>
      </w:r>
      <w:r>
        <w:rPr>
          <w:rFonts w:ascii="Arial" w:cs="Arial" w:eastAsia="Arial" w:hAnsi="Arial"/>
          <w:sz w:val="17"/>
          <w:szCs w:val="17"/>
          <w:i w:val="1"/>
          <w:iCs w:val="1"/>
          <w:color w:val="auto"/>
        </w:rPr>
        <w:t xml:space="preserve"> </w:t>
      </w:r>
      <w:r>
        <w:rPr>
          <w:rFonts w:ascii="Arial" w:cs="Arial" w:eastAsia="Arial" w:hAnsi="Arial"/>
          <w:sz w:val="17"/>
          <w:szCs w:val="17"/>
          <w:color w:val="auto"/>
        </w:rPr>
        <w:t>to our estimates and judgments or revisions to the carrying value of our assets or liabilities. These estimates may change as new events occur and additional information is obtained.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discussion and analysis of financial condition and results of operations is based on our condensed financial statements, which have been prepared in accordance with accounting principles generally accepted in the United States.</w:t>
      </w:r>
    </w:p>
    <w:p>
      <w:pPr>
        <w:spacing w:after="0" w:line="18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The critical accounting policies that we believe impact significant judgments and estimates used in the preparation of our condensed financial statements presented in this report are described in Part II,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filed with the SEC on March 8, 2021. There have been no significant changes to our critical accounting policies as disclosed in our most recently filed Annual Report on Form 10-K during the three and nine months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 xml:space="preserve">A summary of recent accounting pronouncements that we have adopted or may expect to adopt is included in Note 1 – Organization and Basis of Presentation to our condensed financial statements (see Part I, Item 1 </w:t>
      </w:r>
      <w:r>
        <w:rPr>
          <w:rFonts w:ascii="Arial" w:cs="Arial" w:eastAsia="Arial" w:hAnsi="Arial"/>
          <w:sz w:val="15"/>
          <w:szCs w:val="15"/>
          <w:i w:val="1"/>
          <w:iCs w:val="1"/>
          <w:color w:val="auto"/>
        </w:rPr>
        <w:t>Notes to Condensed Financial Statements</w:t>
      </w:r>
      <w:r>
        <w:rPr>
          <w:rFonts w:ascii="Arial" w:cs="Arial" w:eastAsia="Arial" w:hAnsi="Arial"/>
          <w:sz w:val="15"/>
          <w:szCs w:val="15"/>
          <w:color w:val="auto"/>
        </w:rPr>
        <w:t>, of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revenue to date has been generated primarily through license, research and development collaborative agreements with various collaboration partners. We have not generated any revenue from commercial product sales.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whether we are able to gain approval from the FDA for our NDA for tenapanor or the control of serum phosphorus in CKD patients on dialysis; whether and the extent to which we are successful in our efforts to commercialize tenapanor for any approved indication the timing and progress of goods and services provided pursuant to our current or future collaborative partnerships; our or our collaborators’ achievement of clinical, regulatory or commercialization milestones, to the extent achieved; the timing and amount of any payments to us relating to the aforementioned milestones; and the extent to which any of our product candidates are approved and successfully commercialized by a collaboration partner. If our current collaboration partners or any future collaboration partners fail to obtain regulatory approval for tenapanor, our ability to generate future revenue from our product sales or from our collaborative arrangements, and our results of operations and financial position, would be materially and adversely affected. Our past revenue performance is not necessarily indicative of results to be expected in future periods.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Cost of revenue currently represents payments due to AstraZeneca, which under the terms of a termination agreement entered into in 2015 (the "AZ Termination Agreement") is entitled to (i) future royalties at a rate of 10% of net sales of tenapanor or other NHE3 products by us or our licensees, and (ii) 20% of non-royalty revenue received from our collaboration partners to which we may elect to provide rights to develop and commercialize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$11.6 million as cost of revenue under the AZ Termination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 all research and development expenses as they are incurred to support the discovery, research, development and manufacturing of our product candidates. Research and development expenses include, but are not limited to, the following: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18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associated with supplies and materials consumed in connection with our research operations;</w:t>
      </w:r>
    </w:p>
    <w:p>
      <w:pPr>
        <w:spacing w:after="0" w:line="217"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expenses associated with producing tenapanor for the control of serum phosphorus in adult patients with CKD on dialysis prior to FDA approval;</w:t>
      </w:r>
    </w:p>
    <w:p>
      <w:pPr>
        <w:spacing w:after="0" w:line="251" w:lineRule="exact"/>
        <w:rPr>
          <w:rFonts w:ascii="Arial" w:cs="Arial" w:eastAsia="Arial" w:hAnsi="Arial"/>
          <w:sz w:val="15"/>
          <w:szCs w:val="15"/>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costs associated with research, clinical development and regulatory activities;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employee-related expenses, which include salaries, bonuses, benefits, travel and stock-based compensation;</w:t>
      </w:r>
    </w:p>
    <w:p>
      <w:pPr>
        <w:spacing w:after="0" w:line="21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20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As a result of the October Restructuring, we currently anticipate that our research organization will be eliminated by the end of 2021. We expect that we will continue to make substantial investments in our development activities as we progress the development of RDX013 and further progress the development of tenapanor to the extent additional clinical studies, including pediatric studies, are necessary to support the commercialization of tenapanor for any approved indication. The process of conducting preclinical studies and clinical trials necessary to obtain regulatory approval is costly and time-consuming. The probability of success of each of our product candidates may be affected by numerous factors, including preclinical data, clinical data, the regulatory process, market acceptance, sufficient third-party coverage or reimbursement, our ability to access capital on acceptable terms, competition, manufacturing capability and commercial viability. 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If we are unable to access capital on a timely basis and on terms that are acceptable to us, we may be forced to restructure certain aspects of our business or identify and complete one or more strategic collaborations or other transactions in order to fund the commercialization of tenapanor for any approved indication and the development of RDX013 through the use of alternative structures.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certain of our executives, our board members, and our finance, legal, business development, market development, commercial and support staff. Other general and administrative expenses include facility related costs and professional fees for legal, accounting and audit, investor relations, other consulting services and allocated facility-related costs not otherwise included in research and development expenses.</w:t>
      </w:r>
    </w:p>
    <w:p>
      <w:pPr>
        <w:spacing w:after="0" w:line="191"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We anticipate that our general and administrative expenses will decrease in the immediate future primarily because of the impact of the October Restructuring on our sales and marketing pre-commercial activities and personnel costs. We anticipate that our general and administrative expenses will</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 in the future based upon whether and the extent to which we scale our organization to support a launch and commercialization of tenapanor for any approved indication.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income, net consists of interest income earned on our cash and cash equivalents and available-for-sale investments, the periodic revaluation of the exit fee related to our loan and currency exchange gains and losses.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3"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results of operations are not necessarily indicative of the results to be expected for the year ending December 31, 2021, for any other interim period, or for any other future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and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is a summary of our total revenue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7"/>
                <w:szCs w:val="17"/>
                <w:color w:val="auto"/>
              </w:rPr>
            </w:pPr>
          </w:p>
        </w:tc>
        <w:tc>
          <w:tcPr>
            <w:tcW w:w="1100" w:type="dxa"/>
            <w:vAlign w:val="bottom"/>
            <w:gridSpan w:val="3"/>
          </w:tcPr>
          <w:p>
            <w:pPr>
              <w:jc w:val="center"/>
              <w:ind w:left="312"/>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Nine Months Ended</w:t>
            </w:r>
          </w:p>
        </w:tc>
        <w:tc>
          <w:tcPr>
            <w:tcW w:w="240" w:type="dxa"/>
            <w:vAlign w:val="bottom"/>
          </w:tcPr>
          <w:p>
            <w:pPr>
              <w:spacing w:after="0"/>
              <w:rPr>
                <w:sz w:val="17"/>
                <w:szCs w:val="17"/>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17"/>
                <w:szCs w:val="17"/>
                <w:color w:val="auto"/>
              </w:rPr>
            </w:pPr>
          </w:p>
        </w:tc>
      </w:tr>
      <w:tr>
        <w:trPr>
          <w:trHeight w:val="225"/>
        </w:trPr>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6"/>
              </w:rPr>
              <w:t>2021 vs. 2020</w:t>
            </w:r>
          </w:p>
        </w:tc>
        <w:tc>
          <w:tcPr>
            <w:tcW w:w="200" w:type="dxa"/>
            <w:vAlign w:val="bottom"/>
          </w:tcPr>
          <w:p>
            <w:pPr>
              <w:spacing w:after="0"/>
              <w:rPr>
                <w:sz w:val="19"/>
                <w:szCs w:val="19"/>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9"/>
                <w:szCs w:val="19"/>
                <w:color w:val="auto"/>
              </w:rPr>
            </w:pPr>
          </w:p>
        </w:tc>
        <w:tc>
          <w:tcPr>
            <w:tcW w:w="168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2021 vs. 2020</w:t>
            </w:r>
          </w:p>
        </w:tc>
      </w:tr>
      <w:tr>
        <w:trPr>
          <w:trHeight w:val="218"/>
        </w:trPr>
        <w:tc>
          <w:tcPr>
            <w:tcW w:w="29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r>
      <w:tr>
        <w:trPr>
          <w:trHeight w:val="218"/>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Collaborative development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(34.7)%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2900" w:type="dxa"/>
            <w:vAlign w:val="bottom"/>
          </w:tcPr>
          <w:p>
            <w:pPr>
              <w:ind w:left="20"/>
              <w:spacing w:after="0"/>
              <w:rPr>
                <w:sz w:val="20"/>
                <w:szCs w:val="20"/>
                <w:color w:val="auto"/>
              </w:rPr>
            </w:pPr>
            <w:r>
              <w:rPr>
                <w:rFonts w:ascii="Arial" w:cs="Arial" w:eastAsia="Arial" w:hAnsi="Arial"/>
                <w:sz w:val="18"/>
                <w:szCs w:val="18"/>
                <w:color w:val="auto"/>
              </w:rPr>
              <w:t>Product supply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1"/>
              </w:rPr>
              <w:t>(79.0)%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(70.6)%</w:t>
            </w:r>
          </w:p>
        </w:tc>
      </w:tr>
      <w:tr>
        <w:trPr>
          <w:trHeight w:val="225"/>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revenue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4,301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609.2 %</w:t>
            </w:r>
          </w:p>
        </w:tc>
      </w:tr>
      <w:tr>
        <w:trPr>
          <w:trHeight w:val="219"/>
        </w:trPr>
        <w:tc>
          <w:tcPr>
            <w:tcW w:w="290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1"/>
              </w:rPr>
              <w:t>(56.8)%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7"/>
              </w:rPr>
              <w:t>3,306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57.4 %</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r>
      <w:tr>
        <w:trPr>
          <w:trHeight w:val="192"/>
        </w:trPr>
        <w:tc>
          <w:tcPr>
            <w:tcW w:w="2900" w:type="dxa"/>
            <w:vAlign w:val="bottom"/>
            <w:shd w:val="clear" w:color="auto" w:fill="CCEEFF"/>
          </w:tcPr>
          <w:p>
            <w:pPr>
              <w:ind w:left="240"/>
              <w:spacing w:after="0" w:line="192" w:lineRule="exact"/>
              <w:rPr>
                <w:sz w:val="20"/>
                <w:szCs w:val="20"/>
                <w:color w:val="auto"/>
              </w:rPr>
            </w:pPr>
            <w:r>
              <w:rPr>
                <w:rFonts w:ascii="Arial" w:cs="Arial" w:eastAsia="Arial" w:hAnsi="Arial"/>
                <w:sz w:val="18"/>
                <w:szCs w:val="18"/>
                <w:color w:val="auto"/>
                <w:w w:val="88"/>
              </w:rPr>
              <w:t>(a) Percent change is not meaningful.</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bl>
    <w:p>
      <w:pPr>
        <w:spacing w:after="0" w:line="2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decrease to total revenues during the three months ended September 30, 2021 as compared to the same period in 2020 is primarily attributable to manufacturing supply of tenapanor and other materials sold to KKC during the three months ended September 30, 2020 in connection with the license agreement entered into with KKC in November 2017 for its product development and clinical trials in Japan.</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increase to total revenues during the nine months ended September 30, 2021 as compared to the same period in 2020 is primarily attributable to a $5.0 million development milestone which we earned during three months ended March 31, 2021 upon the initiation by KKC of phase 3 clinical studies in Japan to evaluate tenapanor for hyperphosphatemia. The increase was partially offset by lower product supply revenue during the nine months ended September 30,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is a summary of our operating expenses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8"/>
                <w:szCs w:val="18"/>
                <w:color w:val="auto"/>
              </w:rPr>
            </w:pPr>
          </w:p>
        </w:tc>
        <w:tc>
          <w:tcPr>
            <w:tcW w:w="1060" w:type="dxa"/>
            <w:vAlign w:val="bottom"/>
            <w:gridSpan w:val="3"/>
          </w:tcPr>
          <w:p>
            <w:pPr>
              <w:jc w:val="center"/>
              <w:ind w:left="312"/>
              <w:spacing w:after="0"/>
              <w:rPr>
                <w:sz w:val="20"/>
                <w:szCs w:val="20"/>
                <w:color w:val="auto"/>
              </w:rPr>
            </w:pPr>
            <w:r>
              <w:rPr>
                <w:rFonts w:ascii="Arial" w:cs="Arial" w:eastAsia="Arial" w:hAnsi="Arial"/>
                <w:sz w:val="18"/>
                <w:szCs w:val="18"/>
                <w:b w:val="1"/>
                <w:bCs w:val="1"/>
                <w:color w:val="auto"/>
                <w:w w:val="87"/>
              </w:rPr>
              <w:t>Change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Nine Months Ended</w:t>
            </w:r>
          </w:p>
        </w:tc>
        <w:tc>
          <w:tcPr>
            <w:tcW w:w="200" w:type="dxa"/>
            <w:vAlign w:val="bottom"/>
          </w:tcPr>
          <w:p>
            <w:pPr>
              <w:spacing w:after="0"/>
              <w:rPr>
                <w:sz w:val="18"/>
                <w:szCs w:val="18"/>
                <w:color w:val="auto"/>
              </w:rPr>
            </w:pPr>
          </w:p>
        </w:tc>
        <w:tc>
          <w:tcPr>
            <w:tcW w:w="1060" w:type="dxa"/>
            <w:vAlign w:val="bottom"/>
            <w:gridSpan w:val="3"/>
          </w:tcPr>
          <w:p>
            <w:pPr>
              <w:ind w:left="44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18"/>
                <w:szCs w:val="18"/>
                <w:color w:val="auto"/>
              </w:rPr>
            </w:pPr>
          </w:p>
        </w:tc>
      </w:tr>
      <w:tr>
        <w:trPr>
          <w:trHeight w:val="225"/>
        </w:trPr>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6"/>
              </w:rPr>
              <w:t>2021 vs. 2020</w:t>
            </w:r>
          </w:p>
        </w:tc>
        <w:tc>
          <w:tcPr>
            <w:tcW w:w="200" w:type="dxa"/>
            <w:vAlign w:val="bottom"/>
          </w:tcPr>
          <w:p>
            <w:pPr>
              <w:spacing w:after="0"/>
              <w:rPr>
                <w:sz w:val="19"/>
                <w:szCs w:val="19"/>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172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2021 vs. 2020</w:t>
            </w:r>
          </w:p>
        </w:tc>
      </w:tr>
      <w:tr>
        <w:trPr>
          <w:trHeight w:val="218"/>
        </w:trPr>
        <w:tc>
          <w:tcPr>
            <w:tcW w:w="29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609.2 %</w:t>
            </w:r>
          </w:p>
        </w:tc>
      </w:tr>
      <w:tr>
        <w:trPr>
          <w:trHeight w:val="225"/>
        </w:trPr>
        <w:tc>
          <w:tcPr>
            <w:tcW w:w="29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49.5 %</w:t>
            </w:r>
          </w:p>
        </w:tc>
      </w:tr>
      <w:tr>
        <w:trPr>
          <w:trHeight w:val="225"/>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158.2 %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161.2 %</w:t>
            </w:r>
          </w:p>
        </w:tc>
      </w:tr>
      <w:tr>
        <w:trPr>
          <w:trHeight w:val="219"/>
        </w:trPr>
        <w:tc>
          <w:tcPr>
            <w:tcW w:w="294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0"/>
              </w:rPr>
              <w:t>118.4 %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86.0 %</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r>
      <w:tr>
        <w:trPr>
          <w:trHeight w:val="192"/>
        </w:trPr>
        <w:tc>
          <w:tcPr>
            <w:tcW w:w="2940" w:type="dxa"/>
            <w:vAlign w:val="bottom"/>
            <w:shd w:val="clear" w:color="auto" w:fill="CCEEFF"/>
          </w:tcPr>
          <w:p>
            <w:pPr>
              <w:ind w:left="240"/>
              <w:spacing w:after="0" w:line="192" w:lineRule="exact"/>
              <w:rPr>
                <w:sz w:val="20"/>
                <w:szCs w:val="20"/>
                <w:color w:val="auto"/>
              </w:rPr>
            </w:pPr>
            <w:r>
              <w:rPr>
                <w:rFonts w:ascii="Arial" w:cs="Arial" w:eastAsia="Arial" w:hAnsi="Arial"/>
                <w:sz w:val="18"/>
                <w:szCs w:val="18"/>
                <w:color w:val="auto"/>
                <w:w w:val="89"/>
              </w:rPr>
              <w:t>(a) Percent change is not meaningful.</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incur any cost of revenue under the AZ termination Agreement during the three months ended September 30, 2021.</w:t>
      </w:r>
    </w:p>
    <w:p>
      <w:pPr>
        <w:spacing w:after="0" w:line="21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increase in cost of revenue for the nine months ended September 30, 2021 was for payment due to AstraZeneca under the AZ Termination Agreement related to the development milestone we earned upon the initiation by KKC of phase 3 clinical studies in Japan to evaluate tenapanor for hyperphosphatemia.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7"/>
                <w:szCs w:val="17"/>
                <w:color w:val="auto"/>
              </w:rPr>
            </w:pPr>
          </w:p>
        </w:tc>
        <w:tc>
          <w:tcPr>
            <w:tcW w:w="1060" w:type="dxa"/>
            <w:vAlign w:val="bottom"/>
            <w:gridSpan w:val="3"/>
          </w:tcPr>
          <w:p>
            <w:pPr>
              <w:jc w:val="center"/>
              <w:ind w:left="312"/>
              <w:spacing w:after="0"/>
              <w:rPr>
                <w:sz w:val="20"/>
                <w:szCs w:val="20"/>
                <w:color w:val="auto"/>
              </w:rPr>
            </w:pPr>
            <w:r>
              <w:rPr>
                <w:rFonts w:ascii="Arial" w:cs="Arial" w:eastAsia="Arial" w:hAnsi="Arial"/>
                <w:sz w:val="18"/>
                <w:szCs w:val="18"/>
                <w:b w:val="1"/>
                <w:bCs w:val="1"/>
                <w:color w:val="auto"/>
                <w:w w:val="87"/>
              </w:rPr>
              <w:t>Change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Nine Months Ended</w:t>
            </w:r>
          </w:p>
        </w:tc>
        <w:tc>
          <w:tcPr>
            <w:tcW w:w="200" w:type="dxa"/>
            <w:vAlign w:val="bottom"/>
          </w:tcPr>
          <w:p>
            <w:pPr>
              <w:spacing w:after="0"/>
              <w:rPr>
                <w:sz w:val="17"/>
                <w:szCs w:val="17"/>
                <w:color w:val="auto"/>
              </w:rPr>
            </w:pPr>
          </w:p>
        </w:tc>
        <w:tc>
          <w:tcPr>
            <w:tcW w:w="1060" w:type="dxa"/>
            <w:vAlign w:val="bottom"/>
            <w:gridSpan w:val="3"/>
          </w:tcPr>
          <w:p>
            <w:pPr>
              <w:ind w:left="44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6"/>
              </w:rPr>
              <w:t>2021 vs. 2020</w:t>
            </w:r>
          </w:p>
        </w:tc>
        <w:tc>
          <w:tcPr>
            <w:tcW w:w="200" w:type="dxa"/>
            <w:vAlign w:val="bottom"/>
          </w:tcPr>
          <w:p>
            <w:pPr>
              <w:spacing w:after="0"/>
              <w:rPr>
                <w:sz w:val="19"/>
                <w:szCs w:val="19"/>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172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2021 vs. 2020</w:t>
            </w:r>
          </w:p>
        </w:tc>
        <w:tc>
          <w:tcPr>
            <w:tcW w:w="0" w:type="dxa"/>
            <w:vAlign w:val="bottom"/>
          </w:tcPr>
          <w:p>
            <w:pPr>
              <w:spacing w:after="0"/>
              <w:rPr>
                <w:sz w:val="1"/>
                <w:szCs w:val="1"/>
                <w:color w:val="auto"/>
              </w:rPr>
            </w:pPr>
          </w:p>
        </w:tc>
      </w:tr>
      <w:tr>
        <w:trPr>
          <w:trHeight w:val="219"/>
        </w:trPr>
        <w:tc>
          <w:tcPr>
            <w:tcW w:w="29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62.7 %</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Arial" w:cs="Arial" w:eastAsia="Arial" w:hAnsi="Arial"/>
                <w:sz w:val="18"/>
                <w:szCs w:val="18"/>
                <w:color w:val="auto"/>
              </w:rPr>
              <w:t>Employee-related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Facilities, equipment and depreciation</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386.4 %</w:t>
            </w:r>
          </w:p>
        </w:tc>
        <w:tc>
          <w:tcPr>
            <w:tcW w:w="0" w:type="dxa"/>
            <w:vAlign w:val="bottom"/>
          </w:tcPr>
          <w:p>
            <w:pPr>
              <w:spacing w:after="0"/>
              <w:rPr>
                <w:sz w:val="1"/>
                <w:szCs w:val="1"/>
                <w:color w:val="auto"/>
              </w:rPr>
            </w:pPr>
          </w:p>
        </w:tc>
      </w:tr>
      <w:tr>
        <w:trPr>
          <w:trHeight w:val="154"/>
        </w:trPr>
        <w:tc>
          <w:tcPr>
            <w:tcW w:w="2940" w:type="dxa"/>
            <w:vAlign w:val="bottom"/>
            <w:shd w:val="clear" w:color="auto" w:fill="CCEEFF"/>
          </w:tcPr>
          <w:p>
            <w:pPr>
              <w:ind w:left="120"/>
              <w:spacing w:after="0" w:line="154" w:lineRule="exact"/>
              <w:rPr>
                <w:sz w:val="20"/>
                <w:szCs w:val="20"/>
                <w:color w:val="auto"/>
              </w:rPr>
            </w:pPr>
            <w:r>
              <w:rPr>
                <w:rFonts w:ascii="Arial" w:cs="Arial" w:eastAsia="Arial" w:hAnsi="Arial"/>
                <w:sz w:val="17"/>
                <w:szCs w:val="17"/>
                <w:color w:val="auto"/>
              </w:rPr>
              <w:t>Total research and development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93.6 %</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70,172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46,948</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0" w:type="dxa"/>
            <w:vAlign w:val="bottom"/>
          </w:tcPr>
          <w:p>
            <w:pPr>
              <w:spacing w:after="0"/>
              <w:rPr>
                <w:sz w:val="1"/>
                <w:szCs w:val="1"/>
                <w:color w:val="auto"/>
              </w:rPr>
            </w:pPr>
          </w:p>
        </w:tc>
      </w:tr>
      <w:tr>
        <w:trPr>
          <w:trHeight w:val="218"/>
        </w:trPr>
        <w:tc>
          <w:tcPr>
            <w:tcW w:w="2940" w:type="dxa"/>
            <w:vAlign w:val="bottom"/>
            <w:tcBorders>
              <w:bottom w:val="single" w:sz="8" w:color="CCEEFF"/>
            </w:tcBorders>
            <w:shd w:val="clear" w:color="auto" w:fill="CCEEFF"/>
          </w:tcPr>
          <w:p>
            <w:pPr>
              <w:ind w:left="120"/>
              <w:spacing w:after="0" w:line="198" w:lineRule="exact"/>
              <w:rPr>
                <w:sz w:val="20"/>
                <w:szCs w:val="20"/>
                <w:color w:val="auto"/>
              </w:rPr>
            </w:pPr>
            <w:r>
              <w:rPr>
                <w:rFonts w:ascii="Arial" w:cs="Arial" w:eastAsia="Arial" w:hAnsi="Arial"/>
                <w:sz w:val="18"/>
                <w:szCs w:val="18"/>
                <w:color w:val="auto"/>
              </w:rPr>
              <w:t>expenses</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 increase in our external R&amp;D expenses for the three and nine months ended September 30, 2021 is primarily the result of tenapanor manufacturing costs as well as clinical study costs from the advancement of our OPTIMIZE study which were partially offset by lower costs for the PHREEDOM clinical study. The increase in our employee-related expenses for the three and nine months ended September 30, 2021 is related to compensation and benefits expenses for our research and development workforce. Employee-related expenses for the three and nine months ended September 30, 2021 include $1.2 million severance payments and other employee-related costs as discussed in </w:t>
      </w:r>
      <w:r>
        <w:rPr>
          <w:rFonts w:ascii="Arial" w:cs="Arial" w:eastAsia="Arial" w:hAnsi="Arial"/>
          <w:sz w:val="18"/>
          <w:szCs w:val="18"/>
          <w:i w:val="1"/>
          <w:iCs w:val="1"/>
          <w:color w:val="auto"/>
        </w:rPr>
        <w:t>Note 10 - Restructuring</w:t>
      </w:r>
      <w:r>
        <w:rPr>
          <w:rFonts w:ascii="Arial" w:cs="Arial" w:eastAsia="Arial" w:hAnsi="Arial"/>
          <w:sz w:val="18"/>
          <w:szCs w:val="18"/>
          <w:color w:val="auto"/>
        </w:rPr>
        <w:t xml:space="preserve"> to the financial statements included elsewhere in this Quarterly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 increase in general and administrative expenses for the three and six months ended September 30, 2021 was primarily due to increased costs associated with building and staffing our commercial infrastructure and teams as we prepared for the U.S. launch of tenapanor for the control of serum phosphorus in adult patients with CKD on dialysis. The increase consisted of headcount and related personnel costs and an increase in external spending for disease awareness initiatives, commercial infrastructure and strategy. Employee-related expenses for the three and nine months ended September 30, 2021 include $2.4 million severance payments and other employee-related costs as discussed in </w:t>
      </w:r>
      <w:r>
        <w:rPr>
          <w:rFonts w:ascii="Arial" w:cs="Arial" w:eastAsia="Arial" w:hAnsi="Arial"/>
          <w:sz w:val="18"/>
          <w:szCs w:val="18"/>
          <w:i w:val="1"/>
          <w:iCs w:val="1"/>
          <w:color w:val="auto"/>
        </w:rPr>
        <w:t>Note 10 - Restructuring</w:t>
      </w:r>
      <w:r>
        <w:rPr>
          <w:rFonts w:ascii="Arial" w:cs="Arial" w:eastAsia="Arial" w:hAnsi="Arial"/>
          <w:sz w:val="18"/>
          <w:szCs w:val="18"/>
          <w:color w:val="auto"/>
        </w:rPr>
        <w:t xml:space="preserve"> to the financial statements included elsewhere in this Quarterly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is a summary of our other income, net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18"/>
                <w:szCs w:val="18"/>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8"/>
                <w:szCs w:val="18"/>
                <w:b w:val="1"/>
                <w:bCs w:val="1"/>
                <w:color w:val="auto"/>
                <w:w w:val="87"/>
              </w:rPr>
              <w:t>Change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Nine Months Ended</w:t>
            </w:r>
          </w:p>
        </w:tc>
        <w:tc>
          <w:tcPr>
            <w:tcW w:w="240" w:type="dxa"/>
            <w:vAlign w:val="bottom"/>
          </w:tcPr>
          <w:p>
            <w:pPr>
              <w:spacing w:after="0"/>
              <w:rPr>
                <w:sz w:val="18"/>
                <w:szCs w:val="18"/>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18"/>
                <w:szCs w:val="18"/>
                <w:color w:val="auto"/>
              </w:rPr>
            </w:pPr>
          </w:p>
        </w:tc>
      </w:tr>
      <w:tr>
        <w:trPr>
          <w:trHeight w:val="225"/>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9"/>
                <w:szCs w:val="19"/>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6"/>
              </w:rPr>
              <w:t>2021 vs. 2020</w:t>
            </w:r>
          </w:p>
        </w:tc>
        <w:tc>
          <w:tcPr>
            <w:tcW w:w="200" w:type="dxa"/>
            <w:vAlign w:val="bottom"/>
          </w:tcPr>
          <w:p>
            <w:pPr>
              <w:spacing w:after="0"/>
              <w:rPr>
                <w:sz w:val="19"/>
                <w:szCs w:val="19"/>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9"/>
                <w:szCs w:val="19"/>
                <w:color w:val="auto"/>
              </w:rPr>
            </w:pPr>
          </w:p>
        </w:tc>
        <w:tc>
          <w:tcPr>
            <w:tcW w:w="166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2021 vs. 2020</w:t>
            </w:r>
          </w:p>
        </w:tc>
      </w:tr>
      <w:tr>
        <w:trPr>
          <w:trHeight w:val="218"/>
        </w:trPr>
        <w:tc>
          <w:tcPr>
            <w:tcW w:w="28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r>
      <w:tr>
        <w:trPr>
          <w:trHeight w:val="218"/>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1"/>
              </w:rPr>
              <w:t>(3,785)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6"/>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5"/>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(152.5)%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88"/>
              </w:rPr>
              <w:t>1,485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0"/>
              </w:rPr>
              <w:t>(821)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5"/>
              </w:rPr>
              <w:t>(55.3)%</w:t>
            </w:r>
          </w:p>
        </w:tc>
      </w:tr>
      <w:tr>
        <w:trPr>
          <w:trHeight w:val="244"/>
        </w:trPr>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91"/>
              </w:rPr>
              <w:t>(2,300)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0"/>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decrease in interest expense for the nine months ended September 30, 2021 was primarily due to lower interest rates on our variable-rate term loan.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changes in other income, net for the three and nine months ended September 30, 2021 were primarily due to lower income earned on our investments, which was largely offset by the revaluation of our derivative liability related to our term loan agreement following receipt of the FDA CRL on July 28,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Capital Resources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4"/>
        </w:trPr>
        <w:tc>
          <w:tcPr>
            <w:tcW w:w="7180" w:type="dxa"/>
            <w:vAlign w:val="bottom"/>
          </w:tcPr>
          <w:p>
            <w:pPr>
              <w:ind w:left="320"/>
              <w:spacing w:after="0"/>
              <w:rPr>
                <w:sz w:val="20"/>
                <w:szCs w:val="20"/>
                <w:color w:val="auto"/>
              </w:rPr>
            </w:pPr>
            <w:r>
              <w:rPr>
                <w:rFonts w:ascii="Arial" w:cs="Arial" w:eastAsia="Arial" w:hAnsi="Arial"/>
                <w:sz w:val="18"/>
                <w:szCs w:val="18"/>
                <w:color w:val="auto"/>
              </w:rPr>
              <w:t>Below is a summary of our cash, cash equivalents and investments (in thousands):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5"/>
        </w:trPr>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4"/>
                <w:szCs w:val="24"/>
                <w:color w:val="auto"/>
              </w:rPr>
            </w:pPr>
          </w:p>
        </w:tc>
        <w:tc>
          <w:tcPr>
            <w:tcW w:w="1800" w:type="dxa"/>
            <w:vAlign w:val="bottom"/>
          </w:tcPr>
          <w:p>
            <w:pPr>
              <w:jc w:val="right"/>
              <w:ind w:right="192"/>
              <w:spacing w:after="0"/>
              <w:rPr>
                <w:sz w:val="20"/>
                <w:szCs w:val="20"/>
                <w:color w:val="auto"/>
              </w:rPr>
            </w:pPr>
            <w:r>
              <w:rPr>
                <w:rFonts w:ascii="Arial" w:cs="Arial" w:eastAsia="Arial" w:hAnsi="Arial"/>
                <w:sz w:val="18"/>
                <w:szCs w:val="18"/>
                <w:b w:val="1"/>
                <w:bCs w:val="1"/>
                <w:color w:val="auto"/>
                <w:w w:val="92"/>
              </w:rPr>
              <w:t>December 31, 2020</w:t>
            </w:r>
          </w:p>
        </w:tc>
      </w:tr>
      <w:tr>
        <w:trPr>
          <w:trHeight w:val="21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91,032</w:t>
            </w:r>
          </w:p>
        </w:tc>
      </w:tr>
      <w:tr>
        <w:trPr>
          <w:trHeight w:val="225"/>
        </w:trPr>
        <w:tc>
          <w:tcPr>
            <w:tcW w:w="7180" w:type="dxa"/>
            <w:vAlign w:val="bottom"/>
          </w:tcPr>
          <w:p>
            <w:pPr>
              <w:ind w:left="20"/>
              <w:spacing w:after="0"/>
              <w:rPr>
                <w:sz w:val="20"/>
                <w:szCs w:val="20"/>
                <w:color w:val="auto"/>
              </w:rPr>
            </w:pPr>
            <w:r>
              <w:rPr>
                <w:rFonts w:ascii="Arial" w:cs="Arial" w:eastAsia="Arial" w:hAnsi="Arial"/>
                <w:sz w:val="18"/>
                <w:szCs w:val="18"/>
                <w:color w:val="auto"/>
              </w:rPr>
              <w:t>Investments - current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66,363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95,452</w:t>
            </w:r>
          </w:p>
        </w:tc>
      </w:tr>
      <w:tr>
        <w:trPr>
          <w:trHeight w:val="225"/>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 non-current</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19"/>
        </w:trPr>
        <w:tc>
          <w:tcPr>
            <w:tcW w:w="7180" w:type="dxa"/>
            <w:vAlign w:val="bottom"/>
          </w:tcPr>
          <w:p>
            <w:pPr>
              <w:ind w:left="120"/>
              <w:spacing w:after="0"/>
              <w:rPr>
                <w:sz w:val="20"/>
                <w:szCs w:val="20"/>
                <w:color w:val="auto"/>
              </w:rPr>
            </w:pPr>
            <w:r>
              <w:rPr>
                <w:rFonts w:ascii="Arial" w:cs="Arial" w:eastAsia="Arial" w:hAnsi="Arial"/>
                <w:sz w:val="18"/>
                <w:szCs w:val="18"/>
                <w:color w:val="auto"/>
              </w:rPr>
              <w:t>Total liquid funds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141,651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188,598</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September 30, 2021, we had cash, cash equivalents and investments totaling $141.7 million compared to $188.6 million as of December 31, 2020.</w:t>
      </w:r>
    </w:p>
    <w:p>
      <w:pPr>
        <w:spacing w:after="0" w:line="25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July 2020, we filed a Form S-3 registration statement, which became effective in August 2020,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 the market offerings” (the "2020 Open Market Sales Agreement"). Pursuant to the 2020 Open Market Sales Agreement, Jefferies, as our sales agent, received a commission of up to 3.0% of the gross sales price for shares of common stock sold under the 2020 Open Market Sales Agreement. During the nine months ended September 30, 2021 we sold 12.3 million shares of our common stock for aggregate gross proceeds of $68.7 million at a weighted average price of $5.58 per share under the 2020 Open Market Sales Agreement. We sold 8.2 million shares of our common stock between the dates of November 13, 2020 through February 19, 2021, 4.0 million shares between the dates of May 11, 2021 through June 18, 2021 and 3.3 million shares between the dates of August 24, 2021 and September 10, 2021 for a cumulative total of 15.6 million shares and gross proceeds of $90.3 million at a weighted average sales price of approximately $5.80 per share during the life of the 2020 Open Market Sales Agreement. We sold 6.0 million shares of our common stock between the dates of October 21, 2021 and November 5, 2021 for gross proceeds of $7.4 million at a weighted average sales price of approximately $1.23 per share.</w:t>
      </w:r>
    </w:p>
    <w:p>
      <w:pPr>
        <w:spacing w:after="0" w:line="18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3.0% of the gross sales price for shares of common stock sold under the 2021 Open Market Sales Agreement. As of September 30, 2021 we have sold no shares of our common stock under the 2021 Open Market Sales Agreement.</w:t>
      </w:r>
    </w:p>
    <w:p>
      <w:pPr>
        <w:spacing w:after="0" w:line="15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expect that the workforce reductions will decrease our future annual cash compensation costs by approximately $35 million. Our primary sources of cash have been from the sale and issuance of common stock (in both public offerings and private placements) and private placements of convertible preferred stock, funds from our collaboration partnerships and funds from our loan agreement. Our primary uses of cash are to fund operating expenses, primarily research and development expenditures and pre-commercial expenses. Cash used to fund operating expenses is impacted by the timing of when we pay these expenses, as reflected in the change in our outstanding accounts payable and accrued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believe that our existing capital resources as of September 30, 2021 will enable us to fund our operating expenses and capital expenditure requirements for at least the next 12 months following the filing of this Report on Form 10-Q.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There are numerous risks and uncertainties associated with development and commercialization initiatives, and actual results could vary materially as a result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a number of factors, many of which are outside of our control. Failure to raise sufficient capital when needed or generate product revenue will further impact our ability to pursue our business strategies and could require us to further delay, scale back or discontinue one or more of our product development programs, commercialization efforts, or other aspects of our business plans. These events could prevent us from successfully executing our operating plan and could raise substantial doubt as to our ability to continue as a going concern in future periods.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217" w:lineRule="exact"/>
        <w:rPr>
          <w:sz w:val="20"/>
          <w:szCs w:val="20"/>
          <w:color w:val="auto"/>
        </w:rPr>
      </w:pPr>
    </w:p>
    <w:p>
      <w:pPr>
        <w:jc w:val="both"/>
        <w:ind w:left="320" w:hanging="314"/>
        <w:spacing w:after="0" w:line="25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we are successful in our efforts under the FDR process to secure approval for our NDA for tenapanor for the Hyperphosphatemia Indication, or whether we are able during the FDR to reach resolution with the FDA regarding a path to addressing the deficiencies in our NDA noted in the CRL that is achievable in terms of clinical study design, time and cost;</w:t>
      </w:r>
    </w:p>
    <w:p>
      <w:pPr>
        <w:spacing w:after="0" w:line="188"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successfully commercialize tenapanor for any approved indication, either on our own or with one or more collaboration partners;</w:t>
      </w:r>
    </w:p>
    <w:p>
      <w:pPr>
        <w:spacing w:after="0" w:line="228" w:lineRule="exact"/>
        <w:rPr>
          <w:rFonts w:ascii="Arial" w:cs="Arial" w:eastAsia="Arial" w:hAnsi="Arial"/>
          <w:sz w:val="17"/>
          <w:szCs w:val="17"/>
          <w:color w:val="auto"/>
        </w:rPr>
      </w:pPr>
    </w:p>
    <w:p>
      <w:pPr>
        <w:ind w:left="320" w:hanging="314"/>
        <w:spacing w:after="0" w:line="365" w:lineRule="auto"/>
        <w:tabs>
          <w:tab w:leader="none" w:pos="315" w:val="left"/>
        </w:tabs>
        <w:numPr>
          <w:ilvl w:val="0"/>
          <w:numId w:val="5"/>
        </w:numPr>
        <w:rPr>
          <w:rFonts w:ascii="Arial" w:cs="Arial" w:eastAsia="Arial" w:hAnsi="Arial"/>
          <w:sz w:val="15"/>
          <w:szCs w:val="15"/>
          <w:color w:val="auto"/>
        </w:rPr>
      </w:pPr>
      <w:r>
        <w:rPr>
          <w:rFonts w:ascii="Arial" w:cs="Arial" w:eastAsia="Arial" w:hAnsi="Arial"/>
          <w:sz w:val="15"/>
          <w:szCs w:val="15"/>
          <w:color w:val="auto"/>
        </w:rPr>
        <w:t>establishing and maintaining supply and manufacturing relationships with third parties that can provide an adequate (in amount and quality) supply of product to support the market demand for tenapanor for the treatment of IBS-C, and/or, if approved, tenapanor for the Hyperphosphatemia Indication;</w:t>
      </w:r>
    </w:p>
    <w:p>
      <w:pPr>
        <w:spacing w:after="0" w:line="111" w:lineRule="exact"/>
        <w:rPr>
          <w:rFonts w:ascii="Arial" w:cs="Arial" w:eastAsia="Arial" w:hAnsi="Arial"/>
          <w:sz w:val="15"/>
          <w:szCs w:val="15"/>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market acceptance of tenapanor as a viable treatment option for the indications for which it is approved and commercialized;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17"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57" w:lineRule="exact"/>
        <w:rPr>
          <w:rFonts w:ascii="Arial" w:cs="Arial" w:eastAsia="Arial" w:hAnsi="Arial"/>
          <w:sz w:val="17"/>
          <w:szCs w:val="17"/>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Please see the risk factors set forth in Part II, Item 1A, Risk Factors, in this Quarterly Report on Form 10-Q for additional risks associated with our capital requirements.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b w:val="1"/>
                <w:bCs w:val="1"/>
                <w:color w:val="auto"/>
              </w:rPr>
              <w:t>CASH FLOW ACTIVITIES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24"/>
        </w:trPr>
        <w:tc>
          <w:tcPr>
            <w:tcW w:w="7620" w:type="dxa"/>
            <w:vAlign w:val="bottom"/>
          </w:tcPr>
          <w:p>
            <w:pPr>
              <w:ind w:left="320"/>
              <w:spacing w:after="0"/>
              <w:rPr>
                <w:sz w:val="20"/>
                <w:szCs w:val="20"/>
                <w:color w:val="auto"/>
              </w:rPr>
            </w:pPr>
            <w:r>
              <w:rPr>
                <w:rFonts w:ascii="Arial" w:cs="Arial" w:eastAsia="Arial" w:hAnsi="Arial"/>
                <w:sz w:val="18"/>
                <w:szCs w:val="18"/>
                <w:color w:val="auto"/>
              </w:rPr>
              <w:t>The following table summarizes our cash flows (in thousands):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45"/>
        </w:trPr>
        <w:tc>
          <w:tcPr>
            <w:tcW w:w="7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19"/>
        </w:trPr>
        <w:tc>
          <w:tcPr>
            <w:tcW w:w="7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2020</w:t>
            </w:r>
          </w:p>
        </w:tc>
      </w:tr>
      <w:tr>
        <w:trPr>
          <w:trHeight w:val="21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(63,845)</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Cash (used in) provided by investing activities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(27,872)</w:t>
            </w:r>
          </w:p>
        </w:tc>
      </w:tr>
      <w:tr>
        <w:trPr>
          <w:trHeight w:val="22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r>
      <w:tr>
        <w:trPr>
          <w:trHeight w:val="219"/>
        </w:trPr>
        <w:tc>
          <w:tcPr>
            <w:tcW w:w="7620" w:type="dxa"/>
            <w:vAlign w:val="bottom"/>
          </w:tcPr>
          <w:p>
            <w:pPr>
              <w:ind w:left="1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(90,124)</w:t>
            </w:r>
          </w:p>
        </w:tc>
      </w:tr>
      <w:tr>
        <w:trPr>
          <w:trHeight w:val="20"/>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Net cash used in operating activities during the nine months ended September 30, 2021 increased by $49.2 million as a result of our increased net loss for the period. The increased net loss was primarily driven by costs associated with building and staffing our commercial infrastructure and teams as we prepared for the U.S. launch of tenapanor for the control of serum phosphorus in adult patients with CKD on dialysis. The increased net loss was partially offset by a decrease in the amount of $6.3 million for accrued and other liabilities which was primarily for prepayments for raw materials and production of tenapanor.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Net cash (used in) provided by investing activities increased by $56.7 million as our investment maturities increased to fully offset the cost to purchase investments. During the nine months ended September 30, 2020, investment purchases exceeded maturities by approximately $27.8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provided by financing activities increased by $66.9 million due to net proceeds from issuance of our common stock pursuant to the 2020 Open Market Sales Agreement, or at-the-market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and 2020, respectively, we did not have any off-balance sheet arrangements as defined in Item 303(a)(4) of Regulation S-K as promulgated by the SEC.</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market risks, including interest rate fluctuation exposure through our investments,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9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September 30, 2021, we had cash, cash equivalents and investments of $141.7 million, which consist of bank deposits and money market funds, as well as high quality fixed income instruments including corporate bonds, commercial paper, and asset-backed securities collateralized by non-mortgage consumer receivables. The credit rating of our investments must be rated A-1/P-1,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9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subject to interest rate fluctuation exposure through our borrowings under the Loan Agreement and our investment in money market accounts which bear a variable interest rate. Borrowings under the Loan Agreement bear interest at a rate equal to one-month London Interbank Offered Rate (“LIBOR”), plus 7.45% per annum. A hypothetical increase in one-month LIBOR of 100 basis points above the current one-month LIBOR rates would have increased our interest expense by approximately $0.4 million for the nine months ended September 30, 2021. As of September 30, 2021, we had an aggregate principal amount of $50.0 million outstanding pursuant to our Loan Agreement.</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The majority of our transactions are denominated in U.S. dollars. However, we do have certain transactions that are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we had no open forward foreign currency exchange contracts.</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under the supervision and with the participation of our principal executive officer and principal accounting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financial officer, has evaluated the effectiveness of the design and operation of our disclosure controls and procedures (as such term is defined in Rules 13a-15(e) and 15d-15(e) under the Exchange Act) as of September 30, 2021.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September 30, 2021, our disclosure controls and procedures were effective at a reasonable assurance level.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2021,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on the design and operating effectiveness of our internal controls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July 30, 2021, a putative securities class action lawsuit was commenced in the U.S. District Court for the Northern District of California naming as defendants Ardelyx and two current officers. The complaint alleges that the defendants violated Sections 10(b) and 20(a) of the Securities Exchange Act of 1934, as amended, and Rule 10b-5 thereunder, by making false and misleading statements and omissions of material fact related to tenapanor. The plaintiff seeks to represent all persons who purchased or otherwise acquired Ardelyx securities between August 6, 2020, and July 19, 2021. The plaintiff seeks damages and interest, and an award of costs, including attorneys’ fees. We believe the plaintiff’s claims are without merit and we have not recorded any accrual for a contingent liability associated with these legal proceedings.</w:t>
      </w:r>
    </w:p>
    <w:p>
      <w:pPr>
        <w:spacing w:after="0" w:line="1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September 30, 2021, there is no litigation pending that would reasonably be expected to have a material adverse effect on our results of operations and financial condition, and no contingent liabilities were accrued as of September 30, 2021.</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Our business involves significant risks, some of which are described below. You should carefully consider these risks, as well as other information in this Quarterly Report on Form 10-Q, including our condensed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Many of the following risks and uncertainties are, and will be, exacerbated by the COVID-19 pandemic and any worsening of the global business and economic environment as a result. Additional risks and uncertainties not presently known to us or that we currently deem immaterial may also impair our business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Risks Related to Our Business</w:t>
      </w:r>
    </w:p>
    <w:p>
      <w:pPr>
        <w:spacing w:after="0" w:line="223" w:lineRule="exact"/>
        <w:rPr>
          <w:sz w:val="20"/>
          <w:szCs w:val="20"/>
          <w:color w:val="auto"/>
        </w:rPr>
      </w:pPr>
    </w:p>
    <w:p>
      <w:pPr>
        <w:jc w:val="both"/>
        <w:ind w:left="320" w:hanging="314"/>
        <w:spacing w:after="0" w:line="312" w:lineRule="auto"/>
        <w:tabs>
          <w:tab w:leader="none" w:pos="315"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substantially dependent on the success of, tenapanor, which may not receive regulatory approval for the control of serum phosphorus in adult patients with CKD on dialysis or for any other related indication (the “Hyperphosphatemia Indication”), and if approved, may not be successfully commercialized for such indication. On July 28, 2021, we received a complete response letter (“CRL”) from the FDA regarding our New Drug Application (“NDA”) for tenapanor for the Hyperphosphatemia Indication. According to the CRL, the FDA has determined that the magnitude of the treatment effect observed in our Phase 3 clinical trials was small and unclear of clinical significance. We held an End-of-Review Type A</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320"/>
        <w:spacing w:after="0" w:line="306" w:lineRule="auto"/>
        <w:rPr>
          <w:sz w:val="20"/>
          <w:szCs w:val="20"/>
          <w:color w:val="auto"/>
        </w:rPr>
      </w:pPr>
      <w:r>
        <w:rPr>
          <w:rFonts w:ascii="Arial" w:cs="Arial" w:eastAsia="Arial" w:hAnsi="Arial"/>
          <w:sz w:val="15"/>
          <w:szCs w:val="15"/>
          <w:color w:val="auto"/>
        </w:rPr>
        <w:t>meeting (“End of Review Meeting”) in October 2021, with the FDA’s Division of Cardiology and Nephrology (the “Division”). The End of Review Meeting did not provide a reasonable path forward for resubmission of our NDA. As a result, we currently expect to submit a Formal Dispute Resolution Request (“FDRR”) by the end of the fourth quarter 2021 in order raise our scientific disagreement above the Division level within FDA’s Center for Drug Evaluation and Research (“CDER”). There can be no assurances that the Formal Dispute Resolution (“FDR”) process will result in approval of our NDA, or in a clear path to resubmission of our NDA that is achievable in terms of clinical study design, time and cost. As a result, the regulatory approval process for our NDA is highly uncertain. We may not obtain approval at all, and if we are able to obtain approval, the expense and time to do so could adversely impact our ability to successfully commercialize tenapanor for the Hyperphosphatemia Indication, our business and our results of operations.</w:t>
      </w:r>
    </w:p>
    <w:p>
      <w:pPr>
        <w:spacing w:after="0" w:line="157" w:lineRule="exact"/>
        <w:rPr>
          <w:sz w:val="20"/>
          <w:szCs w:val="20"/>
          <w:color w:val="auto"/>
        </w:rPr>
      </w:pPr>
    </w:p>
    <w:p>
      <w:pPr>
        <w:jc w:val="both"/>
        <w:ind w:left="320" w:hanging="314"/>
        <w:spacing w:after="0" w:line="267"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Even if we are successful in obtaining regulatory approval for tenapanor for the Hyperphosphatemia Indication, and tenapanor is ultimately commercialized for such indication or for irritable bowel syndrome (“IBS-C”), tenapanor may never achieve market acceptance, sufficient third-party coverage or reimbursement, or commercial success, which will depend, in part, upon the degree of acceptance among physicians, patients, patient advocacy groups, health care payors and the medical community. Additionally, if the number of patients in the market for the indication for which tenapanor is commercialized or the price that the market can bear is not as significant as we estimate, or if we are not able to secure adequate coverage and reimbursement for tenapanor, we may not generate sufficient revenue from sales of tenapanor.</w:t>
      </w:r>
    </w:p>
    <w:p>
      <w:pPr>
        <w:spacing w:after="0" w:line="179"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losses since our inception and will incur losses in the future, which makes it difficult for us to assess our future viability.</w:t>
      </w:r>
    </w:p>
    <w:p>
      <w:pPr>
        <w:spacing w:after="0" w:line="180" w:lineRule="exact"/>
        <w:rPr>
          <w:rFonts w:ascii="Arial" w:cs="Arial" w:eastAsia="Arial" w:hAnsi="Arial"/>
          <w:sz w:val="18"/>
          <w:szCs w:val="18"/>
          <w:color w:val="auto"/>
        </w:rPr>
      </w:pPr>
    </w:p>
    <w:p>
      <w:pPr>
        <w:jc w:val="both"/>
        <w:ind w:left="320" w:hanging="314"/>
        <w:spacing w:after="0" w:line="250"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never generated any revenue from product sales and may never be profitable. Our ability to generate future revenue from product sales or pursuant to milestone payments is dependent upon many factors, including, but not limited to, obtaining regulatory approvals for tenapanor for the Hyperphosphatemia Indication, and establishing and maintaining supply and manufacturing relationships with third parties that can provide adequate supply of product to support the market demand for tenapanor; and obtaining market acceptance of tenapanor as a viable treatment option for the indications for which it is approved and commercialized.</w:t>
      </w:r>
    </w:p>
    <w:p>
      <w:pPr>
        <w:spacing w:after="0" w:line="193"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will require substantial additional financing to achieve our goals, and the inability to access this necessary capital when needed on acceptable terms, or at all, could force us to delay, limit, reduce or terminate our efforts to obtain approval for, or commercialize tenapanor.</w:t>
      </w:r>
    </w:p>
    <w:p>
      <w:pPr>
        <w:spacing w:after="0" w:line="157" w:lineRule="exact"/>
        <w:rPr>
          <w:rFonts w:ascii="Arial" w:cs="Arial" w:eastAsia="Arial" w:hAnsi="Arial"/>
          <w:sz w:val="17"/>
          <w:szCs w:val="17"/>
          <w:color w:val="auto"/>
        </w:rPr>
      </w:pPr>
    </w:p>
    <w:p>
      <w:pPr>
        <w:jc w:val="both"/>
        <w:ind w:left="320" w:hanging="314"/>
        <w:spacing w:after="0" w:line="264"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Third-party payor coverage and reimbursement status of newly-approved products are uncertain. Failure to obtain or maintain adequate coverage and reimbursement for tenapanor for any indication for which it is commercialized could limit our ability to market tenapanor for the approved indication and decrease our ability to generate revenue. For example, certain policies of the Biden administration with respect to drug pricing or reimbursement may impact our business and industry. While there is significant uncertainty related to the insurance coverage and reimbursement of newly approved products in general in the United States, there is additional uncertainty related to insurance coverage and reimbursement for drugs that are marketed to the CKD on dialysis population, as would be tenapanor, if approved, for the Hyperphosphatemia Indication. If we are successful in obtaining regulatory approval to market tenapanor for the Hyperphosphatemia Indication, our ability to generate and sustain future revenues from sales of tenapanor for such indication, may be dependent upon whether and when tenapanor, along with other oral end-stage renal disease (“ESRD”) related drugs without an injectable or intravenous equivalent, are bundled into the ESRD prospective payment system, and the manner in which such introduction into the ESRD prospective payment system may occur.</w:t>
      </w:r>
    </w:p>
    <w:p>
      <w:pPr>
        <w:spacing w:after="0" w:line="181" w:lineRule="exact"/>
        <w:rPr>
          <w:rFonts w:ascii="Arial" w:cs="Arial" w:eastAsia="Arial" w:hAnsi="Arial"/>
          <w:sz w:val="17"/>
          <w:szCs w:val="17"/>
          <w:color w:val="auto"/>
        </w:rPr>
      </w:pPr>
    </w:p>
    <w:p>
      <w:pPr>
        <w:jc w:val="both"/>
        <w:ind w:left="320" w:hanging="314"/>
        <w:spacing w:after="0" w:line="268"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Most of our sales and marketing team and certain other key employees hired in anticipation of the receipt of marketing approval by the FDA for tenapanor for the Hyperphosphatemia Indication have been notified that their positions will be eliminated by the end of 2021. Should we obtain marketing approval for tenapanor for the Hyperphosphatemia Indication, or determine to commercialize tenapanor for IBS-C, we may not be able to rehire or replace such personnel, and as a result we may not be able to commercialize tenapanor for the Hyperphosphatemia Indication, if approved, or for IBS-C if we determine to do so or any such commercialization may be delayed or adversely impacted.</w:t>
      </w:r>
    </w:p>
    <w:p>
      <w:pPr>
        <w:spacing w:after="0" w:line="180" w:lineRule="exact"/>
        <w:rPr>
          <w:rFonts w:ascii="Arial" w:cs="Arial" w:eastAsia="Arial" w:hAnsi="Arial"/>
          <w:sz w:val="17"/>
          <w:szCs w:val="17"/>
          <w:color w:val="auto"/>
        </w:rPr>
      </w:pPr>
    </w:p>
    <w:p>
      <w:pPr>
        <w:jc w:val="both"/>
        <w:ind w:left="320" w:hanging="314"/>
        <w:spacing w:after="0" w:line="252"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completely on third parties to manufacture tenapanor and our other product candidates. If they are unable to comply with applicable regulatory requirements, unable to source sufficient raw materials, experience manufacturing or distribution difficulties or are otherwise unable to manufacture sufficient quantities to meet demand, our commercialization efforts for any approved product, and our development efforts for tenapanor or RDX013 may be materially harmed.</w:t>
      </w:r>
    </w:p>
    <w:p>
      <w:pPr>
        <w:spacing w:after="0" w:line="19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successful in our efforts to develop RDX013 as a result of numerous factors, which may include the inability to access capital necessary to fund such efforts on acceptable terms.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320" w:hanging="314"/>
        <w:spacing w:after="0" w:line="263"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COVID-19 pandemic continues to rapidly evolve. The extent to which the pandemic may impact our business, manufacturing, preclinical development activities, preclinical studies, planned and ongoing clinical trials, as well as the regulatory process will depend on future developments, which are highly uncertain and cannot be predicted with confidence, such as, the duration of the pandemic, travel restrictions and actions to contain the pandemic or treat its impact, such as social distancing, quarantines or lock-downs in the United States and other countries, business closures or business disruptions and the effectiveness of actions taken in the United States and other countries to contain and treat the disease. Specifically, in order to address the deficiencies noted by the FDA in the CRL, we be required to conduct additional clinical trials, that may be delayed as a result of the restrictions placed on access to dialysis centers during the COVID-19 pandemic. Other potential impacts of the COVID-19 pandemic on our various clinical trials, including our ongoing Phase 2 clinical trial for RDX013,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87" w:lineRule="exact"/>
        <w:rPr>
          <w:rFonts w:ascii="Arial" w:cs="Arial" w:eastAsia="Arial" w:hAnsi="Arial"/>
          <w:sz w:val="17"/>
          <w:szCs w:val="17"/>
          <w:color w:val="auto"/>
        </w:rPr>
      </w:pPr>
    </w:p>
    <w:p>
      <w:pPr>
        <w:ind w:left="320" w:hanging="314"/>
        <w:spacing w:after="0" w:line="294"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7" w:lineRule="exact"/>
        <w:rPr>
          <w:rFonts w:ascii="Arial" w:cs="Arial" w:eastAsia="Arial" w:hAnsi="Arial"/>
          <w:sz w:val="17"/>
          <w:szCs w:val="17"/>
          <w:color w:val="auto"/>
        </w:rPr>
      </w:pPr>
    </w:p>
    <w:p>
      <w:pPr>
        <w:jc w:val="both"/>
        <w:ind w:left="320" w:hanging="314"/>
        <w:spacing w:after="0" w:line="267"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regulatory approval processes of the FDA and comparable foreign authorities are lengthy, time consuming and inherently unpredictable. If we are ultimately unable to obtain regulatory approval for our product candidates, including tenapanor for the control of serum phosphorus, or any related indication, our business will be substantially harmed. 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 In July 2021, we received a CRL from the FDA regarding our NDA for tenapanor for the Hyperphosphatemia Indication. Our end of Review Meeting did not provide a reasonable path forward for resubmission of our NDA. Accordingly, we currently expect to submit a FDRR to raise our scientific disagreement above the Division level within CDER. There can be no assurances that the FDR process will result in approval of our NDA or in a clear path to resubmission of our NDA that is achievable in terms of clinical study design, time and cost.</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continue to incur significant research, development and other expenses related to our ongoing operations. As of September 30, 2021, we had an accumulated deficit of $676.7 million.</w:t>
      </w:r>
    </w:p>
    <w:p>
      <w:pPr>
        <w:spacing w:after="0" w:line="215"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We expect to continue to incur substantial operating losses for the foreseeable future as we seek to gain approval for our NDA for tenapanor for the Hyperphosphatemia Indication; prepare for the potential commercialization of tenapanor for any approved indication; incur manufacturing and development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costs for tenapanor; and incur development costs for RDX013.</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limitations, pursuant to Internal Revenue Code Sections 382 and 383, as a result of ownership changes that have occurred previously and additional limitations may be applicable as a result of ownership changes that could occur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received FDA approval for our NDA for tenapanor for the treatment of IBS-C in adults in September 2019. However, to date, we have not commercialized tenapanor for IBS-C ourselves in the United States and have not entered into a collaboration partnership for such commercialization. We have no other products approved for sale and have received a CRL from the FDA for tenapanor relating to our NDA for the Hyperphosphatemia Indication. There can be no assurances that our NDA for tenapanor for the Hyperphosphatemia Indication will be approved for such indication or any other related indication. We have never generated any revenue from product sales. Our ability to generate revenue from product sales and achieve profitability depends on our ability to obtain such approval by the FDA; our ability to successfully commercialize tenapanor for an approved indication; and the ability of our collaboration partners to obtain regulatory approval to market tenapanor in their respective territories. There can be no assurances that we will generate product revenue from sales of tenapanor, either on our own, or with a collaboration partner. Our ability to generate future revenue from product sales or pursuant to milestone payments depends heavily on many factors, including but not limited to:</w:t>
      </w:r>
    </w:p>
    <w:p>
      <w:pPr>
        <w:spacing w:after="0" w:line="185" w:lineRule="exact"/>
        <w:rPr>
          <w:sz w:val="20"/>
          <w:szCs w:val="20"/>
          <w:color w:val="auto"/>
        </w:rPr>
      </w:pPr>
    </w:p>
    <w:p>
      <w:pPr>
        <w:jc w:val="both"/>
        <w:ind w:left="320" w:hanging="314"/>
        <w:spacing w:after="0" w:line="255"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are successful in our efforts under the FDR process to secure approval for our NDA for tenapanor for the Hyperphosphatemia Indication, or whether we are able during the FDR to reach resolution with the FDA regarding a path to addressing the deficiencies in our NDA noted in the CRL that is achievable in terms of clinical study design, time and cost;</w:t>
      </w:r>
    </w:p>
    <w:p>
      <w:pPr>
        <w:spacing w:after="0" w:line="188" w:lineRule="exact"/>
        <w:rPr>
          <w:rFonts w:ascii="Arial" w:cs="Arial" w:eastAsia="Arial" w:hAnsi="Arial"/>
          <w:sz w:val="18"/>
          <w:szCs w:val="18"/>
          <w:color w:val="auto"/>
        </w:rPr>
      </w:pPr>
    </w:p>
    <w:p>
      <w:pPr>
        <w:ind w:left="320" w:hanging="314"/>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successfully commercialize tenapanor for any approved indication, either on our own or with one or more collaboration partners;</w:t>
      </w:r>
    </w:p>
    <w:p>
      <w:pPr>
        <w:spacing w:after="0" w:line="228" w:lineRule="exact"/>
        <w:rPr>
          <w:rFonts w:ascii="Arial" w:cs="Arial" w:eastAsia="Arial" w:hAnsi="Arial"/>
          <w:sz w:val="17"/>
          <w:szCs w:val="17"/>
          <w:color w:val="auto"/>
        </w:rPr>
      </w:pPr>
    </w:p>
    <w:p>
      <w:pPr>
        <w:ind w:left="320" w:hanging="314"/>
        <w:spacing w:after="0" w:line="365" w:lineRule="auto"/>
        <w:tabs>
          <w:tab w:leader="none" w:pos="315" w:val="left"/>
        </w:tabs>
        <w:numPr>
          <w:ilvl w:val="0"/>
          <w:numId w:val="9"/>
        </w:numPr>
        <w:rPr>
          <w:rFonts w:ascii="Arial" w:cs="Arial" w:eastAsia="Arial" w:hAnsi="Arial"/>
          <w:sz w:val="15"/>
          <w:szCs w:val="15"/>
          <w:color w:val="auto"/>
        </w:rPr>
      </w:pPr>
      <w:r>
        <w:rPr>
          <w:rFonts w:ascii="Arial" w:cs="Arial" w:eastAsia="Arial" w:hAnsi="Arial"/>
          <w:sz w:val="15"/>
          <w:szCs w:val="15"/>
          <w:color w:val="auto"/>
        </w:rPr>
        <w:t>establishing and maintaining supply and manufacturing relationships with third parties that can provide an adequate (in amount and quality) supply of product to support the market demand for tenapanor for the treatment of IBS-C, and/or, if approved, tenapanor for the Hyperphosphatemia Indication;</w:t>
      </w:r>
    </w:p>
    <w:p>
      <w:pPr>
        <w:spacing w:after="0" w:line="111" w:lineRule="exact"/>
        <w:rPr>
          <w:rFonts w:ascii="Arial" w:cs="Arial" w:eastAsia="Arial" w:hAnsi="Arial"/>
          <w:sz w:val="15"/>
          <w:szCs w:val="15"/>
          <w:color w:val="auto"/>
        </w:rPr>
      </w:pPr>
    </w:p>
    <w:p>
      <w:pPr>
        <w:ind w:left="320" w:hanging="314"/>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market acceptance of tenapanor as a viable treatment option for the indications for which it is approved and commercialized;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17"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57" w:lineRule="exact"/>
        <w:rPr>
          <w:rFonts w:ascii="Arial" w:cs="Arial" w:eastAsia="Arial" w:hAnsi="Arial"/>
          <w:sz w:val="17"/>
          <w:szCs w:val="17"/>
          <w:color w:val="auto"/>
        </w:rPr>
      </w:pPr>
    </w:p>
    <w:p>
      <w:pPr>
        <w:ind w:left="320" w:hanging="314"/>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4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cases where we are successful in obtaining regulatory approvals to market tenapanor for one or more indications, our revenue will be dependent, in part, upon the size of the markets in the territories for which regulatory approval is granted, the breadth of the indication and the label for which approval is granted,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4, Collaboration and Licensing Agreements, in the notes to our financial statements, included in Part I, Item 1, for details on our obligations to AstraZeneca. While there is significant uncertainty related to the insurance coverage and reimbursement of newly approved products in general in the United States, there is additional uncertainty related to insurance coverage and reimbursement for drugs, like tenapanor for the Hyperphosphatemia Indication, which, if approved, will be marketed for the control of serum phosphorus in adult patients with CKD on dialysis or for another other related indication. If we are successful in obtaining regulatory approval to market tenapanor for such indication, our ability to generate and sustain future revenues from sales of tenapanor for such indication, may be dependent upon whether and when tenapanor, along with other oral ESRD related drugs without an injectable or intravenous equivalent, are bundled into the ESRD prospective payment system, and the manner in which such introduction into the ESRD prospective payment system may occur. See “Third-party payor coverage and reimbursement status of newly-approved products is uncertain. Failure to obtain or maintain adequate coverage and reimbursement for our products, if approved, could limit our ability to market those products and decrease our ability to generate revenue” below. Additionally, if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number of patients for the approved indication suitable for tenapanor is not as significant as we estimate, the indication approved by regulatory authorities is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22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including our goal of pursuing a formal dispute resolution process in response to the CRL received from the FDA relating to our NDA for tenapanor for the Hyperphosphatemia Indication and the inability to access necessary capital when needed on acceptable terms, or at all, could force us to delay, limit, reduce or terminate our efforts to seek and obtain approval for tenapanor for the Hyperphosphatemia Indication, our efforts to commercialize tenapanor any approved indications, and our development activities for RDX013.</w:t>
      </w:r>
    </w:p>
    <w:p>
      <w:pPr>
        <w:spacing w:after="0" w:line="17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including developing tenapanor and developing our proprietary drug discovery and design platform. Following the receipt of the CRL, we have implemented two restructuring plans in order to reduce operating costs and to better align our workforce with the needs of our business. As a result of the second restructuring plan, initiated in October 2021, we will be eliminating all of our research capabilities, along with many positions throughout the Company before the end of 2021. Notwithstanding the restructurings, we believe that we will continue to expend substantial resources for the foreseeable future, including, costs associated with our efforts to pursue approval for our NDA for the Hyperphosphatemia Indication through the FDR process; the commercialization of tenapanor for any approved indication; conducting pediatric clinical trials for tenapanor, if required; development of RDX013; and manufacturing for tenapanor and RDX013. Our future funding requirements will depend on many factors, including, but not limited to:</w:t>
      </w:r>
    </w:p>
    <w:p>
      <w:pPr>
        <w:spacing w:after="0" w:line="181" w:lineRule="exact"/>
        <w:rPr>
          <w:sz w:val="20"/>
          <w:szCs w:val="20"/>
          <w:color w:val="auto"/>
        </w:rPr>
      </w:pPr>
    </w:p>
    <w:p>
      <w:pPr>
        <w:jc w:val="both"/>
        <w:ind w:left="320" w:hanging="314"/>
        <w:spacing w:after="0" w:line="365" w:lineRule="auto"/>
        <w:tabs>
          <w:tab w:leader="none" w:pos="315" w:val="left"/>
        </w:tabs>
        <w:numPr>
          <w:ilvl w:val="0"/>
          <w:numId w:val="10"/>
        </w:numPr>
        <w:rPr>
          <w:rFonts w:ascii="Arial" w:cs="Arial" w:eastAsia="Arial" w:hAnsi="Arial"/>
          <w:sz w:val="15"/>
          <w:szCs w:val="15"/>
          <w:color w:val="auto"/>
        </w:rPr>
      </w:pPr>
      <w:r>
        <w:rPr>
          <w:rFonts w:ascii="Arial" w:cs="Arial" w:eastAsia="Arial" w:hAnsi="Arial"/>
          <w:sz w:val="15"/>
          <w:szCs w:val="15"/>
          <w:color w:val="auto"/>
        </w:rPr>
        <w:t>whether we are successful in our efforts under the FDR process to secure approval for our NDA for tenapanor for the Hyperphosphatemia Indication, or to reach resolution with the FDA regarding a path to address the deficiencies in the NDA noted in the CRL, and the time and cost associated with such path;</w:t>
      </w:r>
    </w:p>
    <w:p>
      <w:pPr>
        <w:spacing w:after="0" w:line="111" w:lineRule="exact"/>
        <w:rPr>
          <w:rFonts w:ascii="Arial" w:cs="Arial" w:eastAsia="Arial" w:hAnsi="Arial"/>
          <w:sz w:val="15"/>
          <w:szCs w:val="15"/>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commercialize tenapanor for any approved indication, either alone or with one or more collaboration partners;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reimbursement for tenapanor, if commercialized;</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selling and marketing costs associated with tenapanor, including the cost and timing of maintaining or rebuilding our sales and marketing capabilities;</w:t>
      </w:r>
    </w:p>
    <w:p>
      <w:pPr>
        <w:spacing w:after="0" w:line="251" w:lineRule="exact"/>
        <w:rPr>
          <w:rFonts w:ascii="Arial" w:cs="Arial" w:eastAsia="Arial" w:hAnsi="Arial"/>
          <w:sz w:val="15"/>
          <w:szCs w:val="15"/>
          <w:color w:val="auto"/>
        </w:rPr>
      </w:pPr>
    </w:p>
    <w:p>
      <w:pPr>
        <w:ind w:left="320" w:hanging="314"/>
        <w:spacing w:after="0" w:line="26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tenapanor, if any;</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clinical trials we are required to or decide to pursue for tenapanor or RDX013;</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17"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line="264"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of interest and principal related to our loan and security agreement entered into with Solar Capital and Western Alliance Bank in May 2018, as amended in October 2020, March 2021, May 2021 and July 2021.</w:t>
      </w:r>
    </w:p>
    <w:p>
      <w:pPr>
        <w:spacing w:after="0" w:line="20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reduce or terminate our clinical trials for tenapanor or RDX013, our maintenance and/or re-establishment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206"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3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May 16, 2018, we entered into a loan and security agreement with Solar Capital, Ltd. and Western Alliance Bank (collectively, the “Lenders”) pursuant to which the Lenders agreed to provide us a $50.0 million term loan facility with a maturity date of November 1, 2022. In each of October 2020, March 2021, May 2021 and July 2021, we entered into an amendment to the loan and security agreement.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8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were permitted to make interest only payments on the loan facility through October 31, 2021, with principal repayments commencing on November 1, 2021, and the first such repayment required us to include all payments that would have been due if monthly principal repayment had begun on June 1, 2021.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the Lenders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clinical trials for tenapanor or RDX013, our maintenance and/or re-establishment of sales and marketing capabilities or other activities that may be necessary to commercialize tenapanor, either alone or with collaboration partners.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Related to Our Business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are substantially dependent on the success of tenapanor. In July 2021, we received a CRL from the FDA related to our NDA for tenapanor for the control of serum phosphorus in adult patients with CKD on dialysis. We may not receive regulatory approval for tenapanor for such indication, and if approved, we may not be able to successfully commercialize tenapanor for hyperphosphatemia. Although we received marketing approval from the FDA for tenapanor for IBS-C in September 2019, we have not yet commercialized tenapanor for such indication, and should we elect to do so, we may not be successful in such commercialization.</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To date, we have invested a significant amount of our efforts and financial resources in the research and development of tenapanor for the Hyperphosphatemia Indication and the IBS-C indication. The commercial success of tenapanor will depend on a number of factors, including whether tenapanor’s safety and efficacy profile is satisfactory to the FDA and foreign regulatory authorities to gain marketing approval for the Hyperphosphatemia Indication. On July 28, 2021, we received a CRL from the FDA regarding our NDA for tenapanor for the Hyperphosphatemia Indication. According to the CRL, the FDA has determined that the magnitude of the treatment effect observed in our Phase 3 clinical trials was small and unclear of clinical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significance. Additionally, in the CRL, the FDA noted that in order for the NDA to be approved, we will need to conduct an additional adequate and well-controlled trial demonstrating a clinically relevant treatment effect on serum phosphorus or an effect on the clinical outcome thought to be caused by hyperphosphatemia in adult patients with CKD dialysis. In October we held an End of Review Meeting with the Division. The End of Review Meeting did not provide a reasonable path for resubmission of our NDA. Accordingly, we currently expect to submit a FDRR in the fourth quarter 2021. There can be no assurances that the FDR process will result in approval of our NDA or a clear path to resolution of the deficiencies in the NDA noted in the CRL that is achievable in terms of clinical study design, time and cost. As a result, the regulatory approval process for our NDA for the Hyperphosphatemia Indication is highly uncertain. We may not obtain approval at all, and if we are able to obtain approval, the expense and time to do so could adversely impact our ability to successfully commercialize tenapanor for the Hyperphosphatemia Indication, our business and our results of operations. If we are successful in obtaining approval for tenapanor for the Hyperphosphatemia Indication, and tenapanor is commercialized for such indication or for IBS-C, the commercial success of tenapanor will depend on a number of additional factors, including the following:</w:t>
      </w:r>
    </w:p>
    <w:p>
      <w:pPr>
        <w:spacing w:after="0" w:line="182" w:lineRule="exact"/>
        <w:rPr>
          <w:sz w:val="20"/>
          <w:szCs w:val="20"/>
          <w:color w:val="auto"/>
        </w:rPr>
      </w:pPr>
    </w:p>
    <w:p>
      <w:pPr>
        <w:jc w:val="both"/>
        <w:ind w:left="320" w:hanging="314"/>
        <w:spacing w:after="0" w:line="255"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tenapanor for the treatment of IBS-C, and/or if approved, tenapanor for the Hyperphosphatemia Indication, particularly in light of the effects of the COVID-19 pandemic;</w:t>
      </w:r>
    </w:p>
    <w:p>
      <w:pPr>
        <w:spacing w:after="0" w:line="188"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whether or not the content and breadth of the label approved by the FDA or foreign regulatory authorities may materially and adversely impact our ability or the ability of our collaboration partners to commercialize the product for the approved indication, or for any other indication;</w:t>
      </w:r>
    </w:p>
    <w:p>
      <w:pPr>
        <w:spacing w:after="0" w:line="157"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of any clinical trials we are required to conduct to address the deficiencies noted the CRL for the Hyperphosphatemia Indication, and the timing required to conduct such clinical trials;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tenapanor;</w:t>
      </w:r>
    </w:p>
    <w:p>
      <w:pPr>
        <w:spacing w:after="0" w:line="217"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57" w:lineRule="exact"/>
        <w:rPr>
          <w:rFonts w:ascii="Arial" w:cs="Arial" w:eastAsia="Arial" w:hAnsi="Arial"/>
          <w:sz w:val="17"/>
          <w:szCs w:val="17"/>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achieving and maintaining compliance with all regulatory requirements applicable to tenapanor;</w:t>
      </w:r>
    </w:p>
    <w:p>
      <w:pPr>
        <w:spacing w:after="0" w:line="217"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tenapanor as safe, effective and well-tolerated by patients and the medical community, and, with respect to tenapanor for the Hyperphosphatemia Indication, the extent to which the issuance of a CRL by the FDA has impacted the potential acceptance of tenapanor as safe, effective and well-tolerated;</w:t>
      </w:r>
    </w:p>
    <w:p>
      <w:pPr>
        <w:spacing w:after="0" w:line="188" w:lineRule="exact"/>
        <w:rPr>
          <w:rFonts w:ascii="Arial" w:cs="Arial" w:eastAsia="Arial" w:hAnsi="Arial"/>
          <w:sz w:val="18"/>
          <w:szCs w:val="18"/>
          <w:color w:val="auto"/>
        </w:rPr>
      </w:pPr>
    </w:p>
    <w:p>
      <w:pPr>
        <w:ind w:left="320" w:hanging="314"/>
        <w:spacing w:after="0" w:line="365" w:lineRule="auto"/>
        <w:tabs>
          <w:tab w:leader="none" w:pos="315"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alone or with collaboration partners, to manage the complex pricing and reimbursement negotiations associated with marketing the same product at different doses for separate indications for tenapanor for the treatment of IBS-C, and, if approved, for the Hyperphosphatemia Indication;</w:t>
      </w:r>
    </w:p>
    <w:p>
      <w:pPr>
        <w:spacing w:after="0" w:line="111" w:lineRule="exact"/>
        <w:rPr>
          <w:rFonts w:ascii="Arial" w:cs="Arial" w:eastAsia="Arial" w:hAnsi="Arial"/>
          <w:sz w:val="15"/>
          <w:szCs w:val="15"/>
          <w:color w:val="auto"/>
        </w:rPr>
      </w:pPr>
    </w:p>
    <w:p>
      <w:pPr>
        <w:ind w:left="320" w:hanging="314"/>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availability, perceived advantages, relative cost, relative safety and relative efficacy of tenapanor compared to alternative and competing treatments;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tenapanor by third-party payors;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enforcing intellectual property rights in and to tenapanor;</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tenapanor following approval.</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tenapanor is a first-in-class drug, there is a higher likelihood that approval may not be attained as compared to a class of drugs with approved products. Although tenapanor met the primary endpoints in all of the three Phase 3 clinical trials evaluating tenapanor for the control of serum phosphorus in adult patients with CKD on dialysis, we received a CRL from the FDA in July 2021 indicating that the magnitude of the treatment effect observed in our Phase 3 clinical trials was small and unclear of clinical significance. We intend to submit a FDRR in the fourth quarter 2021. However, there can be no assurances that we will receive regulatory approval to market tenapanor for the Hyperphosphatemia Indication. Further, even if approved, it may not be possible to market tenapanor on the basis of certain of the benefits we believe tenapanor possesses. If the number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of patients in the market for tenapanor based on the approved indication or the price that the market can bear is not as significant as we estimate, or if we are not able to secure adequate coverage and reimbursement for tenapanor, we may not generate sufficient revenue from sales of tenapanor for the Hyperphosphatemia Indication, if approved, or for IBS-C, if commercialized. There can be no assurance that tenapanor will ever be successfully commercialized or that we will ever generate income from sales of tenapanor. If we are not successful in obtaining approval for tenapanor for the Hyperphosphatemia Indication, or we are not successful in commercializing tenapanor for any approved indication, or are significantly delayed in doing so, our business will be materially harmed.</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Even if we determine to commercialize tenapanor for IBS-C, or are successful in obtaining regulatory approval for tenapanor for the Hyperphosphatemia Indication,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Market acceptance of tenapanor for IBS-C and, in the event that marketing approval is obtained, for the Hyperphosphatemia Indication, depends on a number of factors, including:</w:t>
      </w:r>
    </w:p>
    <w:p>
      <w:pPr>
        <w:spacing w:after="0" w:line="181"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breadth and content of the approved label, and the clinical indications for which it is approved;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demonstrated in our clinical trials;</w:t>
      </w:r>
    </w:p>
    <w:p>
      <w:pPr>
        <w:spacing w:after="0" w:line="217" w:lineRule="exact"/>
        <w:rPr>
          <w:rFonts w:ascii="Arial" w:cs="Arial" w:eastAsia="Arial" w:hAnsi="Arial"/>
          <w:sz w:val="18"/>
          <w:szCs w:val="18"/>
          <w:color w:val="auto"/>
        </w:rPr>
      </w:pPr>
    </w:p>
    <w:p>
      <w:pPr>
        <w:ind w:left="320" w:right="20" w:hanging="314"/>
        <w:spacing w:after="0" w:line="294" w:lineRule="auto"/>
        <w:tabs>
          <w:tab w:leader="none" w:pos="3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 respect to tenapanor for the Hyperphosphatemia Indication, whether tenapanor, along with other oral only medications, are included in the bundled prospective payment system for the treatment of ESRD patients, and the time and manner in which such transition is achieved;</w:t>
      </w:r>
    </w:p>
    <w:p>
      <w:pPr>
        <w:spacing w:after="0" w:line="157" w:lineRule="exact"/>
        <w:rPr>
          <w:rFonts w:ascii="Arial" w:cs="Arial" w:eastAsia="Arial" w:hAnsi="Arial"/>
          <w:sz w:val="17"/>
          <w:szCs w:val="17"/>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80"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 and, with respect to tenapanor for the Hyperphosphatemia Indication, the extent to which the issuance of a CRL by the FDA has impacted the potential acceptance of tenapanor as safe, effective and well-tolerated;</w:t>
      </w:r>
    </w:p>
    <w:p>
      <w:pPr>
        <w:spacing w:after="0" w:line="188"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potential and perceived advantages of tenapanor over current treatment options or alternative treatments, including future alternative treatments;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cost of treatment in relation to alternative treatments and the willingness to pay for tenapanor, if approved, on the part of physicians and patients;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failure of tenapanor to achieve market acceptance, sufficient third-party coverage or reimbursement, or commercial success for any approved indications would adversely affect our results of operations.</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b w:val="1"/>
          <w:bCs w:val="1"/>
          <w:i w:val="1"/>
          <w:iCs w:val="1"/>
          <w:color w:val="auto"/>
        </w:rPr>
        <w:t>Most of our sales and marketing team and certain other key employees hired in anticipation of the receipt of marketing approval by the FDA for tenapanor for the Hyperphosphatemia Indication have been notified that their positions will be eliminated by the end of 2021. Should we obtain marketing approval for tenapanor for Hyperphosphatemia, or determine to commercialize tenapanor for IBS-C, we may not be able to rehire or replace such personnel, and as a result we may not be able to commercialize tenapanor for the Hyperphosphatemia Indication, if approved, or for IBS-C if we determine to do so or any such commercialization may be delayed or otherwise adversely impacted.</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approved, we currently plan to commercialize tenapanor for the Hyperphosphatemia Indication, on our own. Many members of our sales and marketing leadership teams, our sales employees with technical expertise and certain other key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employees necessary to successful commercialize tenapanor for any indication have had their positions eliminated by our restructuring plans adopted in</w:t>
      </w:r>
    </w:p>
    <w:p>
      <w:pPr>
        <w:spacing w:after="0" w:line="79"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August and October 2021. Even if we are successful in obtaining regulatory approval to market tenapanor for the Hyperphosphatemia Indication, or if we determine to commercialize tenapanor for IBS-C, there can be no assurances that we will be able to rehire or replace such personnel.</w:t>
      </w:r>
    </w:p>
    <w:p>
      <w:pPr>
        <w:spacing w:after="0" w:line="1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we fail to rehire or replace our internal sales, marketing and distribution capabilities, or other key employees necessary to successfully commercialize tenapanor, we may need to delay the commercialization of tenapanor for the Hyperphosphatemia Indication, if approved, or the commercialization of tenapanor for IBS-C if sought, or either such commercialization could be adversely impacted.</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i w:val="1"/>
          <w:iCs w:val="1"/>
          <w:color w:val="auto"/>
        </w:rPr>
        <w:t>Third-party payor coverage and reimbursement status of newly-approved products are uncertain. Failure to obtain or maintain adequate coverage and reimbursement for our products, if approved, could limit our ability to market those products and decrease our ability to generate revenue.</w:t>
      </w:r>
    </w:p>
    <w:p>
      <w:pPr>
        <w:spacing w:after="0" w:line="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tenapanor for the Hyperphosphatemia Indication, assuming approval, or tenapanor for IBS-C. In the event that tenapanor is commercialized, sales will depend substantially, both domestically and abroad, on the extent to which the costs of tenapanor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There is increased uncertainty related to insurance coverage and reimbursement for drugs, like tenapanor for the Hyperphosphatemia Indication, which, if approved, will be marketed for the control of serum phosphorus in adult patients with CKD on dialysis or for another other related indication.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tenapanor and our business should</w:t>
      </w:r>
    </w:p>
    <w:p>
      <w:pPr>
        <w:spacing w:after="0" w:line="2"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tenapanor be brought into the bundle in 2025, or at any time, we may be unable to sell tenapanor for the Hyperphosphatemia Indication, if approved, to dialysis providers on a profitable basis if third-party payors reduce their current levels of payment, or if our costs of production are higher than levels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necessary for an appropriate gross margin after payment of all discounts, rebates and chargebacks.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rely completely on third parties to manufacture tenapanor and RDX013. If they are unable to comply with applicable regulatory requirements, unable to source sufficient raw materials, experience manufacturing or distribution difficulties or are otherwise unable to manufacture sufficient quantities to meet demand, our commercialization of tenapanor for any approved indication and our development efforts for tenapanor and RDX013 may be materially harmed.</w:t>
      </w:r>
    </w:p>
    <w:p>
      <w:pPr>
        <w:spacing w:after="0" w:line="217"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current Good Manufacturing Practice requirements (“cGMPs”), for manufacture of both active drug substances and finished drug products.</w:t>
      </w:r>
    </w:p>
    <w:p>
      <w:pPr>
        <w:spacing w:after="0" w:line="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contract manufacturers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If our contract manufacturers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commercialized for any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tenapanor for the control of serum phosphorus or for another other related indication, if approved, may be materially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 and Industry</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8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including RDX013,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ongoing RDX013 Phase 2 clinical trial may be impacted by the COVID-19 pandemic in a number of ways, including delays or difficulties in any planned clinical site initiation, difficulties in obtaining IRB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Furthermore, we could encounter delays if our ongoing RDX013 Phase 2 clinical trial is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9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addition, identifying and qualifying patients to participate in our RDX013 Phase 2 clinical trial is critical to the success of the clinical trial. The timing of our clinical trials depends,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our RDX013 Phase 2 clinical trial may be delayed. These delays could result in increased costs, delays in advancing our development of oRDX013, or termination of the clinical studies altogether. Any of these occurrences may significantly harm our business, financial condition and prospects.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additional products or commercialize our product candidates.</w:t>
      </w:r>
    </w:p>
    <w:p>
      <w:pPr>
        <w:spacing w:after="0" w:line="18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to market such product candidate could be compromised.</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Undesirable side effects caused by our products or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experienced drug-related side effects including diarrhea, nausea, vomiting, flatulence, abdominal discomfort, abdominal pain, abdominal distention and changes in electrolytes. Despite our receipt of marketing approval for tenapanor for IBS-C in adults and the completion of our Phase 3 clinical program for tenapanor for the Hyperphosphatemia Indication, in the event that future trials conducted by us with tenapanor, or trials we conduct with RDX013 or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RDX013,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if we or others identify undesirable side effects caused by one of our products for which we have received regulatory approval, a number of potentially significant negative consequences could occur, including:</w:t>
      </w:r>
    </w:p>
    <w:p>
      <w:pPr>
        <w:spacing w:after="0" w:line="181"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a collaboration partner may be required to recall the product;</w:t>
      </w:r>
    </w:p>
    <w:p>
      <w:pPr>
        <w:spacing w:after="0" w:line="217" w:lineRule="exact"/>
        <w:rPr>
          <w:rFonts w:ascii="Arial" w:cs="Arial" w:eastAsia="Arial" w:hAnsi="Arial"/>
          <w:sz w:val="18"/>
          <w:szCs w:val="18"/>
          <w:color w:val="auto"/>
        </w:rPr>
      </w:pPr>
    </w:p>
    <w:p>
      <w:pPr>
        <w:jc w:val="both"/>
        <w:ind w:left="320" w:hanging="314"/>
        <w:spacing w:after="0" w:line="318" w:lineRule="auto"/>
        <w:tabs>
          <w:tab w:leader="none" w:pos="315"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45" w:lineRule="exact"/>
        <w:rPr>
          <w:rFonts w:ascii="Arial" w:cs="Arial" w:eastAsia="Arial" w:hAnsi="Arial"/>
          <w:sz w:val="15"/>
          <w:szCs w:val="15"/>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a collaboration partner may be subject to fines, injunctions or the imposition of civil or criminal penalties;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and our competitors may discover, develop or commercialize products faster or more successfully than us.</w:t>
      </w:r>
    </w:p>
    <w:p>
      <w:pPr>
        <w:spacing w:after="0" w:line="25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example, tenapanor, if approved for the control of serum phosphorus in adult patients with CKD on dialysis or for another related indication, will compete with phosphate binders used for the same or similar indication`. If approved, our label for tenapanor for the control of serum phosphorus may include data comparing the effectiveness of tenapanor to phosphate binders used for the same indication. The various types of phosphate binders commercialized in the United States include the following:</w:t>
      </w:r>
    </w:p>
    <w:p>
      <w:pPr>
        <w:spacing w:after="0" w:line="191"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Calcium carbonate (many over-the-counter brands including Tums and Caltrate);</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Calcium acetate (several prescription brands including PhosLo and Phoslyra);</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Lanthanum carbonate (Fosrenol);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Sevelamer hydrochloride (Renagel);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Sevelamer carbonate (Renvela);</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Sucroferric oxyhydroxide (Velphoro);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Ferric citrate (Auryxia).</w:t>
      </w:r>
    </w:p>
    <w:p>
      <w:pPr>
        <w:spacing w:after="0" w:line="2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All of the phosphate binders listed above are available as generics in the U.S., with the exception of Velphoro and Auryxia. In addition to the currently available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9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It is possible that our competitors' drugs may be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2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Following the receipt of the CRL, we have implemented two restructuring plans in order to reduce operating costs and to better align our workforce with the needs of our business. As a result of the second restructuring plan, initiated in October 2021, before the end of 2021, we will be eliminating all of our research capabilities, along with many positions throughout the Company, many of which would be necessary to support the commercialization of a product Our need to effectively execute our business strategy requires that we:</w:t>
      </w:r>
    </w:p>
    <w:p>
      <w:pPr>
        <w:spacing w:after="0" w:line="191"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any commercialization activities in which we may engage effectively;</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collaborators, government agencies and other third parties;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2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9"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or co-promote our product candidates.</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retain and motivate our executives, senior management and key personnel, our business will suffer.</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8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40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European Economic Area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spacing w:after="0" w:line="18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7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8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and/or of our efforts to commercialize tenapanor for the control of serum phosphorus in adult patients with CKD on dialysis or for another other related indication, if approved. For example, the loss of clinical trial data from completed or ongoing or planned clinical trials could result in delays in our regulatory approval efforts and significantly increase our costs to recover or reproduce the data. In addition, such a breach may require notification to governmental agencies, the media or individuals pursuant to various federal and state privacy and security laws, if applicable, including HIPAA.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37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We have previously identified a material weakness in our internal control over financial reporting.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3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1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KKC for commercialization of tenapanor for hyperphosphatemia in Japan; with Fosun Pharma for commercialization of tenapanor for hyperphosphatemia and IBS-C in China and related territories; and in Canada with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 We have received a CRL from the FDA regarding our NDA for the Hyperphosphatemia Indication. While we intend to submit a FDRR, there can be no assurances that we will be successful in obtaining approval for tenapanor for the Hyperphosphatemia Indication. Even if we are successful in obtaining approval for the NDA, the delay in obtaining such approval will likely result in delay in the regulatory process for our partners, which could have a material adverse effect on our business and results of operations.</w:t>
      </w:r>
    </w:p>
    <w:p>
      <w:pPr>
        <w:spacing w:after="0" w:line="3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ongoing COVID-19 pandemic, or any other outbreak of epidemic diseases, or the perception of their effects, could have a material adverse effect on our business, financial condition, results of operations or cash flows.</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Outbreaks of epidemic, pandemic, or contagious diseases, such as the current novel coronavirus (“COVID-19”) pandemic or, historically, the Ebola virus, Middle East Respiratory Syndrome, Severe Acute Respiratory Syndrome or the H1N1 virus, could disrupt our business. Business disruptions could include disruptions or restrictions on our ability to conduct our clinical trials, as planned, travel, as well as temporary closures of the facilities of our collaboration partners, suppliers or contract manufacturers. Any disruption of our clinical trial operations, collaboration partners, suppliers or contract manufacturers could adversely impact our operating results.</w:t>
      </w:r>
    </w:p>
    <w:p>
      <w:pPr>
        <w:spacing w:after="0" w:line="19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Economic and health conditions related to the COVID-19 pandemic in the United States and across most of the globe remain uncertain and continue to evolve. While at this point, the extent to which the coronavirus outbreak may impact our results is uncertain, it could result in delays in the manufacture of tenapanor, or in the delivery of key intermediates or raw materials required to manufacture tenapanor or delays in clinical development activities by us, or our collaboration partners. It could also materially and negatively impact our ability, either alone, or with a collaboration partner, to successfully commercialize tenapanor, if approved for marketing and sale by the FDA or foreign regulatory authorities, including our ability to educate physicians and patients about the benefits, administration and use of tenapanor.</w:t>
      </w:r>
    </w:p>
    <w:p>
      <w:pPr>
        <w:spacing w:after="0" w:line="196" w:lineRule="exact"/>
        <w:rPr>
          <w:sz w:val="20"/>
          <w:szCs w:val="20"/>
          <w:color w:val="auto"/>
        </w:rPr>
      </w:pPr>
    </w:p>
    <w:p>
      <w:pPr>
        <w:ind w:left="320" w:hanging="314"/>
        <w:spacing w:after="0" w:line="264"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the COVID-19 pandemic, we may also experience disruptions that could severely impact our business, preclinical studies and clinical trials, including:</w:t>
      </w:r>
    </w:p>
    <w:p>
      <w:pPr>
        <w:spacing w:after="0" w:line="180" w:lineRule="exact"/>
        <w:rPr>
          <w:rFonts w:ascii="Arial" w:cs="Arial" w:eastAsia="Arial" w:hAnsi="Arial"/>
          <w:sz w:val="18"/>
          <w:szCs w:val="18"/>
          <w:color w:val="auto"/>
        </w:rPr>
      </w:pPr>
    </w:p>
    <w:p>
      <w:pPr>
        <w:jc w:val="both"/>
        <w:ind w:left="320" w:hanging="314"/>
        <w:spacing w:after="0" w:line="250"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an ongoing Phase 2 clinical trial for RDX013, which may be delayed as a result the COVID-19 outbreak. Other potential impacts of the COVID-19 pandemic on our clinical trials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93" w:lineRule="exact"/>
        <w:rPr>
          <w:rFonts w:ascii="Arial" w:cs="Arial" w:eastAsia="Arial" w:hAnsi="Arial"/>
          <w:sz w:val="18"/>
          <w:szCs w:val="18"/>
          <w:color w:val="auto"/>
        </w:rPr>
      </w:pPr>
    </w:p>
    <w:p>
      <w:pPr>
        <w:jc w:val="both"/>
        <w:ind w:left="320" w:hanging="314"/>
        <w:spacing w:after="0" w:line="312" w:lineRule="auto"/>
        <w:tabs>
          <w:tab w:leader="none" w:pos="315"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have limited the use of our offices to essential employees and requested that most of our personnel, including all of our administrative employees, work remotely. We have restricted on-site staff to only those personnel and contractors who must perform essential activities that must be completed on-site and limited the number of staff in our research laboratories. The COVID-19 pandemic could disrupt our ability to secure supplies for our facilities and to provide personal protective equipment for our employees. The safety, health and well-being of our workforce is of primary concern and we may need to enact further precautionary measures to help minimize the risk of our employees being exposed to the novel coronavirus.</w:t>
      </w:r>
    </w:p>
    <w:p>
      <w:pPr>
        <w:spacing w:after="0" w:line="150" w:lineRule="exact"/>
        <w:rPr>
          <w:rFonts w:ascii="Arial" w:cs="Arial" w:eastAsia="Arial" w:hAnsi="Arial"/>
          <w:sz w:val="15"/>
          <w:szCs w:val="15"/>
          <w:color w:val="auto"/>
        </w:rPr>
      </w:pPr>
    </w:p>
    <w:p>
      <w:pPr>
        <w:jc w:val="both"/>
        <w:ind w:left="320" w:hanging="314"/>
        <w:spacing w:after="0" w:line="255"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increased reliance on personnel working from home may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color w:val="auto"/>
        </w:rPr>
        <w:t>operations or delay necessary interactions with local and federal regulators, ethics committees, manufacturing sites, research or clinical trial sites and important agencies and contractors.</w:t>
      </w:r>
    </w:p>
    <w:p>
      <w:pPr>
        <w:spacing w:after="0" w:line="181" w:lineRule="exact"/>
        <w:rPr>
          <w:sz w:val="20"/>
          <w:szCs w:val="20"/>
          <w:color w:val="auto"/>
        </w:rPr>
      </w:pPr>
    </w:p>
    <w:p>
      <w:pPr>
        <w:ind w:left="320" w:hanging="314"/>
        <w:spacing w:after="0" w:line="264"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and comparable foreign regulatory agencies may continue to experience operational interruptions or delays, which may impact timelines for regulatory submission, trial initiation and regulatory approval.</w:t>
      </w:r>
    </w:p>
    <w:p>
      <w:pPr>
        <w:spacing w:after="0" w:line="18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COVID-19 outbreak continues to rapidly evolve. The extent to which the outbreak may impact our business, manufacturing, preclinical development activities, preclinical studies and planned clinical trials will depend on future developments, which are highly uncertain and cannot be predicted with confidence, such as the ultimate geographic spread of COVID-19,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5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development or commercialization of tenapanor and/or the development of RDX013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54" w:lineRule="exact"/>
        <w:rPr>
          <w:sz w:val="20"/>
          <w:szCs w:val="20"/>
          <w:color w:val="auto"/>
        </w:rPr>
      </w:pPr>
    </w:p>
    <w:p>
      <w:pPr>
        <w:ind w:left="320" w:hanging="314"/>
        <w:spacing w:after="0" w:line="264"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228" w:lineRule="exact"/>
        <w:rPr>
          <w:rFonts w:ascii="Arial" w:cs="Arial" w:eastAsia="Arial" w:hAnsi="Arial"/>
          <w:sz w:val="17"/>
          <w:szCs w:val="17"/>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91"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17" w:lineRule="exact"/>
        <w:rPr>
          <w:rFonts w:ascii="Arial" w:cs="Arial" w:eastAsia="Arial" w:hAnsi="Arial"/>
          <w:sz w:val="18"/>
          <w:szCs w:val="18"/>
          <w:color w:val="auto"/>
        </w:rPr>
      </w:pPr>
    </w:p>
    <w:p>
      <w:pPr>
        <w:ind w:left="320" w:right="20" w:hanging="314"/>
        <w:spacing w:after="0" w:line="264"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8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3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dual headquarters and one of our facilities is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California facility,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3"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51"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regulatory approval of products;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approve pending NDAs or supplements to approved NDAs.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on July 28, 2021, we received a CRL from the FDA regarding our NDA for tenapanor for the Hyperphosphatemia Indication. According to the CRL, the FDA has determined that the magnitude of the treatment effect observed in our Phase 3 clinical trials was small and unclear of clinical significance. Additionally, in the CRL, the FDA noted that in order for the NDA to be approved, we will need to conduct an additional adequate and well-controlled trial demonstrating a clinically relevant treatment effect on serum phosphorus or an effect on the clinical outcome thought to be caused by hyperphosphatemia in adult patients with CKD on dialysis. The End of Review Meeting did not provide a reasonable path forward for resubmission or our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NDA, and as a result, we currently expect to submit a FDRR to raise our scientific disagreement above the Division level within CDER. There can be no assurances that the FDR process will result in approval of the NDA or another positive outcome. As a result, the regulatory approval process for our NDA is highly uncertain. We may not obtain approval at all, and if we are able to obtain approval, the expense and time to do so could adversely impact our ability to successfully commercialize tenapanor for the Hyperphosphatemia Indication, our business and our results of operations. Finally,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229" w:lineRule="exact"/>
        <w:rPr>
          <w:sz w:val="20"/>
          <w:szCs w:val="20"/>
          <w:color w:val="auto"/>
        </w:rPr>
      </w:pPr>
    </w:p>
    <w:p>
      <w:pPr>
        <w:ind w:left="320" w:hanging="314"/>
        <w:spacing w:after="0" w:line="264"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interpretation of data from preclinical studies or clinical studies;</w:t>
      </w:r>
    </w:p>
    <w:p>
      <w:pPr>
        <w:spacing w:after="0" w:line="228"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 NDA or other submission or to obtain regulatory approval in the United States or elsewhere;</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collaboration partners may be unable to demonstrate to the FDA or comparable foreign regulatory authorities that a product candidate’s risk-benefit ratio for its proposed indication is acceptable;</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Even if a drug is approved by the FDA or foreign regulatory authorities, the manufacturing processes, labeling, packaging, distribution, pharmacovigilance,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marketing or impose ongoing requirements for potentially costly post-marketing studies. Furthermore, any new legislation addressing drug safety issues could result in delays or increased costs to assure compliance.</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9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57"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 fines or holds on clinical trials;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the product, withdrawal of the product from the market or voluntary or mandatory product recalls;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the results of the 2020 President election may impact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Orders will be implemented, or whether they will be rescinded or replaced under a Biden Administration. The policies and priorities of an incoming administration are unknown, and could materially impact the regulatory framework governing our products.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4"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7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5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37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9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Switching manufacturers may involve substantial costs and is likely to result in a delay in our desired clinical and commercial timelines.</w:t>
      </w:r>
    </w:p>
    <w:p>
      <w:pPr>
        <w:spacing w:after="0" w:line="2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are implementing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8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37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Tenapanor, which has been approved by the FDA for the treatment of IBS-C in adults, and/or RDX013, and our other product candidates, if approved, may cause or contribute to adverse medical events that we are required to report to regulatory agencies and if we fail to do so we could be subject to sanctions that would materially harm our business.</w:t>
      </w:r>
    </w:p>
    <w:p>
      <w:pPr>
        <w:spacing w:after="0" w:line="18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8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2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8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71" w:lineRule="exact"/>
        <w:rPr>
          <w:sz w:val="20"/>
          <w:szCs w:val="20"/>
          <w:color w:val="auto"/>
        </w:rPr>
      </w:pPr>
    </w:p>
    <w:p>
      <w:pPr>
        <w:jc w:val="both"/>
        <w:ind w:left="320" w:hanging="314"/>
        <w:spacing w:after="0" w:line="271" w:lineRule="auto"/>
        <w:tabs>
          <w:tab w:leader="none" w:pos="3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77"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color w:val="auto"/>
        </w:rPr>
        <w:t>addition, the government may assert that a claim including items or services resulting from a violation of the federal Anti-Kickback Statute constitutes a false or fraudulent claim for purposes of the false claims statutes;</w:t>
      </w:r>
    </w:p>
    <w:p>
      <w:pPr>
        <w:spacing w:after="0" w:line="181" w:lineRule="exact"/>
        <w:rPr>
          <w:sz w:val="20"/>
          <w:szCs w:val="20"/>
          <w:color w:val="auto"/>
        </w:rPr>
      </w:pPr>
    </w:p>
    <w:p>
      <w:pPr>
        <w:jc w:val="both"/>
        <w:ind w:left="320" w:hanging="314"/>
        <w:spacing w:after="0" w:line="255"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8"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188" w:lineRule="exact"/>
        <w:rPr>
          <w:rFonts w:ascii="Arial" w:cs="Arial" w:eastAsia="Arial" w:hAnsi="Arial"/>
          <w:sz w:val="18"/>
          <w:szCs w:val="18"/>
          <w:color w:val="auto"/>
        </w:rPr>
      </w:pPr>
    </w:p>
    <w:p>
      <w:pPr>
        <w:jc w:val="both"/>
        <w:ind w:left="320" w:hanging="314"/>
        <w:spacing w:after="0" w:line="330" w:lineRule="auto"/>
        <w:tabs>
          <w:tab w:leader="none" w:pos="315"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federal physician sunshine requirements under the ACA, which requires manufacturers of drugs, devices, biologics, and medical supplies to report annually to CMS information related to payments and other transfers of value to physicians, certain other healthcare providers beginning in 2022, and teaching hospitals, and ownership and investment interests held by physicians and other healthcare providers and their immediate family members;</w:t>
      </w:r>
    </w:p>
    <w:p>
      <w:pPr>
        <w:spacing w:after="0" w:line="136" w:lineRule="exact"/>
        <w:rPr>
          <w:rFonts w:ascii="Arial" w:cs="Arial" w:eastAsia="Arial" w:hAnsi="Arial"/>
          <w:sz w:val="15"/>
          <w:szCs w:val="15"/>
          <w:color w:val="auto"/>
        </w:rPr>
      </w:pPr>
    </w:p>
    <w:p>
      <w:pPr>
        <w:ind w:left="320" w:hanging="314"/>
        <w:spacing w:after="0" w:line="264"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80"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88"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81"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5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96" w:lineRule="exact"/>
        <w:rPr>
          <w:sz w:val="20"/>
          <w:szCs w:val="20"/>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addition, the full impact of recent healthcare reform and other changes in the healthcare industry and in healthcare spending is currently unknown, and may adversely affect our business model.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5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Since its enactment, there have been judicial, executive and Congressional challenges to certain aspects of the ACA. By way of example, the Tax Cuts and Jobs Act of 2017 included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Supreme Court heard argument on this case on November 10, 2020. On February 10, 2021, the Department of Justice notified the Court of the federal government’s change in position from that presented in its brief on the merits filed in the case. It is unclear how the Supreme Court will rule. It is also unclear how other efforts, if any, to challenge, repeal, or replace the ACA will impact the ACA or our business.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37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Other legislative changes have been proposed and adopted in the United States since the ACA was enacted. These new laws, among other things, included aggregate reductions of Medicare payments of 2% per fiscal year to providers that will remain in effect through 2030, with the exception of a temporary suspension from May 1, 2020 through December 31, 2020,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w:t>
      </w:r>
    </w:p>
    <w:p>
      <w:pPr>
        <w:spacing w:after="0" w:line="18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Moreover, we may face patent infringement claims from</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w:t>
      </w:r>
    </w:p>
    <w:p>
      <w:pPr>
        <w:spacing w:after="0" w:line="15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3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9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3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5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8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7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relevant jurisdiction. In such an event, competitors might be able to enter the market earlier than would otherwise have been the case.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8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5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may be volatile and our stockholders may not be able to resell shares of our common stock at or above the price they paid.</w:t>
      </w:r>
    </w:p>
    <w:p>
      <w:pPr>
        <w:spacing w:after="0" w:line="25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81" w:lineRule="exact"/>
        <w:rPr>
          <w:sz w:val="20"/>
          <w:szCs w:val="20"/>
          <w:color w:val="auto"/>
        </w:rPr>
      </w:pPr>
    </w:p>
    <w:p>
      <w:pPr>
        <w:ind w:left="5540" w:right="960" w:hanging="5534"/>
        <w:spacing w:after="0" w:line="894" w:lineRule="auto"/>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regulatory decisions regarding our NDA seeking marketing approval for tenapanor for the Hyperphosphatemia Indication;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-301625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line="264"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regulatory inspections of our facilities or those of our contract manufacturing organizations, or specific label restrictions or patient populations for tenapanor’s use, or changes or delays in the regulatory review process;</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regarding whether tenapanor, alone or with other oral only medications, will be included in the bundled prospective payment system for the treatment of ESRD patients, and the time and manner in which such transition is achieved;</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from, or any delays in, our RDX013 Phase 2 clinical trial;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approved products or our product candidates;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failure to meet any of our projected timelines or goals with regard to the clinical development and commercialization of any of our product candidates;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ectPr>
          <w:pgSz w:w="11900" w:h="16838" w:orient="portrait"/>
          <w:cols w:equalWidth="0" w:num="1">
            <w:col w:w="11240"/>
          </w:cols>
          <w:pgMar w:left="320" w:top="339"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Based on the number of shares outstanding as of September 30, 2021, our officers, directors and stockholders who hold at least 5% of our stock together beneficially own approximately 38.2%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our existing stockholders sell, or indicate an intention to sell, substantial amounts of our common stock in the public market, the trading price of our common stock could decline. As of September 30, 2021, we had approximately 106.8 million shares of common stock outstanding. Of those shares, approximately 37.5 million were held by current directors, executive officers and stockholders owning 5% or more of our outstanding common stock.</w:t>
      </w:r>
    </w:p>
    <w:p>
      <w:pPr>
        <w:spacing w:after="0" w:line="13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September 30, 2021, 0.8 million shares of common stock issuable upon vesting of outstanding restricted stock units and approximately 11.4 million shares of common stock issuable upon exercise of outstanding options were eligible for sale in the public market to the extent permitted by the provisions of the applicable vesting schedules, and Rule 144 and Rule 701 under the Securities Act. If these additional shares of common stock are issued and sold, or if it is perceived that they will be sold, in the public market, the trading price of our common stock could decline.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sell shares of our common stock in future financings, stockholders may experience immediate dilution and, as a result, our stock price may decline.</w:t>
      </w:r>
    </w:p>
    <w:p>
      <w:pPr>
        <w:spacing w:after="0" w:line="25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8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3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require, among other things, our management to report on the effectiveness of our internal control over financial reporting. Our compliance with Section 404 requires that we incur substantial expense and expend significant management efforts.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5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3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88" w:lineRule="exact"/>
        <w:rPr>
          <w:sz w:val="20"/>
          <w:szCs w:val="20"/>
          <w:color w:val="auto"/>
        </w:rPr>
      </w:pPr>
    </w:p>
    <w:p>
      <w:pPr>
        <w:ind w:left="320" w:hanging="314"/>
        <w:spacing w:after="0" w:line="264"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line="365" w:lineRule="auto"/>
        <w:tabs>
          <w:tab w:leader="none" w:pos="315"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11" w:lineRule="exact"/>
        <w:rPr>
          <w:rFonts w:ascii="Arial" w:cs="Arial" w:eastAsia="Arial" w:hAnsi="Arial"/>
          <w:sz w:val="15"/>
          <w:szCs w:val="15"/>
          <w:color w:val="auto"/>
        </w:rPr>
      </w:pPr>
    </w:p>
    <w:p>
      <w:pPr>
        <w:ind w:left="320" w:hanging="314"/>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251" w:lineRule="exact"/>
        <w:rPr>
          <w:rFonts w:ascii="Arial" w:cs="Arial" w:eastAsia="Arial" w:hAnsi="Arial"/>
          <w:sz w:val="15"/>
          <w:szCs w:val="15"/>
          <w:color w:val="auto"/>
        </w:rPr>
      </w:pPr>
    </w:p>
    <w:p>
      <w:pPr>
        <w:jc w:val="both"/>
        <w:ind w:left="320" w:hanging="314"/>
        <w:spacing w:after="0" w:line="255"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8"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81" w:lineRule="exact"/>
        <w:rPr>
          <w:sz w:val="20"/>
          <w:szCs w:val="20"/>
          <w:color w:val="auto"/>
        </w:rPr>
      </w:pPr>
    </w:p>
    <w:p>
      <w:pPr>
        <w:jc w:val="both"/>
        <w:ind w:left="320" w:hanging="314"/>
        <w:spacing w:after="0" w:line="252"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90" w:lineRule="exact"/>
        <w:rPr>
          <w:rFonts w:ascii="Arial" w:cs="Arial" w:eastAsia="Arial" w:hAnsi="Arial"/>
          <w:sz w:val="18"/>
          <w:szCs w:val="18"/>
          <w:color w:val="auto"/>
        </w:rPr>
      </w:pPr>
    </w:p>
    <w:p>
      <w:pPr>
        <w:ind w:left="320" w:hanging="314"/>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217"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7" w:lineRule="exact"/>
        <w:rPr>
          <w:rFonts w:ascii="Arial" w:cs="Arial" w:eastAsia="Arial" w:hAnsi="Arial"/>
          <w:sz w:val="17"/>
          <w:szCs w:val="17"/>
          <w:color w:val="auto"/>
        </w:rPr>
      </w:pPr>
    </w:p>
    <w:p>
      <w:pPr>
        <w:ind w:left="320" w:hanging="314"/>
        <w:spacing w:after="0" w:line="365" w:lineRule="auto"/>
        <w:tabs>
          <w:tab w:leader="none" w:pos="315"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111" w:lineRule="exact"/>
        <w:rPr>
          <w:rFonts w:ascii="Arial" w:cs="Arial" w:eastAsia="Arial" w:hAnsi="Arial"/>
          <w:sz w:val="15"/>
          <w:szCs w:val="15"/>
          <w:color w:val="auto"/>
        </w:rPr>
      </w:pPr>
    </w:p>
    <w:p>
      <w:pPr>
        <w:ind w:left="320" w:hanging="314"/>
        <w:spacing w:after="0" w:line="264"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line="264" w:lineRule="auto"/>
        <w:tabs>
          <w:tab w:leader="none" w:pos="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8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8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18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Effective May 16, 2018, we entered into a loan and security agreement (as amended on October 9, 2020, March 1, 2021, May 5, 2021, and July 29, 2021) pursuant to which the Lenders agreed to provide us a $50.0 million term loan facility. Covenants in the loan and security agreement limit our ability to pay dividends or make other distributions. For additional information refer to “NOTE 5. BORROWING” in the notes to our unaudited condensed financial statements in Part I, Item 1, </w:t>
      </w:r>
      <w:r>
        <w:rPr>
          <w:rFonts w:ascii="Arial" w:cs="Arial" w:eastAsia="Arial" w:hAnsi="Arial"/>
          <w:sz w:val="17"/>
          <w:szCs w:val="17"/>
          <w:i w:val="1"/>
          <w:iCs w:val="1"/>
          <w:color w:val="auto"/>
        </w:rPr>
        <w:t>Notes to Condensed Financial Statements</w:t>
      </w:r>
      <w:r>
        <w:rPr>
          <w:rFonts w:ascii="Arial" w:cs="Arial" w:eastAsia="Arial" w:hAnsi="Arial"/>
          <w:sz w:val="17"/>
          <w:szCs w:val="17"/>
          <w:color w:val="auto"/>
        </w:rPr>
        <w:t>,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3"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In connection with the restructuring initiated in October 2021, we will be eliminating all of our research personnel and our research capabilities and are transitioning to a commercially focused organization. Our research personnel comprised a significant portion of our headcount presence in Fremont, California. As a result, our Board has determined to designate Waltham, Massachusetts, where the majority of our executive management team are located and where our commercial team reports, as our sole headquarters.</w:t>
      </w:r>
    </w:p>
    <w:p>
      <w:pPr>
        <w:spacing w:after="0" w:line="1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vMerge w:val="restart"/>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vMerge w:val="restart"/>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9"/>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25"/>
        </w:trPr>
        <w:tc>
          <w:tcPr>
            <w:tcW w:w="7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2"/>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Fourth Amendment to the Loan and Security Agreement, dated as of July 29,</w:t>
              </w:r>
            </w:hyperlink>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9"/>
          </w:tcPr>
          <w:p>
            <w:pPr>
              <w:spacing w:after="0" w:line="152" w:lineRule="exact"/>
              <w:rPr>
                <w:rFonts w:ascii="Arial" w:cs="Arial" w:eastAsia="Arial" w:hAnsi="Arial"/>
                <w:sz w:val="17"/>
                <w:szCs w:val="17"/>
                <w:color w:val="0000FF"/>
                <w:w w:val="97"/>
              </w:rPr>
            </w:pPr>
            <w:hyperlink r:id="rId82">
              <w:r>
                <w:rPr>
                  <w:rFonts w:ascii="Arial" w:cs="Arial" w:eastAsia="Arial" w:hAnsi="Arial"/>
                  <w:sz w:val="17"/>
                  <w:szCs w:val="17"/>
                  <w:color w:val="0000FF"/>
                  <w:w w:val="97"/>
                </w:rPr>
                <w:t>2021, by and among Ardelyx, Inc., Solar Capital Ltd. and the lenders party</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9"/>
              </w:rPr>
              <w:t>7/30/2021</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0"/>
              </w:rPr>
            </w:pPr>
            <w:hyperlink r:id="rId82">
              <w:r>
                <w:rPr>
                  <w:rFonts w:ascii="Arial" w:cs="Arial" w:eastAsia="Arial" w:hAnsi="Arial"/>
                  <w:sz w:val="17"/>
                  <w:szCs w:val="17"/>
                  <w:color w:val="0000FF"/>
                  <w:w w:val="90"/>
                </w:rPr>
                <w:t>thereto.</w:t>
              </w:r>
            </w:hyperlink>
          </w:p>
        </w:tc>
        <w:tc>
          <w:tcPr>
            <w:tcW w:w="4760" w:type="dxa"/>
            <w:vAlign w:val="bottom"/>
            <w:tcBorders>
              <w:top w:val="single" w:sz="8" w:color="0000FF"/>
            </w:tcBorders>
            <w:gridSpan w:val="7"/>
          </w:tcPr>
          <w:p>
            <w:pPr>
              <w:spacing w:after="0"/>
              <w:rPr>
                <w:sz w:val="13"/>
                <w:szCs w:val="13"/>
                <w:color w:val="auto"/>
              </w:rPr>
            </w:pPr>
          </w:p>
        </w:tc>
        <w:tc>
          <w:tcPr>
            <w:tcW w:w="18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76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2"/>
          </w:tcPr>
          <w:p>
            <w:pPr>
              <w:spacing w:after="0"/>
              <w:rPr>
                <w:rFonts w:ascii="Arial" w:cs="Arial" w:eastAsia="Arial" w:hAnsi="Arial"/>
                <w:sz w:val="18"/>
                <w:szCs w:val="18"/>
                <w:color w:val="0000FF"/>
                <w:w w:val="99"/>
              </w:rPr>
            </w:pPr>
            <w:hyperlink r:id="rId83">
              <w:r>
                <w:rPr>
                  <w:rFonts w:ascii="Arial" w:cs="Arial" w:eastAsia="Arial" w:hAnsi="Arial"/>
                  <w:sz w:val="18"/>
                  <w:szCs w:val="18"/>
                  <w:color w:val="0000FF"/>
                  <w:w w:val="99"/>
                </w:rPr>
                <w:t>Open Market Sales Agreement dated August 13, 2021, by and between</w:t>
              </w:r>
            </w:hyperlink>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9"/>
              </w:rPr>
              <w:t>8/17/2021</w:t>
            </w:r>
          </w:p>
        </w:tc>
        <w:tc>
          <w:tcPr>
            <w:tcW w:w="10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7"/>
          </w:tcPr>
          <w:p>
            <w:pPr>
              <w:spacing w:after="0" w:line="152" w:lineRule="exact"/>
              <w:rPr>
                <w:rFonts w:ascii="Arial" w:cs="Arial" w:eastAsia="Arial" w:hAnsi="Arial"/>
                <w:sz w:val="17"/>
                <w:szCs w:val="17"/>
                <w:color w:val="0000FF"/>
              </w:rPr>
            </w:pPr>
            <w:hyperlink r:id="rId83">
              <w:r>
                <w:rPr>
                  <w:rFonts w:ascii="Arial" w:cs="Arial" w:eastAsia="Arial" w:hAnsi="Arial"/>
                  <w:sz w:val="17"/>
                  <w:szCs w:val="17"/>
                  <w:color w:val="0000FF"/>
                </w:rPr>
                <w:t>Ardelyx, Inc. and Jefferies LLC.</w:t>
              </w:r>
            </w:hyperlink>
          </w:p>
        </w:tc>
        <w:tc>
          <w:tcPr>
            <w:tcW w:w="46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2"/>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Certification of Chief Executive Officer Pursuant to Section 302 of the</w:t>
              </w:r>
            </w:hyperlink>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6"/>
          </w:tcPr>
          <w:p>
            <w:pPr>
              <w:spacing w:after="0" w:line="152" w:lineRule="exact"/>
              <w:rPr>
                <w:rFonts w:ascii="Arial" w:cs="Arial" w:eastAsia="Arial" w:hAnsi="Arial"/>
                <w:sz w:val="17"/>
                <w:szCs w:val="17"/>
                <w:color w:val="0000FF"/>
              </w:rPr>
            </w:pPr>
            <w:hyperlink w:anchor="page68">
              <w:r>
                <w:rPr>
                  <w:rFonts w:ascii="Arial" w:cs="Arial" w:eastAsia="Arial" w:hAnsi="Arial"/>
                  <w:sz w:val="17"/>
                  <w:szCs w:val="17"/>
                  <w:color w:val="0000FF"/>
                </w:rPr>
                <w:t>Sarbanes-Oxley Act of 2002.</w:t>
              </w:r>
            </w:hyperlink>
          </w:p>
        </w:tc>
        <w:tc>
          <w:tcPr>
            <w:tcW w:w="4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2"/>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of Chief Financial Officer Pursuant to Section 302 of the</w:t>
              </w:r>
            </w:hyperlink>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w:anchor="page69">
              <w:r>
                <w:rPr>
                  <w:rFonts w:ascii="Arial" w:cs="Arial" w:eastAsia="Arial" w:hAnsi="Arial"/>
                  <w:sz w:val="17"/>
                  <w:szCs w:val="17"/>
                  <w:color w:val="0000FF"/>
                </w:rPr>
                <w:t>Sarbanes-Oxley Act of 2002.</w:t>
              </w:r>
            </w:hyperlink>
          </w:p>
        </w:tc>
        <w:tc>
          <w:tcPr>
            <w:tcW w:w="520" w:type="dxa"/>
            <w:vAlign w:val="bottom"/>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2"/>
          </w:tcPr>
          <w:p>
            <w:pPr>
              <w:spacing w:after="0"/>
              <w:rPr>
                <w:rFonts w:ascii="Arial" w:cs="Arial" w:eastAsia="Arial" w:hAnsi="Arial"/>
                <w:sz w:val="18"/>
                <w:szCs w:val="18"/>
                <w:color w:val="0000FF"/>
                <w:w w:val="95"/>
              </w:rPr>
            </w:pPr>
            <w:hyperlink w:anchor="page70">
              <w:r>
                <w:rPr>
                  <w:rFonts w:ascii="Arial" w:cs="Arial" w:eastAsia="Arial" w:hAnsi="Arial"/>
                  <w:sz w:val="18"/>
                  <w:szCs w:val="18"/>
                  <w:color w:val="0000FF"/>
                  <w:w w:val="95"/>
                </w:rPr>
                <w:t>Certification of Chief Executive Officer and Chief Financial Officer Pursuant</w:t>
              </w:r>
            </w:hyperlink>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0"/>
          </w:tcPr>
          <w:p>
            <w:pPr>
              <w:spacing w:after="0" w:line="152" w:lineRule="exact"/>
              <w:rPr>
                <w:rFonts w:ascii="Arial" w:cs="Arial" w:eastAsia="Arial" w:hAnsi="Arial"/>
                <w:sz w:val="17"/>
                <w:szCs w:val="17"/>
                <w:color w:val="0000FF"/>
              </w:rPr>
            </w:pPr>
            <w:hyperlink w:anchor="page70">
              <w:r>
                <w:rPr>
                  <w:rFonts w:ascii="Arial" w:cs="Arial" w:eastAsia="Arial" w:hAnsi="Arial"/>
                  <w:sz w:val="17"/>
                  <w:szCs w:val="17"/>
                  <w:color w:val="0000FF"/>
                </w:rPr>
                <w:t>to Section 906 of the Sarbanes-Oxley Act of 2002.</w:t>
              </w:r>
            </w:hyperlink>
          </w:p>
        </w:tc>
        <w:tc>
          <w:tcPr>
            <w:tcW w:w="2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2"/>
          </w:tcPr>
          <w:p>
            <w:pPr>
              <w:spacing w:after="0"/>
              <w:rPr>
                <w:sz w:val="20"/>
                <w:szCs w:val="20"/>
                <w:color w:val="auto"/>
              </w:rPr>
            </w:pPr>
            <w:r>
              <w:rPr>
                <w:rFonts w:ascii="Arial" w:cs="Arial" w:eastAsia="Arial" w:hAnsi="Arial"/>
                <w:sz w:val="18"/>
                <w:szCs w:val="18"/>
                <w:color w:val="auto"/>
                <w:w w:val="96"/>
              </w:rPr>
              <w:t>The following financial statements, formatted in Inline Extensible Business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gridSpan w:val="12"/>
          </w:tcPr>
          <w:p>
            <w:pPr>
              <w:spacing w:after="0" w:line="186" w:lineRule="exact"/>
              <w:rPr>
                <w:sz w:val="20"/>
                <w:szCs w:val="20"/>
                <w:color w:val="auto"/>
              </w:rPr>
            </w:pPr>
            <w:r>
              <w:rPr>
                <w:rFonts w:ascii="Arial" w:cs="Arial" w:eastAsia="Arial" w:hAnsi="Arial"/>
                <w:sz w:val="18"/>
                <w:szCs w:val="18"/>
                <w:color w:val="auto"/>
              </w:rPr>
              <w:t>Reporting Language (XBRL): (i) Condensed Balance Sheets as of</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80"/>
        <w:spacing w:after="0" w:line="199" w:lineRule="auto"/>
        <w:rPr>
          <w:sz w:val="20"/>
          <w:szCs w:val="20"/>
          <w:color w:val="auto"/>
        </w:rPr>
      </w:pPr>
      <w:r>
        <w:rPr>
          <w:rFonts w:ascii="Arial" w:cs="Arial" w:eastAsia="Arial" w:hAnsi="Arial"/>
          <w:sz w:val="18"/>
          <w:szCs w:val="18"/>
          <w:color w:val="auto"/>
        </w:rPr>
        <w:t>September 30, 2021 and December 31, 2020, (ii) Condensed Statements of</w:t>
      </w:r>
    </w:p>
    <w:p>
      <w:pPr>
        <w:ind w:left="880"/>
        <w:spacing w:after="0" w:line="200" w:lineRule="auto"/>
        <w:rPr>
          <w:sz w:val="20"/>
          <w:szCs w:val="20"/>
          <w:color w:val="auto"/>
        </w:rPr>
      </w:pPr>
      <w:r>
        <w:rPr>
          <w:rFonts w:ascii="Arial" w:cs="Arial" w:eastAsia="Arial" w:hAnsi="Arial"/>
          <w:sz w:val="18"/>
          <w:szCs w:val="18"/>
          <w:color w:val="auto"/>
        </w:rPr>
        <w:t>Operations and Comprehensive Loss for the three and nine months ended</w:t>
      </w:r>
    </w:p>
    <w:p>
      <w:pPr>
        <w:ind w:left="880"/>
        <w:spacing w:after="0" w:line="200" w:lineRule="auto"/>
        <w:rPr>
          <w:sz w:val="20"/>
          <w:szCs w:val="20"/>
          <w:color w:val="auto"/>
        </w:rPr>
      </w:pPr>
      <w:r>
        <w:rPr>
          <w:rFonts w:ascii="Arial" w:cs="Arial" w:eastAsia="Arial" w:hAnsi="Arial"/>
          <w:sz w:val="18"/>
          <w:szCs w:val="18"/>
          <w:color w:val="auto"/>
        </w:rPr>
        <w:t>September 30, 2021 and 2020, (iii) Condensed Statements of Cash Flows for</w:t>
      </w:r>
    </w:p>
    <w:p>
      <w:pPr>
        <w:ind w:left="880"/>
        <w:spacing w:after="0" w:line="199" w:lineRule="auto"/>
        <w:rPr>
          <w:sz w:val="20"/>
          <w:szCs w:val="20"/>
          <w:color w:val="auto"/>
        </w:rPr>
      </w:pPr>
      <w:r>
        <w:rPr>
          <w:rFonts w:ascii="Arial" w:cs="Arial" w:eastAsia="Arial" w:hAnsi="Arial"/>
          <w:sz w:val="18"/>
          <w:szCs w:val="18"/>
          <w:color w:val="auto"/>
        </w:rPr>
        <w:t>the nine months ended September 30, 2021 and 2020, and (iv) Notes to</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Unaudited Condensed Financial Statements.</w:t>
      </w:r>
    </w:p>
    <w:p>
      <w:pPr>
        <w:spacing w:after="0" w:line="4" w:lineRule="exact"/>
        <w:rPr>
          <w:sz w:val="20"/>
          <w:szCs w:val="20"/>
          <w:color w:val="auto"/>
        </w:rPr>
      </w:pPr>
    </w:p>
    <w:p>
      <w:pPr>
        <w:ind w:left="880" w:right="4900" w:hanging="856"/>
        <w:spacing w:after="0" w:line="229"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Ardelyx, Inc.</w:t>
      </w:r>
    </w:p>
    <w:p>
      <w:pPr>
        <w:spacing w:after="0" w:line="276" w:lineRule="exact"/>
        <w:rPr>
          <w:sz w:val="20"/>
          <w:szCs w:val="20"/>
          <w:color w:val="auto"/>
        </w:rPr>
      </w:pPr>
    </w:p>
    <w:p>
      <w:pPr>
        <w:ind w:left="20"/>
        <w:spacing w:after="0"/>
        <w:tabs>
          <w:tab w:leader="none" w:pos="5440" w:val="left"/>
          <w:tab w:leader="none" w:pos="59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10795</wp:posOffset>
            </wp:positionV>
            <wp:extent cx="3331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Justin Renz</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1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(Chief Accounting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39"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217"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217" w:lineRule="exact"/>
        <w:rPr>
          <w:rFonts w:ascii="Arial" w:cs="Arial" w:eastAsia="Arial" w:hAnsi="Arial"/>
          <w:sz w:val="18"/>
          <w:szCs w:val="18"/>
          <w:color w:val="auto"/>
        </w:rPr>
      </w:pPr>
    </w:p>
    <w:p>
      <w:pPr>
        <w:ind w:left="480" w:right="500" w:hanging="474"/>
        <w:spacing w:after="0" w:line="255" w:lineRule="auto"/>
        <w:tabs>
          <w:tab w:leader="none" w:pos="3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480" w:right="620" w:hanging="474"/>
        <w:spacing w:after="0" w:line="365" w:lineRule="auto"/>
        <w:tabs>
          <w:tab w:leader="none" w:pos="31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left="480" w:right="60" w:hanging="474"/>
        <w:spacing w:after="0" w:line="255" w:lineRule="auto"/>
        <w:tabs>
          <w:tab w:leader="none" w:pos="3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960" w:right="340" w:hanging="477"/>
        <w:spacing w:after="0" w:line="255" w:lineRule="auto"/>
        <w:tabs>
          <w:tab w:leader="none" w:pos="8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960" w:right="580" w:hanging="477"/>
        <w:spacing w:after="0" w:line="255" w:lineRule="auto"/>
        <w:tabs>
          <w:tab w:leader="none" w:pos="86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960" w:right="740" w:hanging="477"/>
        <w:spacing w:after="0" w:line="365" w:lineRule="auto"/>
        <w:tabs>
          <w:tab w:leader="none" w:pos="856" w:val="left"/>
        </w:tabs>
        <w:numPr>
          <w:ilvl w:val="1"/>
          <w:numId w:val="3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960" w:right="360" w:hanging="477"/>
        <w:spacing w:after="0" w:line="255" w:lineRule="auto"/>
        <w:tabs>
          <w:tab w:leader="none" w:pos="86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80" w:right="540" w:hanging="474"/>
        <w:spacing w:after="0" w:line="365" w:lineRule="auto"/>
        <w:tabs>
          <w:tab w:leader="none" w:pos="309"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960" w:right="280" w:hanging="477"/>
        <w:spacing w:after="0" w:line="294" w:lineRule="auto"/>
        <w:tabs>
          <w:tab w:leader="none" w:pos="846"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960" w:right="220" w:hanging="477"/>
        <w:spacing w:after="0" w:line="264" w:lineRule="auto"/>
        <w:tabs>
          <w:tab w:leader="none" w:pos="8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ind w:left="20"/>
        <w:spacing w:after="0"/>
        <w:tabs>
          <w:tab w:leader="none" w:pos="4920" w:val="left"/>
          <w:tab w:leader="none" w:pos="77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10795</wp:posOffset>
            </wp:positionV>
            <wp:extent cx="37185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718560" cy="8255"/>
                    </a:xfrm>
                    <a:prstGeom prst="rect">
                      <a:avLst/>
                    </a:prstGeom>
                    <a:noFill/>
                  </pic:spPr>
                </pic:pic>
              </a:graphicData>
            </a:graphic>
          </wp:anchor>
        </w:drawing>
      </w:r>
    </w:p>
    <w:p>
      <w:pPr>
        <w:jc w:val="center"/>
        <w:ind w:left="5360"/>
        <w:spacing w:after="0"/>
        <w:rPr>
          <w:sz w:val="20"/>
          <w:szCs w:val="20"/>
          <w:color w:val="auto"/>
        </w:rPr>
      </w:pPr>
      <w:r>
        <w:rPr>
          <w:rFonts w:ascii="Arial" w:cs="Arial" w:eastAsia="Arial" w:hAnsi="Arial"/>
          <w:sz w:val="18"/>
          <w:szCs w:val="18"/>
          <w:b w:val="1"/>
          <w:bCs w:val="1"/>
          <w:color w:val="auto"/>
        </w:rPr>
        <w:t>Michael Raab</w:t>
      </w:r>
    </w:p>
    <w:p>
      <w:pPr>
        <w:jc w:val="center"/>
        <w:ind w:left="5360"/>
        <w:spacing w:after="0" w:line="199"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Justin Renz, certify that:</w:t>
      </w:r>
    </w:p>
    <w:p>
      <w:pPr>
        <w:spacing w:after="0" w:line="217"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217" w:lineRule="exact"/>
        <w:rPr>
          <w:rFonts w:ascii="Arial" w:cs="Arial" w:eastAsia="Arial" w:hAnsi="Arial"/>
          <w:sz w:val="18"/>
          <w:szCs w:val="18"/>
          <w:color w:val="auto"/>
        </w:rPr>
      </w:pPr>
    </w:p>
    <w:p>
      <w:pPr>
        <w:ind w:left="480" w:right="500" w:hanging="474"/>
        <w:spacing w:after="0" w:line="255" w:lineRule="auto"/>
        <w:tabs>
          <w:tab w:leader="none" w:pos="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480" w:right="620" w:hanging="474"/>
        <w:spacing w:after="0" w:line="365" w:lineRule="auto"/>
        <w:tabs>
          <w:tab w:leader="none" w:pos="312"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left="480" w:right="60" w:hanging="474"/>
        <w:spacing w:after="0" w:line="255" w:lineRule="auto"/>
        <w:tabs>
          <w:tab w:leader="none" w:pos="3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960" w:right="340" w:hanging="477"/>
        <w:spacing w:after="0" w:line="255" w:lineRule="auto"/>
        <w:tabs>
          <w:tab w:leader="none" w:pos="85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960" w:right="580" w:hanging="477"/>
        <w:spacing w:after="0" w:line="255" w:lineRule="auto"/>
        <w:tabs>
          <w:tab w:leader="none" w:pos="8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960" w:right="740" w:hanging="477"/>
        <w:spacing w:after="0" w:line="365" w:lineRule="auto"/>
        <w:tabs>
          <w:tab w:leader="none" w:pos="856" w:val="left"/>
        </w:tabs>
        <w:numPr>
          <w:ilvl w:val="1"/>
          <w:numId w:val="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960" w:right="360" w:hanging="477"/>
        <w:spacing w:after="0" w:line="255" w:lineRule="auto"/>
        <w:tabs>
          <w:tab w:leader="none" w:pos="8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80" w:right="540" w:hanging="474"/>
        <w:spacing w:after="0" w:line="365" w:lineRule="auto"/>
        <w:tabs>
          <w:tab w:leader="none" w:pos="309"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960" w:right="280" w:hanging="477"/>
        <w:spacing w:after="0" w:line="294" w:lineRule="auto"/>
        <w:tabs>
          <w:tab w:leader="none" w:pos="846"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960" w:right="220" w:hanging="477"/>
        <w:spacing w:after="0" w:line="264" w:lineRule="auto"/>
        <w:tabs>
          <w:tab w:leader="none" w:pos="85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ind w:left="20"/>
        <w:spacing w:after="0"/>
        <w:tabs>
          <w:tab w:leader="none" w:pos="4920" w:val="left"/>
          <w:tab w:leader="none" w:pos="776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10795</wp:posOffset>
            </wp:positionV>
            <wp:extent cx="3702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jc w:val="center"/>
        <w:ind w:left="5340"/>
        <w:spacing w:after="0"/>
        <w:rPr>
          <w:sz w:val="20"/>
          <w:szCs w:val="20"/>
          <w:color w:val="auto"/>
        </w:rPr>
      </w:pPr>
      <w:r>
        <w:rPr>
          <w:rFonts w:ascii="Arial" w:cs="Arial" w:eastAsia="Arial" w:hAnsi="Arial"/>
          <w:sz w:val="18"/>
          <w:szCs w:val="18"/>
          <w:b w:val="1"/>
          <w:bCs w:val="1"/>
          <w:color w:val="auto"/>
        </w:rPr>
        <w:t>Justin Renz</w:t>
      </w:r>
    </w:p>
    <w:p>
      <w:pPr>
        <w:jc w:val="center"/>
        <w:ind w:left="5340"/>
        <w:spacing w:after="0" w:line="199"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08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connection with the Quarterly Report of Ardelyx, Inc. (the “Company”) on Form 10-Q for the period ending September 30, 2021,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spacing w:after="0" w:line="191" w:lineRule="exact"/>
        <w:rPr>
          <w:sz w:val="20"/>
          <w:szCs w:val="20"/>
          <w:color w:val="auto"/>
        </w:rPr>
      </w:pPr>
    </w:p>
    <w:p>
      <w:pPr>
        <w:ind w:left="700" w:hanging="37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700" w:hanging="376"/>
        <w:spacing w:after="0"/>
        <w:tabs>
          <w:tab w:leader="none" w:pos="7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384" w:lineRule="exact"/>
        <w:rPr>
          <w:sz w:val="20"/>
          <w:szCs w:val="20"/>
          <w:color w:val="auto"/>
        </w:rPr>
      </w:pPr>
    </w:p>
    <w:p>
      <w:pPr>
        <w:ind w:left="20"/>
        <w:spacing w:after="0"/>
        <w:tabs>
          <w:tab w:leader="none" w:pos="4920" w:val="left"/>
          <w:tab w:leader="none" w:pos="76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10795</wp:posOffset>
            </wp:positionV>
            <wp:extent cx="37020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jc w:val="center"/>
        <w:ind w:left="5340"/>
        <w:spacing w:after="0"/>
        <w:rPr>
          <w:sz w:val="20"/>
          <w:szCs w:val="20"/>
          <w:color w:val="auto"/>
        </w:rPr>
      </w:pPr>
      <w:r>
        <w:rPr>
          <w:rFonts w:ascii="Arial" w:cs="Arial" w:eastAsia="Arial" w:hAnsi="Arial"/>
          <w:sz w:val="18"/>
          <w:szCs w:val="18"/>
          <w:b w:val="1"/>
          <w:bCs w:val="1"/>
          <w:color w:val="auto"/>
        </w:rPr>
        <w:t>Michael Raab</w:t>
      </w:r>
    </w:p>
    <w:p>
      <w:pPr>
        <w:jc w:val="center"/>
        <w:ind w:left="5340"/>
        <w:spacing w:after="0" w:line="199"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(Principal Executive Officer)</w:t>
      </w:r>
    </w:p>
    <w:p>
      <w:pPr>
        <w:spacing w:after="0" w:line="269" w:lineRule="exact"/>
        <w:rPr>
          <w:sz w:val="20"/>
          <w:szCs w:val="20"/>
          <w:color w:val="auto"/>
        </w:rPr>
      </w:pPr>
    </w:p>
    <w:p>
      <w:pPr>
        <w:ind w:left="20"/>
        <w:spacing w:after="0"/>
        <w:tabs>
          <w:tab w:leader="none" w:pos="4920" w:val="left"/>
          <w:tab w:leader="none" w:pos="776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10795</wp:posOffset>
            </wp:positionV>
            <wp:extent cx="37020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jc w:val="center"/>
        <w:ind w:left="5340"/>
        <w:spacing w:after="0"/>
        <w:rPr>
          <w:sz w:val="20"/>
          <w:szCs w:val="20"/>
          <w:color w:val="auto"/>
        </w:rPr>
      </w:pPr>
      <w:r>
        <w:rPr>
          <w:rFonts w:ascii="Arial" w:cs="Arial" w:eastAsia="Arial" w:hAnsi="Arial"/>
          <w:sz w:val="18"/>
          <w:szCs w:val="18"/>
          <w:b w:val="1"/>
          <w:bCs w:val="1"/>
          <w:color w:val="auto"/>
        </w:rPr>
        <w:t>Justin Renz</w:t>
      </w:r>
    </w:p>
    <w:p>
      <w:pPr>
        <w:jc w:val="center"/>
        <w:ind w:left="5340"/>
        <w:spacing w:after="0" w:line="199"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10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606"/>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04"/>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82" Type="http://schemas.openxmlformats.org/officeDocument/2006/relationships/hyperlink" Target="http://www.sec.gov/Archives/edgar/data/1437402/000162828021014943/fourthamendmenttoloanandse.htm" TargetMode="External"/><Relationship Id="rId83" Type="http://schemas.openxmlformats.org/officeDocument/2006/relationships/hyperlink" Target="http://www.sec.gov/Archives/edgar/data/1437402/000162828021017192/salesagencyagreementaugu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2021-11-12T09:31:35Z</dcterms:created>
  <dcterms:modified xsi:type="dcterms:W3CDTF">2021-11-12T09:31:35Z</dcterms:modified>
</cp:coreProperties>
</file>