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16, 2014</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E-MAIL</w:t>
      </w:r>
    </w:p>
    <w:p>
      <w:pPr>
        <w:spacing w:after="0" w:line="171" w:lineRule="exact"/>
        <w:rPr>
          <w:sz w:val="24"/>
          <w:szCs w:val="24"/>
          <w:color w:val="auto"/>
        </w:rPr>
      </w:pPr>
    </w:p>
    <w:p>
      <w:pPr>
        <w:spacing w:after="0"/>
        <w:rPr>
          <w:sz w:val="20"/>
          <w:szCs w:val="20"/>
          <w:color w:val="auto"/>
        </w:rPr>
      </w:pPr>
      <w:r>
        <w:rPr>
          <w:rFonts w:ascii="Arial" w:cs="Arial" w:eastAsia="Arial" w:hAnsi="Arial"/>
          <w:sz w:val="15"/>
          <w:szCs w:val="15"/>
          <w:color w:val="auto"/>
        </w:rPr>
        <w:t>United States Securities and Exchange Commission</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ectPr>
          <w:pgSz w:w="11900" w:h="16838" w:orient="portrait"/>
          <w:cols w:equalWidth="0" w:num="1">
            <w:col w:w="11340"/>
          </w:cols>
          <w:pgMar w:left="240" w:top="239" w:right="31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Jeffrey P. Riedler, Assistant Director</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Matt Jones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Tabatha McCullom</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Joel Parker</w:t>
      </w:r>
    </w:p>
    <w:p>
      <w:pPr>
        <w:spacing w:after="0" w:line="200" w:lineRule="exact"/>
        <w:rPr>
          <w:sz w:val="24"/>
          <w:szCs w:val="24"/>
          <w:color w:val="auto"/>
        </w:rPr>
      </w:pPr>
    </w:p>
    <w:p>
      <w:pPr>
        <w:sectPr>
          <w:pgSz w:w="11900" w:h="16838" w:orient="portrait"/>
          <w:cols w:equalWidth="0" w:num="2">
            <w:col w:w="1000" w:space="720"/>
            <w:col w:w="9620"/>
          </w:cols>
          <w:pgMar w:left="240" w:top="239" w:right="319" w:bottom="1440" w:gutter="0" w:footer="0" w:header="0"/>
          <w:type w:val="continuous"/>
        </w:sectPr>
      </w:pPr>
    </w:p>
    <w:p>
      <w:pPr>
        <w:spacing w:after="0" w:line="13"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Ardelyx, Inc.</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on Form S-1 (Registration No. 333-196090)</w:t>
      </w:r>
    </w:p>
    <w:p>
      <w:pPr>
        <w:spacing w:after="0" w:line="199" w:lineRule="exact"/>
        <w:rPr>
          <w:sz w:val="24"/>
          <w:szCs w:val="24"/>
          <w:color w:val="auto"/>
        </w:rPr>
      </w:pPr>
    </w:p>
    <w:p>
      <w:pPr>
        <w:sectPr>
          <w:pgSz w:w="11900" w:h="16838" w:orient="portrait"/>
          <w:cols w:equalWidth="0" w:num="2">
            <w:col w:w="1000" w:space="720"/>
            <w:col w:w="9620"/>
          </w:cols>
          <w:pgMar w:left="240" w:top="239" w:right="3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 accordance with Rule 461 of Regulation C of the General Rules and Regulations under the Securities Act of 1933, as amended, we hereby request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acceleration of the effective date of the Registration Statement on Form S-1 (File No. 333-196090)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of Ardelyx, Inc.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respectfully request that the Registration Statement become effective as of 4:30 p.m., Washington, D.C. time, on June 18, 2014, or as soon as</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practicable thereafter. Once the Registration Statement has been declared effective, please orally confirm that event with our counsel, Latham &amp; Watkins LLP, by</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calling Brian Cuneo at (650) 463-3014.</w:t>
      </w:r>
    </w:p>
    <w:p>
      <w:pPr>
        <w:spacing w:after="0" w:line="16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acknowledges the following:</w:t>
      </w:r>
    </w:p>
    <w:p>
      <w:pPr>
        <w:spacing w:after="0" w:line="90" w:lineRule="exact"/>
        <w:rPr>
          <w:sz w:val="24"/>
          <w:szCs w:val="24"/>
          <w:color w:val="auto"/>
        </w:rPr>
      </w:pPr>
    </w:p>
    <w:p>
      <w:pPr>
        <w:ind w:left="900" w:right="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or the staff, acting pursuant to delegated authority, declare the filing effective, it does not foreclose the Commission from taking any action with respect to the filing;</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340"/>
          </w:cols>
          <w:pgMar w:left="240" w:top="239" w:right="319" w:bottom="144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Thank you for your assistance in this matter.</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RDELYX</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Michael Raab</w:t>
      </w:r>
    </w:p>
    <w:p>
      <w:pPr>
        <w:spacing w:after="0" w:line="15"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President and Chief Executive Officer</w:t>
      </w:r>
    </w:p>
    <w:p>
      <w:pPr>
        <w:spacing w:after="0" w:line="205" w:lineRule="exact"/>
        <w:rPr>
          <w:sz w:val="20"/>
          <w:szCs w:val="20"/>
          <w:color w:val="auto"/>
        </w:rPr>
      </w:pPr>
    </w:p>
    <w:p>
      <w:pPr>
        <w:ind w:left="460" w:right="7379" w:hanging="452"/>
        <w:spacing w:after="0" w:line="28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 Kaufman, Ardelyx, Inc. Elizabeth Grammer, Ardelyx, Inc.</w:t>
      </w:r>
    </w:p>
    <w:p>
      <w:pPr>
        <w:ind w:left="460" w:right="6879"/>
        <w:spacing w:after="0" w:line="302" w:lineRule="auto"/>
        <w:rPr>
          <w:rFonts w:ascii="Arial" w:cs="Arial" w:eastAsia="Arial" w:hAnsi="Arial"/>
          <w:sz w:val="16"/>
          <w:szCs w:val="16"/>
          <w:color w:val="auto"/>
        </w:rPr>
      </w:pPr>
      <w:r>
        <w:rPr>
          <w:rFonts w:ascii="Arial" w:cs="Arial" w:eastAsia="Arial" w:hAnsi="Arial"/>
          <w:sz w:val="16"/>
          <w:szCs w:val="16"/>
          <w:color w:val="auto"/>
        </w:rPr>
        <w:t>Mark V. Roeder, Latham &amp; Watkins LLP Brian J. Cuneo, Latham &amp; Watkins LLP David J. Saul, Ropes &amp; Gray LLP</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2019-12-07T19:20:40Z</dcterms:created>
  <dcterms:modified xsi:type="dcterms:W3CDTF">2019-12-07T19:20:40Z</dcterms:modified>
</cp:coreProperties>
</file>