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KERINS PATRICK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19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5,619,734</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60" w:type="dxa"/>
            <w:vAlign w:val="bottom"/>
            <w:gridSpan w:val="5"/>
            <w:vMerge w:val="restart"/>
          </w:tcPr>
          <w:p>
            <w:pPr>
              <w:ind w:left="880"/>
              <w:spacing w:after="0"/>
              <w:rPr>
                <w:sz w:val="20"/>
                <w:szCs w:val="20"/>
                <w:color w:val="auto"/>
              </w:rPr>
            </w:pPr>
            <w:r>
              <w:rPr>
                <w:rFonts w:ascii="Arial" w:cs="Arial" w:eastAsia="Arial" w:hAnsi="Arial"/>
                <w:sz w:val="18"/>
                <w:szCs w:val="18"/>
                <w:color w:val="0000FF"/>
              </w:rPr>
              <w:t>12/23/2014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Pr>
          <w:p>
            <w:pPr>
              <w:spacing w:after="0"/>
              <w:rPr>
                <w:sz w:val="22"/>
                <w:szCs w:val="22"/>
                <w:color w:val="auto"/>
              </w:rPr>
            </w:pPr>
          </w:p>
        </w:tc>
        <w:tc>
          <w:tcPr>
            <w:tcW w:w="800" w:type="dxa"/>
            <w:vAlign w:val="bottom"/>
            <w:vMerge w:val="restart"/>
          </w:tcPr>
          <w:p>
            <w:pPr>
              <w:jc w:val="center"/>
              <w:ind w:right="454"/>
              <w:spacing w:after="0"/>
              <w:rPr>
                <w:sz w:val="20"/>
                <w:szCs w:val="20"/>
                <w:color w:val="auto"/>
              </w:rPr>
            </w:pPr>
            <w:r>
              <w:rPr>
                <w:rFonts w:ascii="Arial" w:cs="Arial" w:eastAsia="Arial" w:hAnsi="Arial"/>
                <w:sz w:val="18"/>
                <w:szCs w:val="18"/>
                <w:color w:val="0000FF"/>
                <w:w w:val="79"/>
              </w:rPr>
              <w:t>0</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12/23/2014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241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34"/>
              <w:spacing w:after="0"/>
              <w:rPr>
                <w:sz w:val="20"/>
                <w:szCs w:val="20"/>
                <w:color w:val="auto"/>
              </w:rPr>
            </w:pPr>
            <w:r>
              <w:rPr>
                <w:rFonts w:ascii="Arial" w:cs="Arial" w:eastAsia="Arial" w:hAnsi="Arial"/>
                <w:sz w:val="18"/>
                <w:szCs w:val="18"/>
                <w:color w:val="0000FF"/>
                <w:w w:val="86"/>
              </w:rPr>
              <w:t>241</w:t>
            </w:r>
          </w:p>
        </w:tc>
        <w:tc>
          <w:tcPr>
            <w:tcW w:w="9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received 241 shares of Common Stock of the Issuer in the distribution by NEA Partners 12 on December 23, 2014.</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11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2019-12-17T17:28:10Z</dcterms:created>
  <dcterms:modified xsi:type="dcterms:W3CDTF">2019-12-17T17:28:10Z</dcterms:modified>
</cp:coreProperties>
</file>