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276860</wp:posOffset>
            </wp:positionV>
            <wp:extent cx="51435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October 30, 2025, Ardelyx, Inc. (the “Company”) announced its financial results for the quarter ended September 30, 2025. The full text of the press release issued in connection with the announcement is furnished as Exhibit 99.1 to this Current Report on Form 8-K.</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16"/>
                <w:szCs w:val="16"/>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of Ardelyx, Inc.</w:t>
            </w:r>
          </w:p>
        </w:tc>
        <w:tc>
          <w:tcPr>
            <w:tcW w:w="7880" w:type="dxa"/>
            <w:vAlign w:val="bottom"/>
            <w:gridSpan w:val="2"/>
          </w:tcPr>
          <w:p>
            <w:pPr>
              <w:spacing w:after="0"/>
              <w:rPr>
                <w:sz w:val="17"/>
                <w:szCs w:val="17"/>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81"/>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4"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7"/>
          <w:szCs w:val="17"/>
          <w:b w:val="1"/>
          <w:bCs w:val="1"/>
          <w:color w:val="auto"/>
        </w:rPr>
        <w:t>ARDELYX, INC.</w:t>
      </w:r>
    </w:p>
    <w:p>
      <w:pPr>
        <w:spacing w:after="0" w:line="243"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Justin Renz</w:t>
            </w:r>
          </w:p>
        </w:tc>
      </w:tr>
      <w:tr>
        <w:trPr>
          <w:trHeight w:val="218"/>
        </w:trPr>
        <w:tc>
          <w:tcPr>
            <w:tcW w:w="6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Justin Renz</w:t>
            </w:r>
          </w:p>
        </w:tc>
      </w:tr>
      <w:tr>
        <w:trPr>
          <w:trHeight w:val="234"/>
        </w:trPr>
        <w:tc>
          <w:tcPr>
            <w:tcW w:w="64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Operations Officer</w:t>
            </w: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Third Quarter 2025 Financial Results and Provides Corporate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Q3 2025 product revenue of $105.5 million reflects 15% year-over-year growth</w:t>
      </w:r>
    </w:p>
    <w:p>
      <w:pPr>
        <w:spacing w:after="0" w:line="224" w:lineRule="exact"/>
        <w:rPr>
          <w:sz w:val="20"/>
          <w:szCs w:val="20"/>
          <w:color w:val="auto"/>
        </w:rPr>
      </w:pPr>
    </w:p>
    <w:p>
      <w:pPr>
        <w:jc w:val="center"/>
        <w:spacing w:after="0" w:line="230" w:lineRule="auto"/>
        <w:rPr>
          <w:sz w:val="20"/>
          <w:szCs w:val="20"/>
          <w:color w:val="auto"/>
        </w:rPr>
      </w:pPr>
      <w:r>
        <w:rPr>
          <w:rFonts w:ascii="Times New Roman" w:cs="Times New Roman" w:eastAsia="Times New Roman" w:hAnsi="Times New Roman"/>
          <w:sz w:val="18"/>
          <w:szCs w:val="18"/>
          <w:i w:val="1"/>
          <w:iCs w:val="1"/>
          <w:color w:val="auto"/>
        </w:rPr>
        <w:t>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Q3 revenue of $78.2 million reflects 92% year-over-year growth; IBSRELA guidance raised, 2025 revenue expected to be between $270-275 million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Q3 revenue of $27.4 million, up 9% compared to Q2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announces pipeline program for next-generation NHE3 inhibitor; Potential application across multiple therapeutic areas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4:30 PM Eastern Time</w:t>
      </w:r>
    </w:p>
    <w:p>
      <w:pPr>
        <w:spacing w:after="0" w:line="22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October 30, 2025 </w:t>
      </w:r>
      <w:r>
        <w:rPr>
          <w:rFonts w:ascii="Times New Roman" w:cs="Times New Roman" w:eastAsia="Times New Roman" w:hAnsi="Times New Roman"/>
          <w:sz w:val="18"/>
          <w:szCs w:val="18"/>
          <w:color w:val="auto"/>
        </w:rPr>
        <w:t>- Ardelyx, Inc. (Nasdaq: ARDX), a biopharmaceutical company founded with a mission to discover,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innovative, first-in-class medicines that meet significant unmet medical needs, today reported financial results for the third quarter ended September 30, 2025 and provided a corporate update.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quarter’s results highlight the growth of our business as we advance toward year-end and position Ardelyx for an even stronger performance in 2026,” said Mike Raab, president and chief executive officer of Ardelyx. “IBSRELA continues to outperform, driven by sustained demand from IBS-C patients seeking a differentiated treatment option and by the effectiveness of our targeted commercial execution. Our strategy translated into expanded patient adoption, accelerated revenue growth and increased conviction for the long-term value of this franchise. For XPHOZAH, we are encouraged by the consistent growth, despite the dynamic market environment. The progress we are making underscores the agility and discipline of our team, as well as the strength of our commercial model. Finally, the announcement of RDX10531, our next generation NHE3 inhibitor, underscores our leadership in NHE3 inhibition and represents a pivotal step in building a pipeline of important medicines.”</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Raab continued, “Our commercial success and disciplined capital allocation have created a solid financial foundation, enabling us to invest in innovation and long-term growth. Our achievements this quarter demonstrate our commitment to advancing transformative therapies, the efficiency of our execution, and our ability to deliver meaningful and sustained value to patients and shareholders.”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IBSRELA</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records $78.2 million in revenue in Q3 2025</w:t>
      </w:r>
    </w:p>
    <w:p>
      <w:pPr>
        <w:ind w:right="60"/>
        <w:spacing w:after="0" w:line="253" w:lineRule="auto"/>
        <w:rPr>
          <w:sz w:val="20"/>
          <w:szCs w:val="20"/>
          <w:color w:val="auto"/>
        </w:rPr>
      </w:pPr>
      <w:r>
        <w:rPr>
          <w:rFonts w:ascii="Times New Roman" w:cs="Times New Roman" w:eastAsia="Times New Roman" w:hAnsi="Times New Roman"/>
          <w:sz w:val="18"/>
          <w:szCs w:val="18"/>
          <w:color w:val="auto"/>
        </w:rPr>
        <w:t>IBSRELA’s strong growth continued in the third quarter of 2025, generating $78.2 million in U.S. revenue, a 92% increase compared to the same period of 2024 and a 20% increase compared to the second quarter of 2025. IBSRELA saw continued growth in new and total writers as well as new and refill prescriptions driven by strong commercial execution and prescription pull-through. The company expects continued growth of IBSRELA and to generate between $270 and $275 million in IBSRELA revenue for the full-year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records $27.4 million revenue during Q3 2025</w:t>
      </w:r>
    </w:p>
    <w:p>
      <w:pPr>
        <w:ind w:right="140"/>
        <w:spacing w:after="0" w:line="253" w:lineRule="auto"/>
        <w:rPr>
          <w:sz w:val="20"/>
          <w:szCs w:val="20"/>
          <w:color w:val="auto"/>
        </w:rPr>
      </w:pPr>
      <w:r>
        <w:rPr>
          <w:rFonts w:ascii="Times New Roman" w:cs="Times New Roman" w:eastAsia="Times New Roman" w:hAnsi="Times New Roman"/>
          <w:sz w:val="18"/>
          <w:szCs w:val="18"/>
          <w:color w:val="auto"/>
        </w:rPr>
        <w:t>U.S. revenue for XPHOZAH during the third quarter of 2025 was $27.4 million, reflecting 9% growth compared to the second quarter of 2025, driven by quarter-over-quarter increases in paid demand prescriptions, total dispenses and total writers. The company expects continued growth in the fourth quarter of 2025 driven by the commercial strategy focusing on patient access, driving clinical conviction among nephrologists and supporting prescription pull-through.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a Pipeline of Important Medicines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third quarter, Ardelyx began the development of RDX10531, a next generation sodium/hydrogen exchanger 3 (NHE3) inhibitor. NHE3 is an antiporter expressed on the apical surface of the small and large intestines and is responsible for absorbing the majority of ingested sodium. The company is currently conducting activities to support an Investigational New Drug (IND) submission to the U.S. Food and Drug Administration for RDX10531 in 2026.</w:t>
      </w:r>
    </w:p>
    <w:p>
      <w:pPr>
        <w:sectPr>
          <w:pgSz w:w="11900" w:h="16838" w:orient="portrait"/>
          <w:cols w:equalWidth="0" w:num="1">
            <w:col w:w="11240"/>
          </w:cols>
          <w:pgMar w:left="320" w:top="12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200660</wp:posOffset>
            </wp:positionV>
            <wp:extent cx="172275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Other Corporate Developments</w:t>
      </w:r>
    </w:p>
    <w:p>
      <w:pPr>
        <w:spacing w:after="0" w:line="31"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the company announced the appointment of Sue Hohenleitner as Chief Financial Officer to be effective November 4, 2025.</w:t>
      </w:r>
    </w:p>
    <w:p>
      <w:pPr>
        <w:spacing w:after="0" w:line="9" w:lineRule="exact"/>
        <w:rPr>
          <w:rFonts w:ascii="Times New Roman" w:cs="Times New Roman" w:eastAsia="Times New Roman" w:hAnsi="Times New Roman"/>
          <w:sz w:val="18"/>
          <w:szCs w:val="18"/>
          <w:color w:val="auto"/>
        </w:rPr>
      </w:pPr>
    </w:p>
    <w:p>
      <w:pPr>
        <w:ind w:left="340" w:right="340" w:hanging="332"/>
        <w:spacing w:after="0" w:line="25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the company announced the appointment of Edward Conner, M.D. as Chief Medical Officer and John Bishop, Ph.D. as Chief Technical Operations Officer.</w:t>
      </w:r>
    </w:p>
    <w:p>
      <w:pPr>
        <w:ind w:left="340" w:right="60" w:hanging="332"/>
        <w:spacing w:after="0" w:line="260"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 significant presence at the 2025 Annual Scientific Meeting for the American College of Gastroenterology (ACG 2025) in Phoenix from October 24-29, 2025. The company presented three posters and sponsored a Product Theater.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31" w:lineRule="exact"/>
        <w:rPr>
          <w:sz w:val="20"/>
          <w:szCs w:val="20"/>
          <w:color w:val="auto"/>
        </w:rPr>
      </w:pPr>
    </w:p>
    <w:p>
      <w:pPr>
        <w:ind w:left="340" w:right="120" w:hanging="332"/>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September 30, 2025, the company had total cash, cash equivalents and short-term investments of $242.7 million,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cash, cash equivalents and short-term investments of $250.1 million as of December 31, 2024 and $238.5 million as of June 30, 2025.</w:t>
      </w:r>
    </w:p>
    <w:p>
      <w:pPr>
        <w:ind w:left="340" w:right="200" w:hanging="332"/>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Total revenue for the quarter ended September 30, 2025 was $110.3 million, compared to $98.2 million in total revenue during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2024, primarily reflecting increased IBSRELA revenue, offset by a decline in XPHOZAH revenue.</w:t>
      </w:r>
    </w:p>
    <w:p>
      <w:pPr>
        <w:ind w:left="1300" w:hanging="45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revenue was $78.2 million, compared to $40.6 million during the same period of 2024.</w:t>
      </w:r>
    </w:p>
    <w:p>
      <w:pPr>
        <w:spacing w:after="0" w:line="9" w:lineRule="exact"/>
        <w:rPr>
          <w:rFonts w:ascii="Times New Roman" w:cs="Times New Roman" w:eastAsia="Times New Roman" w:hAnsi="Times New Roman"/>
          <w:sz w:val="18"/>
          <w:szCs w:val="18"/>
          <w:color w:val="auto"/>
        </w:rPr>
      </w:pPr>
    </w:p>
    <w:p>
      <w:pPr>
        <w:ind w:left="1300" w:right="100" w:hanging="450"/>
        <w:spacing w:after="0" w:line="250" w:lineRule="auto"/>
        <w:tabs>
          <w:tab w:leader="none" w:pos="128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XPHOZAH revenue was $27.4 million, compared to $51.5 million during the same period of 2024. The year-over-year decline in revenue is due to the loss of Part D coverage for Medicare patients following the transition of oral only therapies into the Medicare End-Stage Renal Disease Prospective Payment System on January 1, 2025.</w:t>
      </w:r>
    </w:p>
    <w:p>
      <w:pPr>
        <w:spacing w:after="0" w:line="1" w:lineRule="exact"/>
        <w:rPr>
          <w:rFonts w:ascii="Times New Roman" w:cs="Times New Roman" w:eastAsia="Times New Roman" w:hAnsi="Times New Roman"/>
          <w:sz w:val="18"/>
          <w:szCs w:val="18"/>
          <w:color w:val="auto"/>
        </w:rPr>
      </w:pPr>
    </w:p>
    <w:p>
      <w:pPr>
        <w:ind w:left="1300" w:hanging="45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product supply revenue was recorded in the current quarter, compared to $5.3 million during the same period of 2024.</w:t>
      </w:r>
    </w:p>
    <w:p>
      <w:pPr>
        <w:spacing w:after="0" w:line="9" w:lineRule="exact"/>
        <w:rPr>
          <w:rFonts w:ascii="Times New Roman" w:cs="Times New Roman" w:eastAsia="Times New Roman" w:hAnsi="Times New Roman"/>
          <w:sz w:val="18"/>
          <w:szCs w:val="18"/>
          <w:color w:val="auto"/>
        </w:rPr>
      </w:pPr>
    </w:p>
    <w:p>
      <w:pPr>
        <w:ind w:left="1300" w:hanging="45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was $25 thousand, compared to $20 thousand during the same period of 2024.</w:t>
      </w:r>
    </w:p>
    <w:p>
      <w:pPr>
        <w:spacing w:after="0" w:line="9" w:lineRule="exact"/>
        <w:rPr>
          <w:rFonts w:ascii="Times New Roman" w:cs="Times New Roman" w:eastAsia="Times New Roman" w:hAnsi="Times New Roman"/>
          <w:sz w:val="18"/>
          <w:szCs w:val="18"/>
          <w:color w:val="auto"/>
        </w:rPr>
      </w:pPr>
    </w:p>
    <w:p>
      <w:pPr>
        <w:ind w:left="1300" w:right="160" w:hanging="450"/>
        <w:spacing w:after="0" w:line="250" w:lineRule="auto"/>
        <w:tabs>
          <w:tab w:leader="none" w:pos="128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royalty and milestone revenue related to the sale of future royalties and commercialization milestones was $4.8 million, compared to $0.8 million during the same period of 2024. The current period includes a $3.4 million commercialization milestone from our partner in Japan, Kyowa Kirin Corp.</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$18.1 million for the quarter ended September 30, 2025, compared to $15.3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September 30, 2024. The increase primarily reflects expenses related to life cycle management. R&amp;D expenses include engagement with scientific communities and pipeline expansion activities, such as the development of RDX10531.</w:t>
      </w:r>
    </w:p>
    <w:p>
      <w:pPr>
        <w:spacing w:after="0" w:line="1" w:lineRule="exact"/>
        <w:rPr>
          <w:rFonts w:ascii="Times New Roman" w:cs="Times New Roman" w:eastAsia="Times New Roman" w:hAnsi="Times New Roman"/>
          <w:sz w:val="18"/>
          <w:szCs w:val="18"/>
          <w:color w:val="auto"/>
        </w:rPr>
      </w:pPr>
    </w:p>
    <w:p>
      <w:pPr>
        <w:ind w:left="340" w:right="100" w:hanging="332"/>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$83.6 million for the quarter ended September 30, 2025, an increase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$65.0 million for the quarter ended September 30, 2024 and consistent with SG&amp;A expenses reported during the second quarter of 2025.</w:t>
      </w:r>
    </w:p>
    <w:p>
      <w:pPr>
        <w:ind w:left="340" w:right="60" w:hanging="332"/>
        <w:spacing w:after="0" w:line="255"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for the quarter ended September 30, 2025 was $1.0 million, or $(0.00) per share, compared to net loss of $0.8 million, or $(0.00)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the quarter ended September 30, 2024. The net loss for the third quarter of 2025 included non-cash revenue of $4.8 million, share-based compensation expense of $12.7 million and non-cash interest expense related to the sale of future royalties of $2.2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 xml:space="preserve">The company will host a conference call today, October 30, 2025, at 4:30 PM ET to discuss today’s announcement. To participate in the conference call, please dial (877) 346-6112 (domestic) or (848) 280-6350 (international) and ask to be joined into the Ardelyx call. A webcast of the call can also be accessed by visiting the Investor page of the company’s website, </w:t>
      </w:r>
      <w:r>
        <w:rPr>
          <w:rFonts w:ascii="Times New Roman" w:cs="Times New Roman" w:eastAsia="Times New Roman" w:hAnsi="Times New Roman"/>
          <w:sz w:val="17"/>
          <w:szCs w:val="17"/>
          <w:u w:val="single" w:color="auto"/>
          <w:color w:val="0000FF"/>
        </w:rPr>
        <w:t>https://ir.ardelyx.com/</w:t>
      </w:r>
      <w:r>
        <w:rPr>
          <w:rFonts w:ascii="Times New Roman" w:cs="Times New Roman" w:eastAsia="Times New Roman" w:hAnsi="Times New Roman"/>
          <w:sz w:val="17"/>
          <w:szCs w:val="17"/>
          <w:color w:val="auto"/>
        </w:rPr>
        <w:t>, and will be available on the website for 30 days following the call.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0575" cy="796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796925"/>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WARNING: RISK OF SERIOUS DEHYDRATION IN PEDIATRIC PATIENTS</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IBSRELA is contraindicated in patients less than 6 years of age; in nonclinical studies in young juvenile rats administration of tenapanor caused deaths</w:t>
      </w:r>
    </w:p>
    <w:p>
      <w:pPr>
        <w:spacing w:after="0" w:line="117" w:lineRule="exact"/>
        <w:rPr>
          <w:sz w:val="20"/>
          <w:szCs w:val="20"/>
          <w:color w:val="auto"/>
        </w:rPr>
      </w:pPr>
    </w:p>
    <w:p>
      <w:pPr>
        <w:ind w:left="40" w:right="40"/>
        <w:spacing w:after="0" w:line="391" w:lineRule="auto"/>
        <w:rPr>
          <w:sz w:val="20"/>
          <w:szCs w:val="20"/>
          <w:color w:val="auto"/>
        </w:rPr>
      </w:pPr>
      <w:r>
        <w:rPr>
          <w:rFonts w:ascii="Times New Roman" w:cs="Times New Roman" w:eastAsia="Times New Roman" w:hAnsi="Times New Roman"/>
          <w:sz w:val="18"/>
          <w:szCs w:val="18"/>
          <w:color w:val="auto"/>
        </w:rPr>
        <w:t>presumed to be due to dehydration. Avoid use of IBSRELA in patients 6 years to less than 12 years of age. The safety and effectiveness of IBSRELA have not been established in patients less than 18 years of age.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less than 6 years of age due to the risk of serious dehydration.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with known or suspected mechanical gastrointestinal obstruction.</w:t>
      </w:r>
    </w:p>
    <w:p>
      <w:pPr>
        <w:sectPr>
          <w:pgSz w:w="11900" w:h="16838" w:orient="portrait"/>
          <w:cols w:equalWidth="0" w:num="1">
            <w:col w:w="11220"/>
          </w:cols>
          <w:pgMar w:left="320" w:top="142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200025</wp:posOffset>
            </wp:positionV>
            <wp:extent cx="172275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Serious Dehydration in Pediatric Patients</w:t>
      </w:r>
    </w:p>
    <w:p>
      <w:pPr>
        <w:spacing w:after="0" w:line="9" w:lineRule="exact"/>
        <w:rPr>
          <w:sz w:val="20"/>
          <w:szCs w:val="20"/>
          <w:color w:val="auto"/>
        </w:rPr>
      </w:pPr>
    </w:p>
    <w:p>
      <w:pPr>
        <w:ind w:left="660" w:right="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1" w:lineRule="exact"/>
        <w:rPr>
          <w:rFonts w:ascii="Times New Roman" w:cs="Times New Roman" w:eastAsia="Times New Roman" w:hAnsi="Times New Roman"/>
          <w:sz w:val="18"/>
          <w:szCs w:val="18"/>
          <w:color w:val="auto"/>
        </w:rPr>
      </w:pPr>
    </w:p>
    <w:p>
      <w:pPr>
        <w:jc w:val="both"/>
        <w:ind w:left="660" w:right="24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IBSRELA (tenapanor) is indicated for the treatment of Irritable Bowel Syndrome with Constipation (IBS-C) in adults.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Please see full </w:t>
      </w:r>
      <w:r>
        <w:rPr>
          <w:rFonts w:ascii="Times New Roman" w:cs="Times New Roman" w:eastAsia="Times New Roman" w:hAnsi="Times New Roman"/>
          <w:sz w:val="18"/>
          <w:szCs w:val="18"/>
          <w:b w:val="1"/>
          <w:bCs w:val="1"/>
          <w:u w:val="single" w:color="auto"/>
          <w:color w:val="0000FF"/>
        </w:rPr>
        <w:t>Prescribing Information</w:t>
      </w:r>
      <w:r>
        <w:rPr>
          <w:rFonts w:ascii="Times New Roman" w:cs="Times New Roman" w:eastAsia="Times New Roman" w:hAnsi="Times New Roman"/>
          <w:sz w:val="18"/>
          <w:szCs w:val="18"/>
          <w:b w:val="1"/>
          <w:bCs w:val="1"/>
          <w:color w:val="auto"/>
          <w:highlight w:val="white"/>
        </w:rPr>
        <w:t>, including Boxed Warning, for additional risk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 (XPHOZAH)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XPHOZAH is contraindicated in:</w:t>
      </w:r>
    </w:p>
    <w:p>
      <w:pPr>
        <w:spacing w:after="0" w:line="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Pediatric patients under 6 years of 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known or suspected mechanical gastrointestinal obstruction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may experience severe diarrhea. Treatment with XPHOZAH should be discontinued in patients who develop severe diarrhea.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safety information, please see full </w:t>
      </w:r>
      <w:r>
        <w:rPr>
          <w:rFonts w:ascii="Times New Roman" w:cs="Times New Roman" w:eastAsia="Times New Roman" w:hAnsi="Times New Roman"/>
          <w:sz w:val="18"/>
          <w:szCs w:val="18"/>
          <w:u w:val="single" w:color="auto"/>
          <w:color w:val="0000FF"/>
        </w:rPr>
        <w:t>Prescribing Information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3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and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as well as early-stage pipeline candidates. The company is developing RDX10531, a next-generation NHE3 inhibitor with potential application across multiple therapeutic areas. Ardelyx has agreements for the development and commercialization of tenapanor outside of the U.S. Kyowa Kirin commercializes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hyperphosphatemia in Japan. A New Drug Application for tenapanor for hyperphosphatemia has been approved in China</w:t>
      </w:r>
    </w:p>
    <w:p>
      <w:pPr>
        <w:sectPr>
          <w:pgSz w:w="11900" w:h="16838" w:orient="portrait"/>
          <w:cols w:equalWidth="0" w:num="1">
            <w:col w:w="11200"/>
          </w:cols>
          <w:pgMar w:left="320" w:top="1427" w:right="37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 xml:space="preserve">with Fosun Pharma. Knight Therapeutics commercializes IBSRELA in Canada. For more information, please visit </w:t>
      </w:r>
      <w:r>
        <w:rPr>
          <w:rFonts w:ascii="Times New Roman" w:cs="Times New Roman" w:eastAsia="Times New Roman" w:hAnsi="Times New Roman"/>
          <w:sz w:val="18"/>
          <w:szCs w:val="18"/>
          <w:u w:val="single" w:color="auto"/>
          <w:color w:val="0000FF"/>
        </w:rPr>
        <w:t>https://ardelyx.com/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0000FF"/>
        </w:rPr>
        <w:t>X (formerly known as 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Facebook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net product sales revenue for IBSRELA for the full year 2025; and the potential for RDX10531 to have broad application across multiple therapeutic areas. Such forward-looking statements involve known and unknown risks, uncertainties and other factors that are in some cases beyond our control, that could cause actual outcomes or results to differ materially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October 30, 2025, and its future current and periodic reports to be filed with the Securities and Exchange Commission.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Lowie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clowie@ardelyx.com</w:t>
      </w:r>
    </w:p>
    <w:p>
      <w:pPr>
        <w:sectPr>
          <w:pgSz w:w="11900" w:h="16838" w:orient="portrait"/>
          <w:cols w:equalWidth="0" w:num="1">
            <w:col w:w="11240"/>
          </w:cols>
          <w:pgMar w:left="320" w:top="1255"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3" w:lineRule="exact"/>
        <w:rPr>
          <w:sz w:val="20"/>
          <w:szCs w:val="20"/>
          <w:color w:val="auto"/>
        </w:rPr>
      </w:pPr>
    </w:p>
    <w:p>
      <w:pPr>
        <w:ind w:left="120" w:right="1200"/>
        <w:spacing w:after="0" w:line="266" w:lineRule="auto"/>
        <w:rPr>
          <w:sz w:val="20"/>
          <w:szCs w:val="20"/>
          <w:color w:val="auto"/>
        </w:rPr>
      </w:pPr>
      <w:r>
        <w:rPr>
          <w:rFonts w:ascii="Times New Roman" w:cs="Times New Roman" w:eastAsia="Times New Roman" w:hAnsi="Times New Roman"/>
          <w:sz w:val="18"/>
          <w:szCs w:val="18"/>
          <w:color w:val="auto"/>
        </w:rPr>
        <w:t>Prepaid commercial manufacturing Inventory</w:t>
      </w:r>
    </w:p>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and other assets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58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-836930</wp:posOffset>
            </wp:positionV>
            <wp:extent cx="172275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2755" cy="394335"/>
                    </a:xfrm>
                    <a:prstGeom prst="rect">
                      <a:avLst/>
                    </a:prstGeom>
                    <a:noFill/>
                  </pic:spPr>
                </pic:pic>
              </a:graphicData>
            </a:graphic>
          </wp:anchor>
        </w:drawing>
      </w:r>
    </w:p>
    <w:p>
      <w:pPr>
        <w:spacing w:after="0" w:line="11"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21"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26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20"/>
                <w:szCs w:val="20"/>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2"/>
        </w:trPr>
        <w:tc>
          <w:tcPr>
            <w:tcW w:w="1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45"/>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42,715</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64,932</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185,168</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57,705</w:t>
            </w:r>
          </w:p>
        </w:tc>
      </w:tr>
      <w:tr>
        <w:trPr>
          <w:trHeight w:val="230"/>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91,184</w:t>
            </w:r>
          </w:p>
        </w:tc>
      </w:tr>
      <w:tr>
        <w:trPr>
          <w:trHeight w:val="229"/>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30"/>
        </w:trPr>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34"/>
        </w:trPr>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22,225</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486,170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435,754</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-1499235</wp:posOffset>
            </wp:positionV>
            <wp:extent cx="7115175"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-1207770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-916305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-624840</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-333375</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60" w:space="720"/>
            <w:col w:w="6620"/>
          </w:cols>
          <w:pgMar w:left="340" w:top="1251" w:right="359" w:bottom="1440" w:gutter="0" w:footer="0" w:header="0"/>
        </w:sectPr>
      </w:pPr>
    </w:p>
    <w:tbl>
      <w:tblPr>
        <w:tblLayout w:type="fixed"/>
        <w:tblInd w:w="0" w:type="dxa"/>
        <w:tblCellMar>
          <w:top w:w="0" w:type="dxa"/>
          <w:left w:w="0" w:type="dxa"/>
          <w:bottom w:w="0" w:type="dxa"/>
          <w:right w:w="0" w:type="dxa"/>
        </w:tblCellMar>
      </w:tblPr>
      <w:tr>
        <w:trPr>
          <w:trHeight w:val="210"/>
        </w:trPr>
        <w:tc>
          <w:tcPr>
            <w:tcW w:w="7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r>
      <w:tr>
        <w:trPr>
          <w:trHeight w:val="229"/>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30"/>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r>
      <w:tr>
        <w:trPr>
          <w:trHeight w:val="229"/>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w:t>
            </w:r>
          </w:p>
        </w:tc>
      </w:tr>
      <w:tr>
        <w:trPr>
          <w:trHeight w:val="230"/>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202,138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150,853</w:t>
            </w: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r>
      <w:tr>
        <w:trPr>
          <w:trHeight w:val="230"/>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154,280</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173,289</w:t>
            </w:r>
          </w:p>
        </w:tc>
      </w:tr>
      <w:tr>
        <w:trPr>
          <w:trHeight w:val="248"/>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486,170</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180" w:hanging="161"/>
        <w:spacing w:after="0"/>
        <w:tabs>
          <w:tab w:leader="none" w:pos="18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Derived from the audited financial statements included in the Company’s Annual Report on Form 10-K for the year ended December 31, 2024.</w:t>
      </w:r>
    </w:p>
    <w:p>
      <w:pPr>
        <w:sectPr>
          <w:pgSz w:w="11900" w:h="16838" w:orient="portrait"/>
          <w:cols w:equalWidth="0" w:num="1">
            <w:col w:w="11200"/>
          </w:cols>
          <w:pgMar w:left="340" w:top="1251"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0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IBSRELA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104,444</w:t>
            </w:r>
          </w:p>
        </w:tc>
      </w:tr>
      <w:tr>
        <w:trPr>
          <w:trHeight w:val="229"/>
        </w:trPr>
        <w:tc>
          <w:tcPr>
            <w:tcW w:w="5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XPHOZAH</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103,749</w:t>
            </w:r>
          </w:p>
        </w:tc>
      </w:tr>
      <w:tr>
        <w:trPr>
          <w:trHeight w:val="223"/>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208,193</w:t>
            </w:r>
          </w:p>
        </w:tc>
      </w:tr>
      <w:tr>
        <w:trPr>
          <w:trHeight w:val="229"/>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supply revenue</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Licensing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3"/>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217,486</w:t>
            </w: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30"/>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28,159</w:t>
            </w:r>
          </w:p>
        </w:tc>
      </w:tr>
      <w:tr>
        <w:trPr>
          <w:trHeight w:val="223"/>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38,651</w:t>
            </w:r>
          </w:p>
        </w:tc>
      </w:tr>
      <w:tr>
        <w:trPr>
          <w:trHeight w:val="230"/>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182,618</w:t>
            </w:r>
          </w:p>
        </w:tc>
      </w:tr>
      <w:tr>
        <w:trPr>
          <w:trHeight w:val="223"/>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221,269</w:t>
            </w:r>
          </w:p>
        </w:tc>
      </w:tr>
      <w:tr>
        <w:trPr>
          <w:trHeight w:val="223"/>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w:t>
            </w: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(43,781)</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 - basic and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Shares used in computing net loss per share - basic and diluted</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241,908,407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235,911,399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240,165,744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234,516,305</w:t>
            </w: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2025-10-30T15:27:50Z</dcterms:created>
  <dcterms:modified xsi:type="dcterms:W3CDTF">2025-10-30T15:27:50Z</dcterms:modified>
</cp:coreProperties>
</file>