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296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-5080</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ARDELYX,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400" w:type="dxa"/>
        <w:tblCellMar>
          <w:top w:w="0" w:type="dxa"/>
          <w:left w:w="0" w:type="dxa"/>
          <w:bottom w:w="0" w:type="dxa"/>
          <w:right w:w="0" w:type="dxa"/>
        </w:tblCellMar>
      </w:tblPr>
      <w:tr>
        <w:trPr>
          <w:trHeight w:val="214"/>
        </w:trPr>
        <w:tc>
          <w:tcPr>
            <w:tcW w:w="4620" w:type="dxa"/>
            <w:vAlign w:val="bottom"/>
          </w:tcPr>
          <w:p>
            <w:pPr>
              <w:jc w:val="center"/>
              <w:ind w:right="156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600" w:type="dxa"/>
            <w:vAlign w:val="bottom"/>
          </w:tcPr>
          <w:p>
            <w:pPr>
              <w:jc w:val="center"/>
              <w:ind w:left="1582"/>
              <w:spacing w:after="0"/>
              <w:rPr>
                <w:sz w:val="20"/>
                <w:szCs w:val="20"/>
                <w:color w:val="auto"/>
              </w:rPr>
            </w:pPr>
            <w:r>
              <w:rPr>
                <w:rFonts w:ascii="Times New Roman" w:cs="Times New Roman" w:eastAsia="Times New Roman" w:hAnsi="Times New Roman"/>
                <w:sz w:val="18"/>
                <w:szCs w:val="18"/>
                <w:b w:val="1"/>
                <w:bCs w:val="1"/>
                <w:color w:val="auto"/>
                <w:w w:val="98"/>
              </w:rPr>
              <w:t>26-1303944</w:t>
            </w:r>
          </w:p>
        </w:tc>
      </w:tr>
      <w:tr>
        <w:trPr>
          <w:trHeight w:val="149"/>
        </w:trPr>
        <w:tc>
          <w:tcPr>
            <w:tcW w:w="4620" w:type="dxa"/>
            <w:vAlign w:val="bottom"/>
          </w:tcPr>
          <w:p>
            <w:pPr>
              <w:jc w:val="center"/>
              <w:ind w:right="15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00" w:type="dxa"/>
            <w:vAlign w:val="bottom"/>
          </w:tcPr>
          <w:p>
            <w:pPr>
              <w:jc w:val="center"/>
              <w:ind w:left="15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20" w:type="dxa"/>
            <w:vAlign w:val="bottom"/>
          </w:tcPr>
          <w:p>
            <w:pPr>
              <w:jc w:val="center"/>
              <w:ind w:right="1562"/>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600" w:type="dxa"/>
            <w:vAlign w:val="bottom"/>
          </w:tcPr>
          <w:p>
            <w:pPr>
              <w:jc w:val="center"/>
              <w:ind w:left="15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34175 Ardenwood Boulevard, Suite 200</w:t>
      </w:r>
    </w:p>
    <w:p>
      <w:pPr>
        <w:spacing w:after="0" w:line="3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Fremont, California 94555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(510) 745-1700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2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2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2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22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52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78" w:lineRule="exact"/>
        <w:rPr>
          <w:sz w:val="24"/>
          <w:szCs w:val="24"/>
          <w:color w:val="auto"/>
        </w:rPr>
      </w:pPr>
    </w:p>
    <w:p>
      <w:pPr>
        <w:ind w:right="220"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issued and outstanding shares of the registrant’s Common Stock, $0.0001 par value per share, as of August 2, 2017 was 47,445,139.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266"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20" w:type="dxa"/>
            <w:vAlign w:val="bottom"/>
            <w:gridSpan w:val="12"/>
            <w:vMerge w:val="restart"/>
          </w:tcPr>
          <w:p>
            <w:pPr>
              <w:jc w:val="center"/>
              <w:ind w:right="3760"/>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PAGE</w:t>
            </w: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20" w:type="dxa"/>
            <w:vAlign w:val="bottom"/>
            <w:gridSpan w:val="12"/>
            <w:vMerge w:val="continue"/>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9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Item 1. Condensed Consolidated Financial Statements:</w:t>
              </w:r>
            </w:hyperlink>
          </w:p>
        </w:tc>
        <w:tc>
          <w:tcPr>
            <w:tcW w:w="200" w:type="dxa"/>
            <w:vAlign w:val="bottom"/>
          </w:tcPr>
          <w:p>
            <w:pPr>
              <w:spacing w:after="0"/>
              <w:rPr>
                <w:sz w:val="24"/>
                <w:szCs w:val="24"/>
                <w:color w:val="auto"/>
              </w:rPr>
            </w:pPr>
          </w:p>
        </w:tc>
        <w:tc>
          <w:tcPr>
            <w:tcW w:w="3060" w:type="dxa"/>
            <w:vAlign w:val="bottom"/>
            <w:tcBorders>
              <w:top w:val="single" w:sz="8" w:color="0000EE"/>
            </w:tcBorders>
            <w:gridSpan w:val="7"/>
          </w:tcPr>
          <w:p>
            <w:pPr>
              <w:spacing w:after="0"/>
              <w:rPr>
                <w:sz w:val="24"/>
                <w:szCs w:val="24"/>
                <w:color w:val="auto"/>
              </w:rPr>
            </w:pPr>
          </w:p>
        </w:tc>
        <w:tc>
          <w:tcPr>
            <w:tcW w:w="376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00" w:type="dxa"/>
            <w:vAlign w:val="bottom"/>
            <w:gridSpan w:val="21"/>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June 30, 2017 (unaudited) and December 31, 2016</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8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and six months ended June 30, 2017 and 2016 (unaudited)</w:t>
              </w:r>
            </w:hyperlink>
          </w:p>
        </w:tc>
        <w:tc>
          <w:tcPr>
            <w:tcW w:w="17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00" w:type="dxa"/>
            <w:vAlign w:val="bottom"/>
            <w:gridSpan w:val="21"/>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Loss for the three and six months ended June 30, 2017 and 2016 (unaudited)</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5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six months ended June 30, 2017 and 2016 (unaudited)</w:t>
              </w:r>
            </w:hyperlink>
          </w:p>
        </w:tc>
        <w:tc>
          <w:tcPr>
            <w:tcW w:w="10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1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 (unaudited)</w:t>
              </w:r>
            </w:hyperlink>
          </w:p>
        </w:tc>
        <w:tc>
          <w:tcPr>
            <w:tcW w:w="244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2"/>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3. Quantitative and Qualitative Disclosures About Market Risk</w:t>
              </w:r>
            </w:hyperlink>
          </w:p>
        </w:tc>
        <w:tc>
          <w:tcPr>
            <w:tcW w:w="2120" w:type="dxa"/>
            <w:vAlign w:val="bottom"/>
            <w:tcBorders>
              <w:top w:val="single" w:sz="8" w:color="0000EE"/>
            </w:tcBorders>
            <w:gridSpan w:val="2"/>
          </w:tcPr>
          <w:p>
            <w:pPr>
              <w:spacing w:after="0"/>
              <w:rPr>
                <w:sz w:val="17"/>
                <w:szCs w:val="17"/>
                <w:color w:val="auto"/>
              </w:rPr>
            </w:pPr>
          </w:p>
        </w:tc>
        <w:tc>
          <w:tcPr>
            <w:tcW w:w="392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0980" w:type="dxa"/>
            <w:vAlign w:val="bottom"/>
            <w:gridSpan w:val="22"/>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4. Controls and Procedures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4"/>
        </w:trPr>
        <w:tc>
          <w:tcPr>
            <w:tcW w:w="3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5"/>
          </w:tcPr>
          <w:p>
            <w:pPr>
              <w:jc w:val="center"/>
              <w:spacing w:after="0"/>
              <w:rPr>
                <w:rFonts w:ascii="Times New Roman" w:cs="Times New Roman" w:eastAsia="Times New Roman" w:hAnsi="Times New Roman"/>
                <w:sz w:val="18"/>
                <w:szCs w:val="18"/>
                <w:b w:val="1"/>
                <w:bCs w:val="1"/>
                <w:color w:val="0000EE"/>
                <w:w w:val="99"/>
              </w:rPr>
            </w:pPr>
            <w:hyperlink w:anchor="page20">
              <w:r>
                <w:rPr>
                  <w:rFonts w:ascii="Times New Roman" w:cs="Times New Roman" w:eastAsia="Times New Roman" w:hAnsi="Times New Roman"/>
                  <w:sz w:val="18"/>
                  <w:szCs w:val="18"/>
                  <w:b w:val="1"/>
                  <w:bCs w:val="1"/>
                  <w:color w:val="0000EE"/>
                  <w:w w:val="99"/>
                </w:rPr>
                <w:t>PART II. OTHER INFORMATION</w:t>
              </w:r>
            </w:hyperlink>
          </w:p>
        </w:tc>
        <w:tc>
          <w:tcPr>
            <w:tcW w:w="390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Item 1. Legal Proceedings</w:t>
              </w:r>
            </w:hyperlink>
          </w:p>
        </w:tc>
        <w:tc>
          <w:tcPr>
            <w:tcW w:w="908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Item 1A. Risk Factors</w:t>
              </w:r>
            </w:hyperlink>
          </w:p>
        </w:tc>
        <w:tc>
          <w:tcPr>
            <w:tcW w:w="938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Item 2. Unregistered Sales of Equity Securities and Use of Proceeds</w:t>
              </w:r>
            </w:hyperlink>
          </w:p>
        </w:tc>
        <w:tc>
          <w:tcPr>
            <w:tcW w:w="606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0980" w:type="dxa"/>
            <w:vAlign w:val="bottom"/>
            <w:gridSpan w:val="22"/>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3. Defaults Upon Senior Securities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Item 4. Mine Safety Disclosures</w:t>
              </w:r>
            </w:hyperlink>
          </w:p>
        </w:tc>
        <w:tc>
          <w:tcPr>
            <w:tcW w:w="540" w:type="dxa"/>
            <w:vAlign w:val="bottom"/>
            <w:tcBorders>
              <w:top w:val="single" w:sz="8" w:color="0000EE"/>
            </w:tcBorders>
          </w:tcPr>
          <w:p>
            <w:pPr>
              <w:spacing w:after="0"/>
              <w:rPr>
                <w:sz w:val="17"/>
                <w:szCs w:val="17"/>
                <w:color w:val="auto"/>
              </w:rPr>
            </w:pPr>
          </w:p>
        </w:tc>
        <w:tc>
          <w:tcPr>
            <w:tcW w:w="810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Item 5. Other Information</w:t>
              </w:r>
            </w:hyperlink>
          </w:p>
        </w:tc>
        <w:tc>
          <w:tcPr>
            <w:tcW w:w="910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0980" w:type="dxa"/>
            <w:vAlign w:val="bottom"/>
            <w:gridSpan w:val="22"/>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6. Exhibits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Signatures</w:t>
              </w:r>
            </w:hyperlink>
          </w:p>
        </w:tc>
        <w:tc>
          <w:tcPr>
            <w:tcW w:w="982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gridSpan w:val="2"/>
          </w:tcPr>
          <w:p>
            <w:pPr>
              <w:spacing w:after="0"/>
              <w:rPr>
                <w:sz w:val="24"/>
                <w:szCs w:val="24"/>
                <w:color w:val="auto"/>
              </w:rPr>
            </w:pPr>
          </w:p>
        </w:tc>
        <w:tc>
          <w:tcPr>
            <w:tcW w:w="6300" w:type="dxa"/>
            <w:vAlign w:val="bottom"/>
            <w:gridSpan w:val="13"/>
          </w:tcPr>
          <w:p>
            <w:pPr>
              <w:jc w:val="right"/>
              <w:ind w:right="13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5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ARDELYX, INC.</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5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5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63,636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85,088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153,945</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164,122</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11,076</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18,388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19,144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19,980</w:t>
            </w:r>
          </w:p>
        </w:tc>
        <w:tc>
          <w:tcPr>
            <w:tcW w:w="0" w:type="dxa"/>
            <w:vAlign w:val="bottom"/>
          </w:tcPr>
          <w:p>
            <w:pPr>
              <w:spacing w:after="0"/>
              <w:rPr>
                <w:sz w:val="1"/>
                <w:szCs w:val="1"/>
                <w:color w:val="auto"/>
              </w:rPr>
            </w:pPr>
          </w:p>
        </w:tc>
      </w:tr>
      <w:tr>
        <w:trPr>
          <w:trHeight w:val="223"/>
        </w:trPr>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26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5,000,000 shares authorized as of June 30, 2017 and December 31, 2016,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respectively; no shares issued and outstanding as of June 30, 2017 and December 31, 2016, respectively.</w:t>
            </w:r>
          </w:p>
        </w:tc>
        <w:tc>
          <w:tcPr>
            <w:tcW w:w="10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26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as of June 30, 2017 and December 31, 2016,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 47,442,639 and 47,309,422 shares issued and outstanding as of June 30, 2017 and December 31, 2016,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412,617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9"/>
              </w:rPr>
              <w:t>(267,604)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144,978</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164,122</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0"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Derived from the audited financial statements included in the Company’s Annual Report on Form 10-K for the year ended December 31, 2016.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20,572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42,960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11,892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26,418</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(26,418)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(25,721)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(25,721)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(28,613)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(53,729)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(52,082)</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2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number of common shares used in computing net loss per</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 basic and diluted</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8"/>
              </w:rPr>
              <w:t>47,403,243</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34,636,559</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47,373,404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34,051,785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1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7"/>
              </w:rPr>
              <w:t>(25,721)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7"/>
              </w:rPr>
              <w:t>(28,613)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(53,729)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7"/>
              </w:rPr>
              <w:t>(52,082)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available-for-sale securities, net of tax</w:t>
            </w:r>
          </w:p>
        </w:tc>
        <w:tc>
          <w:tcPr>
            <w:tcW w:w="1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(25,712)</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(28,613)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(52,082)</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95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78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loss</w:t>
            </w:r>
          </w:p>
        </w:tc>
        <w:tc>
          <w:tcPr>
            <w:tcW w:w="2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$(53,729)</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 (52,082)</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Depreciation expense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325</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20" w:type="dxa"/>
            <w:vAlign w:val="bottom"/>
          </w:tcPr>
          <w:p>
            <w:pPr>
              <w:spacing w:after="0"/>
              <w:rPr>
                <w:sz w:val="18"/>
                <w:szCs w:val="18"/>
                <w:color w:val="auto"/>
              </w:rPr>
            </w:pPr>
          </w:p>
        </w:tc>
        <w:tc>
          <w:tcPr>
            <w:tcW w:w="77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Amortization of deferred compensation for services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Amortization of premium on investment securities</w:t>
            </w:r>
          </w:p>
        </w:tc>
        <w:tc>
          <w:tcPr>
            <w:tcW w:w="2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7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(3,163)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Accounts payable</w:t>
            </w:r>
          </w:p>
        </w:tc>
        <w:tc>
          <w:tcPr>
            <w:tcW w:w="2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w:t>
            </w:r>
          </w:p>
        </w:tc>
      </w:tr>
      <w:tr>
        <w:trPr>
          <w:trHeight w:val="216"/>
        </w:trPr>
        <w:tc>
          <w:tcPr>
            <w:tcW w:w="20" w:type="dxa"/>
            <w:vAlign w:val="bottom"/>
          </w:tcPr>
          <w:p>
            <w:pPr>
              <w:spacing w:after="0"/>
              <w:rPr>
                <w:sz w:val="18"/>
                <w:szCs w:val="18"/>
                <w:color w:val="auto"/>
              </w:rPr>
            </w:pPr>
          </w:p>
        </w:tc>
        <w:tc>
          <w:tcPr>
            <w:tcW w:w="77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(562)</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5,089</w:t>
            </w:r>
          </w:p>
        </w:tc>
      </w:tr>
      <w:tr>
        <w:trPr>
          <w:trHeight w:val="230"/>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(50,849)</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2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75,434</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Sales of short-term investments</w:t>
            </w:r>
          </w:p>
        </w:tc>
        <w:tc>
          <w:tcPr>
            <w:tcW w:w="2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10,482</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(44,748)</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(1,907)</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(495)</w:t>
            </w:r>
          </w:p>
        </w:tc>
      </w:tr>
      <w:tr>
        <w:trPr>
          <w:trHeight w:val="230"/>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39,261</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18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80,837</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Proceeds from issuance of common stock under stock plans</w:t>
            </w:r>
          </w:p>
        </w:tc>
        <w:tc>
          <w:tcPr>
            <w:tcW w:w="2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626</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r>
      <w:tr>
        <w:trPr>
          <w:trHeight w:val="230"/>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(10,962)</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39,665</w:t>
            </w: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18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74,598</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107,004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$ 63,636</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146,669</w:t>
            </w: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BASIS OF PRESENTATION</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Ardelyx, Inc., or “the Company,” is focused on enhancing the way patients with cardiorenal and gastrointestinal, or GI, diseases are treated by using the gut as the gateway to delivering medicines that matter. The Company has pioneered the development of small molecule therapeutics that act predominantly in the GI tract, thereby avoiding potentially negative side effects on the rest of the body. The Company’s strategy is to evolve from a research and development-focused company to an integrated biotechnology company, by establishing regional and global partnerships to leverage its own commercial capabilities and experience to help build its cardiorenal and GI portfolios. The Company is developing several products and programs focused on underserved medical needs including the following: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Cardiorenal Portfolio</w:t>
      </w:r>
    </w:p>
    <w:p>
      <w:pPr>
        <w:spacing w:after="0" w:line="131" w:lineRule="exact"/>
        <w:rPr>
          <w:sz w:val="20"/>
          <w:szCs w:val="20"/>
          <w:color w:val="auto"/>
        </w:rPr>
      </w:pPr>
    </w:p>
    <w:p>
      <w:pPr>
        <w:ind w:left="900" w:right="58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Tenapanor: Phase 3 for treatment of end-stage renal disease, or ESRD, patients on dialysis suffering from elevated serum phosphorous, or hyperphosphatemia</w:t>
      </w:r>
    </w:p>
    <w:p>
      <w:pPr>
        <w:spacing w:after="0" w:line="67"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RDX7675: Phase 3 to treat patients with hyperkalemia, a severe disorder of elevated serum potassium common in patients with chronic kidney disease, or CKD, and/or heart failure</w:t>
      </w:r>
    </w:p>
    <w:p>
      <w:pPr>
        <w:spacing w:after="0" w:line="67"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Programs: Development of unique, small-molecule approaches to treat hyperkalemia to improve efficacy and compliance significantly reducing pill burden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Gastrointestinal Portfolio</w:t>
      </w:r>
    </w:p>
    <w:p>
      <w:pPr>
        <w:spacing w:after="0" w:line="131" w:lineRule="exact"/>
        <w:rPr>
          <w:sz w:val="20"/>
          <w:szCs w:val="20"/>
          <w:color w:val="auto"/>
        </w:rPr>
      </w:pPr>
    </w:p>
    <w:p>
      <w:pPr>
        <w:ind w:left="900" w:right="12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Tenapanor: Phase 3 clinical development for treatment of patients with irritable bowel syndrome with constipation, or IBS-C, a highly prevalent disorder with symptoms of both constipation and abdominal pain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RDX8940: Investigational New Drug Application, or IND, filed in late 2016 for various indications</w:t>
      </w:r>
    </w:p>
    <w:p>
      <w:pPr>
        <w:spacing w:after="0" w:line="130" w:lineRule="exact"/>
        <w:rPr>
          <w:rFonts w:ascii="Times New Roman" w:cs="Times New Roman" w:eastAsia="Times New Roman" w:hAnsi="Times New Roman"/>
          <w:sz w:val="18"/>
          <w:szCs w:val="18"/>
          <w:color w:val="auto"/>
        </w:rPr>
      </w:pPr>
    </w:p>
    <w:p>
      <w:pPr>
        <w:ind w:left="900" w:right="400" w:hanging="325"/>
        <w:spacing w:after="0" w:line="313"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Programs: Gut biased farnesoid X receptor, or FXR, agonists for the treatment of various GI disorders, and efforts that leverage its knowledge of the mechanisms of tenapanor in order to discover new agents that modulate transport of ions and other processes in the gut.</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operates in only one business segment, which is the development of biopharmaceutical products.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and the related footnote information of the Company have been prepared pursuant to the requirements of the Securities and Exchange Commission, or the SEC, for interim reporting. As permitted under those rules and regulations, certain footnotes or other financial information that are normally required by U.S. generally accepted accounting principles, or U.S. GAAP, have been condensed or omitted pursuant to such rules and regulations. In the opinion of the Company’s management, the accompanying interim unaudited condensed consolidated financial statements include all adjustments (consisting only of normal recurring adjustments) necessary for a fair presentation of the information for the periods presented. The results for the three and six months ended June 30, 2017 are not necessarily indicative of results to be expected for the entire year ending December 31, 2017 or future operating periods.</w:t>
      </w:r>
    </w:p>
    <w:p>
      <w:pPr>
        <w:spacing w:after="0" w:line="18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financial information should be read in conjunction with the audited financial statements and the related notes thereto for the year ended December 31, 2016, included in the Company’s Annual Report on Form 10-K filed with the SEC (the “2016 Form 10-K”). The balance sheet at December 31, 2016 has been derived from the audited financial statements at that date, as filed with the 2016 Form 10-K.</w:t>
      </w:r>
    </w:p>
    <w:p>
      <w:pPr>
        <w:spacing w:after="0" w:line="180" w:lineRule="exact"/>
        <w:rPr>
          <w:sz w:val="20"/>
          <w:szCs w:val="20"/>
          <w:color w:val="auto"/>
        </w:rPr>
      </w:pPr>
    </w:p>
    <w:p>
      <w:pPr>
        <w:ind w:right="380" w:firstLine="456"/>
        <w:spacing w:after="0" w:line="313"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of Ardelyx, Inc. and its wholly-owned subsidiary, Ardelyx Cayman Islands, and have been prepared in accordance with U.S. GAAP. Intercompany transactions and balances have been eliminated in consolidation.</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condensed consolidated financial statements and accompanying notes. Although management believes these estimates are based upon reasonable assumptions within the bounds of its knowledge of the Company’s business and operations, actual results could differ materially from those estimates.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its financial statements, the Company is required to estimate its accrued expenses. This process involves reviewing open contracts and purchase orders, communicating with its personnel to identify services that have been performed on its behalf and estimating the level of service performed and the associated cost incurred for the service when the Company has not yet been invoiced or otherwise notified of the actual cost. The majority of the Company’s service providers submit its monthly invoices in arrears for services performed or when contractual milestones are met. The Company makes estimates of its accrued expenses as of each balance sheet date in its financial statements based on facts and circumstances known to the Company at that time. The Company periodically confirms the accuracy of its estimates with the service providers and makes adjustments if necessary. Examples of estimated accrued research and development expenses include fees paid to:</w:t>
      </w:r>
    </w:p>
    <w:p>
      <w:pPr>
        <w:spacing w:after="0" w:line="95"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research organizations (“CROs”) in connection with clinical studies;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investigative sites in connection with clinical studies;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development and distribution of clinical supplies;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development activities.</w:t>
      </w:r>
    </w:p>
    <w:p>
      <w:pPr>
        <w:spacing w:after="0" w:line="225"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Company records expenses related to clinical studies and manufacturing development activities based on its estimates of the services received and efforts expended pursuant to contracts with multiple CROs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trial milestones. In accruing service fees, the Company estimates the time period over which services will be performed, enrollment of subjects, number of sites activated and the level of effort to be expended in each period. If the actual timing of the performance of services or the level of effort varies from the Company’s estimate, the Company will adjust the accrued or prepaid expense balance accordingly. To date, there have been no material differences from the Company’s estimates to the amounts actually incurred.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(“ASU 2014-09”), which requires an entity to recognize the amount of revenue to which it expects to be entitled for the transfer of promised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goods or services to customers. ASU 2014-09 will replace most existing revenue recognition guidance in U.S. GAAP when it becomes effective. In July 2015, the FASB voted to approve a deferral of the effective date of this ASU by one year, and to permit entities to adopt up to one year earlier if they choose. Therefore, the new standard will become effective for the Company on January 1, 2018 and early application is permitted for periods beginning on or after January 1, 2017. The standard permits the use of either the modified retrospective or cumulative effect transition method. Since the issuance of ASU 2014-09, the FASB has issued several amendments which clarify certain points in the new Topic 606 </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including ASU 2016-08 (“Principal versus Agent Considerations—Reporting Revenue Gross versus Net”), ASU 2016-10 (“Identifying Performance Obligations and Licensing”), ASU 2016-11 (“Rescission of SEC Guidance Because of Accounting Standards Updates 2014-09 and 2014-16 Pursuant to Staff Announcements at the March 3, 2016 EITF Meeting”) and ASU 2016-12 (“Narrow-Scope Improvements and Practical Expedients”). The Company plans to adopt all these standards on January 1, 2018. The Company plans to modify its accounting policies to reflect the requirements of these standards and plans to select the modified retrospective transition method. The Company did not recognize revenue for the three and six months ended June 30, 2017 and June 30, 2016, and therefore, the planned adoption of this standard will not affect the Company’s condensed consolidated financial statements and related disclosures for these periods or future periods until the Company reports revenues.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replaces most current lease guidance when it becomes effective. This standard update intends to increase the transparency and improve comparability by requiring entities to recognize assets and liabilities on the balance sheet for all leases, with certain exceptions. The new standard states that a lessee will recognize a lease liability for the obligation to make lease payments and a right-of-use asset for the right to use the underlying asset for the lease term. Leases will be classified as either finance or operating, with classification affecting the pattern of expense recognition in the consolidated statements of operations. The new guidance will be effective for the Company starting in the first quarter of fiscal 2019. Early adoption is permitted. The Company is currently evaluating the timing of adoption and the effect that the new guidance will have on its consolidated financial statements and related disclosures.</w:t>
      </w:r>
    </w:p>
    <w:p>
      <w:pPr>
        <w:spacing w:after="0" w:line="18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October 2016, the FASB issued ASU No. 2016-16, </w:t>
      </w:r>
      <w:r>
        <w:rPr>
          <w:rFonts w:ascii="Times New Roman" w:cs="Times New Roman" w:eastAsia="Times New Roman" w:hAnsi="Times New Roman"/>
          <w:sz w:val="18"/>
          <w:szCs w:val="18"/>
          <w:i w:val="1"/>
          <w:iCs w:val="1"/>
          <w:color w:val="auto"/>
        </w:rPr>
        <w:t>Income Taxes: Intra-Entity Transfers of Assets Other Than Inventory</w:t>
      </w:r>
      <w:r>
        <w:rPr>
          <w:rFonts w:ascii="Times New Roman" w:cs="Times New Roman" w:eastAsia="Times New Roman" w:hAnsi="Times New Roman"/>
          <w:sz w:val="18"/>
          <w:szCs w:val="18"/>
          <w:color w:val="auto"/>
        </w:rPr>
        <w:t xml:space="preserve"> (ASU 2016-16). This update is to improve the accounting for the income tax consequences of intra-entity transfers of assets other than inventory. ASU 2016-16 amends the guidance to recognize the income tax consequences of an intra-entity transfer of an asset other than inventory when the transfer occurs. Consequently, the amendments in this update eliminate the exception for an intra-entity transfer of an asset other than inventory. The amendments in this update do not include new disclosure requirements; however, existing disclosure requirements might be applicable when accounting for the current and deferred income taxes for an intra-entity transfer of an asset other than inventory. ASU 2016-16 is effective for our interim and annual reporting periods during the year ending December 31, 2018, and all annual and interim reporting periods thereafter. Early adoption is permitted. The adoption of ASU 2016-16 is not expected to have a material effect on the Company’s condensed consolidated financial statements.</w:t>
      </w:r>
    </w:p>
    <w:p>
      <w:pPr>
        <w:spacing w:after="0" w:line="185"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May 2017, FASB issued ASU No. 2017-09, </w:t>
      </w:r>
      <w:r>
        <w:rPr>
          <w:rFonts w:ascii="Times New Roman" w:cs="Times New Roman" w:eastAsia="Times New Roman" w:hAnsi="Times New Roman"/>
          <w:sz w:val="18"/>
          <w:szCs w:val="18"/>
          <w:i w:val="1"/>
          <w:iCs w:val="1"/>
          <w:color w:val="auto"/>
        </w:rPr>
        <w:t>Compensation-Stock Compensation (Topic 718)- Scope of Modification Accounting</w:t>
      </w:r>
      <w:r>
        <w:rPr>
          <w:rFonts w:ascii="Times New Roman" w:cs="Times New Roman" w:eastAsia="Times New Roman" w:hAnsi="Times New Roman"/>
          <w:sz w:val="18"/>
          <w:szCs w:val="18"/>
          <w:color w:val="auto"/>
        </w:rPr>
        <w:t xml:space="preserve"> (ASU 2017- 09). The amendments included in this update provide guidance about which changes to the terms or conditions of a share-based payment award require an entity to apply modification accounting. The amendments in this update will be applied prospectively to an award modified on or after the adoption date. The amendments in ASU 2017-09 are effective for fiscal years, and interim periods within those fiscal years, beginning after December 15, 2017. The adoption of this standard is not expected to have a material impact on the Company’s condensed consolidated financial statements.</w:t>
      </w:r>
    </w:p>
    <w:p>
      <w:pPr>
        <w:spacing w:after="0" w:line="182"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The Company has reviewed all other significant newly-issued accounting pronouncements and concluded that they either are not applicable to the Company’s operations or no material effect is expected on its condensed consolidated financial statements as a result of future adoption.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CASH, CASH EQUIVALENTS AND INVESTMENTS</w:t>
      </w:r>
    </w:p>
    <w:p>
      <w:pPr>
        <w:spacing w:after="0" w:line="121"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Securities classified as cash, cash equivalents and short-term investments as of June 30, 2017 and December 31, 2016 are summarized below (in thousands). Estimated fair value is based on quoted market prices for these investments.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060" w:type="dxa"/>
            <w:vAlign w:val="bottom"/>
          </w:tcPr>
          <w:p>
            <w:pPr>
              <w:spacing w:after="0"/>
              <w:rPr>
                <w:sz w:val="12"/>
                <w:szCs w:val="12"/>
                <w:color w:val="auto"/>
              </w:rPr>
            </w:pPr>
          </w:p>
        </w:tc>
        <w:tc>
          <w:tcPr>
            <w:tcW w:w="8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2"/>
                <w:szCs w:val="12"/>
                <w:color w:val="auto"/>
              </w:rPr>
            </w:pPr>
          </w:p>
        </w:tc>
        <w:tc>
          <w:tcPr>
            <w:tcW w:w="1660" w:type="dxa"/>
            <w:vAlign w:val="bottom"/>
            <w:gridSpan w:val="7"/>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7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60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12"/>
                <w:szCs w:val="12"/>
                <w:color w:val="auto"/>
              </w:rPr>
            </w:pPr>
          </w:p>
        </w:tc>
        <w:tc>
          <w:tcPr>
            <w:tcW w:w="7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8,290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8,290</w:t>
            </w:r>
          </w:p>
        </w:tc>
      </w:tr>
      <w:tr>
        <w:trPr>
          <w:trHeight w:val="216"/>
        </w:trPr>
        <w:tc>
          <w:tcPr>
            <w:tcW w:w="7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54,249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54,249</w:t>
            </w:r>
          </w:p>
        </w:tc>
      </w:tr>
      <w:tr>
        <w:trPr>
          <w:trHeight w:val="216"/>
        </w:trPr>
        <w:tc>
          <w:tcPr>
            <w:tcW w:w="7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1,097</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1,097</w:t>
            </w:r>
          </w:p>
        </w:tc>
      </w:tr>
      <w:tr>
        <w:trPr>
          <w:trHeight w:val="27"/>
        </w:trPr>
        <w:tc>
          <w:tcPr>
            <w:tcW w:w="7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63,636</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63,636</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42,782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42,756</w:t>
            </w:r>
          </w:p>
        </w:tc>
      </w:tr>
      <w:tr>
        <w:trPr>
          <w:trHeight w:val="216"/>
        </w:trPr>
        <w:tc>
          <w:tcPr>
            <w:tcW w:w="7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24,399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24,395</w:t>
            </w:r>
          </w:p>
        </w:tc>
      </w:tr>
      <w:tr>
        <w:trPr>
          <w:trHeight w:val="216"/>
        </w:trPr>
        <w:tc>
          <w:tcPr>
            <w:tcW w:w="7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17,947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17,937</w:t>
            </w:r>
          </w:p>
        </w:tc>
      </w:tr>
      <w:tr>
        <w:trPr>
          <w:trHeight w:val="230"/>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85,128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85,088</w:t>
            </w:r>
          </w:p>
        </w:tc>
        <w:tc>
          <w:tcPr>
            <w:tcW w:w="60" w:type="dxa"/>
            <w:vAlign w:val="bottom"/>
          </w:tcPr>
          <w:p>
            <w:pPr>
              <w:spacing w:after="0"/>
              <w:rPr>
                <w:sz w:val="20"/>
                <w:szCs w:val="20"/>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148,764</w:t>
            </w:r>
          </w:p>
        </w:tc>
        <w:tc>
          <w:tcPr>
            <w:tcW w:w="5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148,724</w:t>
            </w:r>
          </w:p>
        </w:tc>
      </w:tr>
      <w:tr>
        <w:trPr>
          <w:trHeight w:val="20"/>
        </w:trPr>
        <w:tc>
          <w:tcPr>
            <w:tcW w:w="7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7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7060" w:type="dxa"/>
            <w:vAlign w:val="bottom"/>
          </w:tcPr>
          <w:p>
            <w:pPr>
              <w:spacing w:after="0"/>
              <w:rPr>
                <w:sz w:val="12"/>
                <w:szCs w:val="12"/>
                <w:color w:val="auto"/>
              </w:rPr>
            </w:pPr>
          </w:p>
        </w:tc>
        <w:tc>
          <w:tcPr>
            <w:tcW w:w="8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2"/>
                <w:szCs w:val="12"/>
                <w:color w:val="auto"/>
              </w:rPr>
            </w:pPr>
          </w:p>
        </w:tc>
        <w:tc>
          <w:tcPr>
            <w:tcW w:w="1660" w:type="dxa"/>
            <w:vAlign w:val="bottom"/>
            <w:gridSpan w:val="7"/>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7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60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12"/>
                <w:szCs w:val="12"/>
                <w:color w:val="auto"/>
              </w:rPr>
            </w:pPr>
          </w:p>
        </w:tc>
        <w:tc>
          <w:tcPr>
            <w:tcW w:w="7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3,638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3,638</w:t>
            </w:r>
          </w:p>
        </w:tc>
      </w:tr>
      <w:tr>
        <w:trPr>
          <w:trHeight w:val="216"/>
        </w:trPr>
        <w:tc>
          <w:tcPr>
            <w:tcW w:w="7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68,561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68,561</w:t>
            </w:r>
          </w:p>
        </w:tc>
      </w:tr>
      <w:tr>
        <w:trPr>
          <w:trHeight w:val="216"/>
        </w:trPr>
        <w:tc>
          <w:tcPr>
            <w:tcW w:w="7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2,399</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2,399</w:t>
            </w:r>
          </w:p>
        </w:tc>
      </w:tr>
      <w:tr>
        <w:trPr>
          <w:trHeight w:val="27"/>
        </w:trPr>
        <w:tc>
          <w:tcPr>
            <w:tcW w:w="7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74,598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74,598</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58,464</w:t>
            </w:r>
          </w:p>
        </w:tc>
        <w:tc>
          <w:tcPr>
            <w:tcW w:w="5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58,410</w:t>
            </w:r>
          </w:p>
        </w:tc>
      </w:tr>
      <w:tr>
        <w:trPr>
          <w:trHeight w:val="216"/>
        </w:trPr>
        <w:tc>
          <w:tcPr>
            <w:tcW w:w="7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62,946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62,931</w:t>
            </w:r>
          </w:p>
        </w:tc>
      </w:tr>
      <w:tr>
        <w:trPr>
          <w:trHeight w:val="216"/>
        </w:trPr>
        <w:tc>
          <w:tcPr>
            <w:tcW w:w="7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4,886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4,884</w:t>
            </w:r>
          </w:p>
        </w:tc>
      </w:tr>
      <w:tr>
        <w:trPr>
          <w:trHeight w:val="230"/>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126,296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126,225</w:t>
            </w:r>
          </w:p>
        </w:tc>
        <w:tc>
          <w:tcPr>
            <w:tcW w:w="60" w:type="dxa"/>
            <w:vAlign w:val="bottom"/>
          </w:tcPr>
          <w:p>
            <w:pPr>
              <w:spacing w:after="0"/>
              <w:rPr>
                <w:sz w:val="20"/>
                <w:szCs w:val="20"/>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200,894</w:t>
            </w:r>
          </w:p>
        </w:tc>
        <w:tc>
          <w:tcPr>
            <w:tcW w:w="5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200,823</w:t>
            </w:r>
          </w:p>
        </w:tc>
      </w:tr>
      <w:tr>
        <w:trPr>
          <w:trHeight w:val="20"/>
        </w:trPr>
        <w:tc>
          <w:tcPr>
            <w:tcW w:w="7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Cash equivalents consist of money market funds and commercial paper with original maturities of three months or less at the time of purchase, and the carrying amount is a reasonable approximation of fair value. The Company invests its cash in high quality securities of financial and commercial institutions. These securities are carried at fair value, which is based on readily available market information, with unrealized gains and losses included in “accumulated other comprehensive gain (loss)” within stockholders’ equity on the Company’s condensed consolidated balance sheets. The Company uses the specific identification method to determine the amount of realized gains or losses on sales of marketable securities. Realized gains or losses have been insignificant and are included in “other income, net” in the consolidated condensed statement of operations.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40"/>
          </w:cols>
          <w:pgMar w:left="240" w:top="455" w:right="31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All available-for-sale securities held as of June 30, 2017 had contractual maturities of less than one year. Investments that have maturities beyond one year as of the end of the reporting period are classified as non-current. The Company’s available-for-sale securities are subject to a periodic impairment review. The Company considers a debt security to be impaired when its fair value is less than its carrying cost, in which case the Company would further review the investment to determine whether it is other-than-temporarily impaired. When the Company evaluates an investment for other-than-temporary impairment, the Company reviews factors such as the length of time and extent to which fair value has been below cost basis, the financial condition of the issuer and any changes thereto, intent to sell, and whether it is more likely than not the Company will be required to sell the investment before the recovery of it cost basis. If an investment is other-than-temporarily impaired, the Company writes it down through the statement of operations to its fair value and establishes that value as a new cost basis for the investment. The Company did not identify any of its available-for-sale securities as other-than-temporarily impaired in any of the periods presented. As of June 30, 2017, no investment was in a continuous unrealized loss position for more than one year, the unrealized losses were not due to a change in credit risk, and the Company believes that is more likely than not the investments will be held until maturity or a forecasted recovery of fair value.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three-level hierarchy for the inputs to valuation techniques is briefly summarized as follows:</w:t>
      </w:r>
    </w:p>
    <w:p>
      <w:pPr>
        <w:sectPr>
          <w:pgSz w:w="11900" w:h="16838" w:orient="portrait"/>
          <w:cols w:equalWidth="0" w:num="1">
            <w:col w:w="11420"/>
          </w:cols>
          <w:pgMar w:left="240" w:top="455" w:right="239" w:bottom="1440" w:gutter="0" w:footer="0" w:header="0"/>
        </w:sectPr>
      </w:pP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480" w:hanging="219"/>
        <w:spacing w:after="0" w:line="266"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Valuations are based on quoted prices in active markets for identical assets or liabilities and readily accessible by the Company at the reporting date. Examples of assets and liabilities utilizing Level 1 inputs are certain money market funds, U.S. Treasuries and trading securities with quoted prices on active markets.</w:t>
      </w:r>
    </w:p>
    <w:p>
      <w:pPr>
        <w:spacing w:after="0" w:line="68" w:lineRule="exact"/>
        <w:rPr>
          <w:sz w:val="20"/>
          <w:szCs w:val="20"/>
          <w:color w:val="auto"/>
        </w:rPr>
      </w:pPr>
    </w:p>
    <w:p>
      <w:pPr>
        <w:sectPr>
          <w:pgSz w:w="11900" w:h="16838" w:orient="portrait"/>
          <w:cols w:equalWidth="0" w:num="2">
            <w:col w:w="1020" w:space="600"/>
            <w:col w:w="9800"/>
          </w:cols>
          <w:pgMar w:left="240" w:top="455"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Level 2</w:t>
      </w:r>
    </w:p>
    <w:p>
      <w:pPr>
        <w:spacing w:after="0" w:line="20" w:lineRule="exact"/>
        <w:rPr>
          <w:sz w:val="20"/>
          <w:szCs w:val="20"/>
          <w:color w:val="auto"/>
        </w:rPr>
      </w:pPr>
      <w:r>
        <w:rPr>
          <w:sz w:val="20"/>
          <w:szCs w:val="20"/>
          <w:color w:val="auto"/>
        </w:rPr>
        <w:br w:type="column"/>
      </w:r>
    </w:p>
    <w:p>
      <w:pPr>
        <w:ind w:right="560" w:hanging="219"/>
        <w:spacing w:after="0" w:line="258"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Examples of assets and liabilities utilizing Level 2 inputs are U.S. government agency bonds, corporate bonds, commercial paper, certificates of deposit and over-the-counter derivatives.</w:t>
      </w:r>
    </w:p>
    <w:p>
      <w:pPr>
        <w:spacing w:after="0" w:line="76" w:lineRule="exact"/>
        <w:rPr>
          <w:sz w:val="20"/>
          <w:szCs w:val="20"/>
          <w:color w:val="auto"/>
        </w:rPr>
      </w:pPr>
    </w:p>
    <w:p>
      <w:pPr>
        <w:sectPr>
          <w:pgSz w:w="11900" w:h="16838" w:orient="portrait"/>
          <w:cols w:equalWidth="0" w:num="2">
            <w:col w:w="1020" w:space="600"/>
            <w:col w:w="9800"/>
          </w:cols>
          <w:pgMar w:left="240" w:top="455"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Level 3</w:t>
      </w:r>
    </w:p>
    <w:p>
      <w:pPr>
        <w:spacing w:after="0" w:line="20" w:lineRule="exact"/>
        <w:rPr>
          <w:sz w:val="20"/>
          <w:szCs w:val="20"/>
          <w:color w:val="auto"/>
        </w:rPr>
      </w:pPr>
      <w:r>
        <w:rPr>
          <w:sz w:val="20"/>
          <w:szCs w:val="20"/>
          <w:color w:val="auto"/>
        </w:rPr>
        <w:br w:type="column"/>
      </w:r>
    </w:p>
    <w:p>
      <w:pPr>
        <w:ind w:right="480" w:hanging="2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Valuations based on unobservable inputs in which there is little or no market data, which require the Company to develop its own assumptions.</w:t>
      </w:r>
    </w:p>
    <w:p>
      <w:pPr>
        <w:spacing w:after="0" w:line="94" w:lineRule="exact"/>
        <w:rPr>
          <w:sz w:val="20"/>
          <w:szCs w:val="20"/>
          <w:color w:val="auto"/>
        </w:rPr>
      </w:pPr>
    </w:p>
    <w:p>
      <w:pPr>
        <w:sectPr>
          <w:pgSz w:w="11900" w:h="16838" w:orient="portrait"/>
          <w:cols w:equalWidth="0" w:num="2">
            <w:col w:w="1020" w:space="600"/>
            <w:col w:w="9800"/>
          </w:cols>
          <w:pgMar w:left="240" w:top="455"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measured on a recurring basis by level within the fair value hierarchy (in thousands):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2"/>
                <w:szCs w:val="12"/>
                <w:color w:val="auto"/>
              </w:rPr>
            </w:pPr>
          </w:p>
        </w:tc>
        <w:tc>
          <w:tcPr>
            <w:tcW w:w="9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60" w:type="dxa"/>
            <w:vAlign w:val="bottom"/>
          </w:tcPr>
          <w:p>
            <w:pPr>
              <w:spacing w:after="0"/>
              <w:rPr>
                <w:sz w:val="12"/>
                <w:szCs w:val="12"/>
                <w:color w:val="auto"/>
              </w:rPr>
            </w:pPr>
          </w:p>
        </w:tc>
      </w:tr>
      <w:tr>
        <w:trPr>
          <w:trHeight w:val="196"/>
        </w:trPr>
        <w:tc>
          <w:tcPr>
            <w:tcW w:w="6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54,249</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$54,249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42,756</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42,756</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25,492</w:t>
            </w:r>
          </w:p>
        </w:tc>
        <w:tc>
          <w:tcPr>
            <w:tcW w:w="34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25,492</w:t>
            </w:r>
          </w:p>
        </w:tc>
        <w:tc>
          <w:tcPr>
            <w:tcW w:w="1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17,937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17,937</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140,434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54,249</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6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2"/>
                <w:szCs w:val="12"/>
                <w:color w:val="auto"/>
              </w:rPr>
            </w:pPr>
          </w:p>
        </w:tc>
        <w:tc>
          <w:tcPr>
            <w:tcW w:w="9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60" w:type="dxa"/>
            <w:vAlign w:val="bottom"/>
          </w:tcPr>
          <w:p>
            <w:pPr>
              <w:spacing w:after="0"/>
              <w:rPr>
                <w:sz w:val="12"/>
                <w:szCs w:val="12"/>
                <w:color w:val="auto"/>
              </w:rPr>
            </w:pPr>
          </w:p>
        </w:tc>
      </w:tr>
      <w:tr>
        <w:trPr>
          <w:trHeight w:val="196"/>
        </w:trPr>
        <w:tc>
          <w:tcPr>
            <w:tcW w:w="6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68,561</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$68,561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58,410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58,410</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65,330</w:t>
            </w:r>
          </w:p>
        </w:tc>
        <w:tc>
          <w:tcPr>
            <w:tcW w:w="34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65,330</w:t>
            </w:r>
          </w:p>
        </w:tc>
        <w:tc>
          <w:tcPr>
            <w:tcW w:w="1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4,884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4,884</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197,185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68,561</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128,624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Where quoted prices are available in an active market, securities are classified as Level 1. The Company classifies money market funds as Level 1. When quoted market prices are not available for the specific security, then the Company estimates fair value by using benchmark yields, reported trades, broker/dealer quotes, and issuer spreads. The Company classifies corporate bonds, commercial paper and asset-backed securities as Level 2. In certain cases where there is limited activity or less transparency around inputs to valuation, securities are classified as Level 3. There were no transfers between Level 1 and Level 2 during the periods presented.</w:t>
      </w:r>
    </w:p>
    <w:p>
      <w:pPr>
        <w:spacing w:after="0" w:line="184"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balance sheets for cash equivalents, short-term investments, prepaid expenses and other current assets, accounts payable and accrued expenses approximate their fair values at June 30, 2017 and December 31, 2016, due to their short-term nature.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STOCK-BASED COMPENSATION</w:t>
      </w:r>
    </w:p>
    <w:p>
      <w:pPr>
        <w:spacing w:after="0" w:line="121" w:lineRule="exact"/>
        <w:rPr>
          <w:sz w:val="20"/>
          <w:szCs w:val="20"/>
          <w:color w:val="auto"/>
        </w:rPr>
      </w:pPr>
    </w:p>
    <w:p>
      <w:pPr>
        <w:ind w:right="140" w:firstLine="456"/>
        <w:spacing w:after="0" w:line="313" w:lineRule="auto"/>
        <w:rPr>
          <w:sz w:val="20"/>
          <w:szCs w:val="20"/>
          <w:color w:val="auto"/>
        </w:rPr>
      </w:pPr>
      <w:r>
        <w:rPr>
          <w:rFonts w:ascii="Times New Roman" w:cs="Times New Roman" w:eastAsia="Times New Roman" w:hAnsi="Times New Roman"/>
          <w:sz w:val="17"/>
          <w:szCs w:val="17"/>
          <w:color w:val="auto"/>
        </w:rPr>
        <w:t>The following table presents stock-based compensation expense recognized for stock options, restricted stock units, or RSUs, performance-based restricted stock units, or PRSUs, and the Company’s employee stock purchase program, or ESPP, in the Company’s statements of operations (in thousands):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6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4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46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$ 1,414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$2,445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605</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2,454</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1,170</w:t>
            </w:r>
          </w:p>
        </w:tc>
      </w:tr>
      <w:tr>
        <w:trPr>
          <w:trHeight w:val="27"/>
        </w:trPr>
        <w:tc>
          <w:tcPr>
            <w:tcW w:w="46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$ 2,790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1,286</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4,899</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2,476</w:t>
            </w:r>
          </w:p>
        </w:tc>
      </w:tr>
      <w:tr>
        <w:trPr>
          <w:trHeight w:val="20"/>
        </w:trPr>
        <w:tc>
          <w:tcPr>
            <w:tcW w:w="4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January 2017, the Company granted PRSU awards to certain employees which vest upon the achievement of certain performance conditions, subject to the employees’ continued service relationship with the Company. None vested during the three and six months ended June 30, 2017. However, the related compensation cost is recognized as an expense over the estimated vesting period when achievement of the milestone is considered probable. The expense recognized for these awards is based on the grant date fair value of the Company’s common stock multiplied by the number of units granted. The Company recognized $0.6 million of related expense during the three and six months ended June 30, 2017.</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45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At June 30, 2017, the Company had $20.2 million, $1.8 million, $1.6 million and $0.1 million of total unrecognized compensation expense, net of estimated forfeitures, related to stock option grants, RSU grants, PRSUs and ESPP, respectively, that will be recognized over an average vesting period of 3.0 years, 2.2 years, 1.3 years and 0.2 years,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NET LOSS PER SHARE</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shares of common stock outstanding during the period. Diluted net loss per common share is computed giving effect to all potential dilutive common shares, including common stock issuable upon exercise of stock options, and unvested restricted common stock and stock units. The Company uses the treasury-stock method to compute diluted earnings per share with respect to its stock options and common stock equivalents. For purposes of this calculation, options to purchase stock are considered to be potential common shares and are only included in the calculation of diluted net loss per share when their effect is dilutive. Basic and diluted loss per share are calculated as follows (in thousands, except share and per share data):</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4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(25,721)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(28,613)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(53,729)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(52,082)</w:t>
            </w:r>
          </w:p>
        </w:tc>
      </w:tr>
      <w:tr>
        <w:trPr>
          <w:trHeight w:val="20"/>
        </w:trPr>
        <w:tc>
          <w:tcPr>
            <w:tcW w:w="4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58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5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basic and diluted</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47,403,243</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34,636,559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47,373,404</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34,051,785</w:t>
            </w:r>
          </w:p>
        </w:tc>
        <w:tc>
          <w:tcPr>
            <w:tcW w:w="100" w:type="dxa"/>
            <w:vAlign w:val="bottom"/>
          </w:tcPr>
          <w:p>
            <w:pPr>
              <w:spacing w:after="0"/>
              <w:rPr>
                <w:sz w:val="20"/>
                <w:szCs w:val="20"/>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4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456"/>
        <w:spacing w:after="0" w:line="289" w:lineRule="auto"/>
        <w:rPr>
          <w:sz w:val="20"/>
          <w:szCs w:val="20"/>
          <w:color w:val="auto"/>
        </w:rPr>
      </w:pPr>
      <w:r>
        <w:rPr>
          <w:rFonts w:ascii="Times New Roman" w:cs="Times New Roman" w:eastAsia="Times New Roman" w:hAnsi="Times New Roman"/>
          <w:sz w:val="17"/>
          <w:szCs w:val="17"/>
          <w:color w:val="auto"/>
        </w:rPr>
        <w:t>For the three and six months ended June 30, 2017, the total number of anti-dilutive outstanding common stock equivalents excluded from the net loss per common share computation was 6.6 million and 6.4 million, respectively. For the three and six months ended June 30, 2016, the total number of anti-dilutive outstanding common stock equivalents excluded from the net loss per common share computation was 4.7 million and 4.6 million,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AND OTHER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liabilities and other liabilities consist of the following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760" w:type="dxa"/>
            <w:vAlign w:val="bottom"/>
            <w:tcBorders>
              <w:bottom w:val="single" w:sz="8" w:color="CCEEFF"/>
            </w:tcBorders>
          </w:tcPr>
          <w:p>
            <w:pPr>
              <w:spacing w:after="0"/>
              <w:rPr>
                <w:sz w:val="15"/>
                <w:szCs w:val="15"/>
                <w:color w:val="auto"/>
              </w:rPr>
            </w:pPr>
          </w:p>
        </w:tc>
        <w:tc>
          <w:tcPr>
            <w:tcW w:w="29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clinical and non-clinical expenses</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manufacturing</w:t>
            </w: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and consulting services</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11,076</w:t>
            </w: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900" w:type="dxa"/>
            <w:vAlign w:val="bottom"/>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5" w:right="3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Exercises</w:t>
      </w:r>
    </w:p>
    <w:p>
      <w:pPr>
        <w:spacing w:after="0" w:line="121"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2017, employees exercised options to purchase 9,025 and 28,326 shares, respectively, of the Company’s common stock with insignificant net proceeds to the Company. For the three and six months ended June 30, 2016, employees exercised options to purchase zero and 6,250 shares, respectively, of the Company’s common stock with insignificant net proceeds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2017, the Company issued zero and 15,188 shares, respectively, of the Company’s common stock due to vesting of restricted stock units. For the three and six ended June 30, 2016, the Company issued zero shares of the Company’s common stock due to vesting of restricted stock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In February 2017, the Company sold 42,845 shares under the ESPP. The shares were purchased at a purchase price of $8.77 per share with proceeds to the Company of approximately $0.4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for Services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2017, the Company issued 46,858 shares of common stock in exchange for services performed. The shares issued were valued at $0.2 million based on the fair value of the common stock on the date of grant. For the three and six months ended June 30, 2016, the Company issued 20,118 shares of common stock in exchange for services performed. The shares issued were valued at $0.2 million based on the fair value of the common stock on the date of grant.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In August 2017, we announced a corporate restructuring plan that included the immediate reduction of approximately 28% of our workforce, primarily including research and certain development and general administrative personnel. As a result, we expect to record restructuring charges in the third quarter for one-time employee severance benefits and related costs totaling approximately $0.8 million. The majority of the charges are expected to be paid by the end of the third quarter ending September 30, 2017.</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condensed consolidated financial statements and notes thereto included elsewhere in this report and with the audited consolidated financial statements and related notes thereto included as part of our Annual Report on Form 10-K for the year ended December 31, 2016. This discussion and analysis and other parts of this report contain forward- 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ARDELYX</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We are focused on enhancing the way patients with cardiorenal and gastrointestinal, or GI, diseases are treated by using the gut as the gateway to delivering medicines that matter. We have pioneered the development of small molecule therapeutics that act predominantly in the GI tract, thereby avoiding potentially negative side effects on the rest of the body.</w:t>
      </w:r>
    </w:p>
    <w:p>
      <w:pPr>
        <w:spacing w:after="0" w:line="176"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Our strategy is to evolve from a research and development-focused company to an integrated biotechnology company, by establishing regional and global partnerships to leverage our own commercial capabilities and experience to help build our cardiorenal and GI portfolios. We are developing several products and programs focused on underserved medical needs including the following: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Cardiorenal Portfolio</w:t>
      </w:r>
    </w:p>
    <w:p>
      <w:pPr>
        <w:spacing w:after="0" w:line="131" w:lineRule="exact"/>
        <w:rPr>
          <w:sz w:val="20"/>
          <w:szCs w:val="20"/>
          <w:color w:val="auto"/>
        </w:rPr>
      </w:pPr>
    </w:p>
    <w:p>
      <w:pPr>
        <w:ind w:left="900" w:right="98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Tenapanor: Phase 3 clinical development for treatment of ESRD patients on dialysis suffering from elevated serum phosphorous, or hyperphosphatemia</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RDX7675: Phase 3 clinical development for the treatment of patients with hyperkalemia, a severe disorder of elevated serum potassium common in patients with CKD and/or heart failure</w:t>
      </w:r>
    </w:p>
    <w:p>
      <w:pPr>
        <w:spacing w:after="0" w:line="67" w:lineRule="exact"/>
        <w:rPr>
          <w:rFonts w:ascii="Times New Roman" w:cs="Times New Roman" w:eastAsia="Times New Roman" w:hAnsi="Times New Roman"/>
          <w:sz w:val="18"/>
          <w:szCs w:val="18"/>
          <w:color w:val="auto"/>
        </w:rPr>
      </w:pPr>
    </w:p>
    <w:p>
      <w:pPr>
        <w:ind w:left="900" w:right="78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Programs: Development of unique, small-molecule approaches to treat hyperkalemia to improve efficacy and compliance by significantly reducing pill burden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Gastrointestinal Portfolio</w:t>
      </w:r>
    </w:p>
    <w:p>
      <w:pPr>
        <w:spacing w:after="0" w:line="131" w:lineRule="exact"/>
        <w:rPr>
          <w:sz w:val="20"/>
          <w:szCs w:val="20"/>
          <w:color w:val="auto"/>
        </w:rPr>
      </w:pPr>
    </w:p>
    <w:p>
      <w:pPr>
        <w:ind w:left="900" w:right="20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Tenapanor: Phase 3 clinical development for treatment of patients with IBS-C, a highly prevalent disorder with symptoms of both constipation and abdominal pain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RDX8940: IND filed in late 2016 for various GI indications</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Programs: Gut-biased farnesoid X receptor, or FXR, agonists for the treatment of various GI disorders, and efforts that leverage our knowledge of the mechanisms of tenapanor in order to discover new agents that modulate transport of ions and other processes in the gut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We recognize all research and development expenses as they are incurred to support the discovery, development and manufacturing of our product candidates. Research and development expenses consist of the following:</w:t>
      </w:r>
    </w:p>
    <w:p>
      <w:pPr>
        <w:spacing w:after="0" w:line="67" w:lineRule="exact"/>
        <w:rPr>
          <w:sz w:val="20"/>
          <w:szCs w:val="20"/>
          <w:color w:val="auto"/>
        </w:rPr>
      </w:pPr>
    </w:p>
    <w:p>
      <w:pPr>
        <w:ind w:left="900" w:right="320" w:hanging="325"/>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consultants, third-party contract research organizations and investigative sites where a substantial portion of our clinical studies are conducted, and with contract manufacturing organizations where our clinical supplies are produced;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supplies and materials consumed in connection with our research operations;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benefits, travel and stock-based compensation;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associated with regulatory, clinical and non-clinical development activities; and</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60"/>
          </w:cols>
          <w:pgMar w:left="240" w:top="455" w:right="2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54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allocated expenses, which include direct and allocated expenses for rent and maintenance of facilities, depreciation and amortization expense, information technology expense and other supplies.</w:t>
      </w:r>
    </w:p>
    <w:p>
      <w:pPr>
        <w:spacing w:after="0" w:line="162"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We expect to continue to make substantial investments in research and development activities as we progress the development of tenapanor and, RDX7675, as well as our other product candidates, advance our research programs into the preclinical stage and continue our early stage research including further development of our proprietary drug discovery and design platform. The process of conducting preclinical studies and clinical trials necessary to obtain regulatory approval is costly and time consuming. We may never succeed in achieving marketing approval for any of our product candidates. The probability of success of each of the product candidates may be affected by numerous factors, including preclinical data, clinical data, our ability to access capital on acceptable terms, competition, manufacturing capability and commercial viability.</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 and the risks inherent in the development process, we are unable to determine the duration and completion costs of current or future clinical trials of our product candidates or if and to what extent we will generate revenues from the commercialization and sale of any of our product candidates. We anticipate that we will make determinations as to which programs to pursue and how much funding to direct to each program on an ongoing basis in response to the scientific and clinical success of each product candidate, ongoing assessments as to each product candidate’s commercial potential, and our ability to access capital on acceptable terms. We will need to raise additional capital and will seek collaboration partnerships in order to complete the development and commercialization of our product candidates, including tenapanor and RDX7675.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including stock-based compensation and travel expenses, for personnel in executive and other administrative functions. Other general and administrative expenses include facility related costs, communication expenses and professional fees for legal, consulting and accounting services.</w:t>
      </w:r>
    </w:p>
    <w:p>
      <w:pPr>
        <w:spacing w:after="0" w:line="1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continue to be significant as we support the continued development activities, potential commercialization of our product candidates, including tenapanor and RDX7675, and continued costs of operating as a public company. These expenses will likely continue to include costs related to payments to outside consultants, lawyers and accountants, among other expenses. Additionally, if and when we believe a regulatory approval of the first product candidate appears likely, we anticipate an increase in payroll and expense as a result of our preparation for commercial operations, especially as it relates to the sales and marketing of our product candidates.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did not record a provision for income taxes for the three and six months ended June 30, 2017 because we expect to generate a net operating loss for the year ending December 31, 2017. Our deferred tax assets continue to be fully offset by a valuation allowance.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Polices and Estimates</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upon our unaudited condensed consolidated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at the date of the financial statements, as well as the expenses incurred during the reporting periods. Our estimates are based on our historical experience and on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consider certain accounting policies related to research and development expense, accruals and stock-based compensation to be critical policies. There have been no changes to our critical accounting policies since we filed our 2016 Form 10-K with the SEC on February 17, 2017. For a description of our critical accounting policies, please refer to our Form 10-K we filed with the SEC on February 17, 2017.</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Three and six months ended June 30, 2017 and 2016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three and six months ended June 30, 2017 as compared to same periods in the prior year were as follows (in thousands):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2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3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40" w:type="dxa"/>
            <w:vAlign w:val="bottom"/>
            <w:tcBorders>
              <w:top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20,572</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23,838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42,960</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Dollar change from prior year</w:t>
            </w:r>
          </w:p>
        </w:tc>
        <w:tc>
          <w:tcPr>
            <w:tcW w:w="2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(3,266)</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change from prior year</w:t>
            </w:r>
          </w:p>
        </w:tc>
        <w:tc>
          <w:tcPr>
            <w:tcW w:w="2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$20.6 million for the three months ended June 30, 2017, a decrease of $3.3 million, or 14%, compared to $23.8 million for the three months ended June 30, 2016. The decrease consisted of a $5.8 million decrease in our external program costs offset by a $2.5 million increase in our internal program costs.</w:t>
      </w:r>
    </w:p>
    <w:p>
      <w:pPr>
        <w:spacing w:after="0" w:line="176"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decrease in our external program costs of $5.8 million was due to a decrease of $6.3 million in expenses incurred for clinical manufacturing and process development activities, as well as a decrease for clinical development activities related to the completion of some of our Phase 3 clinical trials for tenapanor. In addition, expenses incurred for clinical development activities, clinical manufacturing and process development activities associated with RDX8940 decreased by $0.6 million. These decreases were offset by an increase of $1.1 million in expenses incurred for clinical development activities, clinical manufacturing and process development activities associated with RDX7675.</w:t>
      </w:r>
    </w:p>
    <w:p>
      <w:pPr>
        <w:spacing w:after="0" w:line="184"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increase in our internal costs of $2.5 million was primarily due to an increase in personnel, facilities-related and other costs, primarily related to an increased research and development headcount to support the growth of our research and development activities.</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$43.0 million for the six months ended June 30, 2017, a decrease of $0.1 million, compared to $43.1 million for the six months ended June 30, 2016. The decrease consisted of a $6.0 million decrease in our external program costs offset by a $5.9 million increase in our internal program costs.</w:t>
      </w:r>
    </w:p>
    <w:p>
      <w:pPr>
        <w:spacing w:after="0" w:line="176"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decrease in our external program costs of $6.0 million was due to a decrease of $8.3 million in expenses incurred for clinical manufacturing and process development activities, as well as a decrease for clinical development activities related to the completion of some of our Phase 3 clinical trials for tenapanor. In addition, expenses incurred for clinical development activities, clinical manufacturing and process development activities associated with RDX8940 decreased by $0.4 million. These decreases were offset by an increase of $2.7 million in expenses incurred for clinical development activities, clinical manufacturing and process development activities associated with RDX7675.</w:t>
      </w:r>
    </w:p>
    <w:p>
      <w:pPr>
        <w:spacing w:after="0" w:line="184"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increase in our internal costs of $5.9 million was primarily due to an increase in personnel, facilities-related and other costs, primarily related to an increase in research and development headcount to support the growth of our research and development activities.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40" w:top="455" w:right="29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three and six months ended June 30, 2017 as compared to the same periods in the prior year were as follows (in thousands):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38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Borders>
              <w:top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5,846</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4,852</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Dollar change from prior year</w:t>
            </w:r>
          </w:p>
        </w:tc>
        <w:tc>
          <w:tcPr>
            <w:tcW w:w="2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994</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2,762</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change from prior year</w:t>
            </w:r>
          </w:p>
        </w:tc>
        <w:tc>
          <w:tcPr>
            <w:tcW w:w="2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171"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$5.8 million for the three months ended June 30, 2017, an increase of $1.0 million, or 20%, compared to $4.9 million for the three months ended June 30, 2016. The increase was primarily due to increased personnel and other costs including share-based compensation, as a result of an increase in headcount.</w:t>
      </w:r>
    </w:p>
    <w:p>
      <w:pPr>
        <w:spacing w:after="0" w:line="13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$11.9 million for the six months ended June 30, 2017, an increase of $2.8 million, or 30%, compared to $9.1 million for the six months ended June 30, 2016. The increase was primarily due to increases of $2.2 million in personnel and other costs including share-based compensation as a result of an increase in headcount, and $0.6 million in professional fees for legal and other services.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displays a summary of our cash, cash equivalents and short-term investments as of June 30, 2017 and December 31, 2016 (in thousands):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4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2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74,598</w:t>
            </w:r>
          </w:p>
        </w:tc>
        <w:tc>
          <w:tcPr>
            <w:tcW w:w="6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85,088</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126,225</w:t>
            </w:r>
          </w:p>
        </w:tc>
        <w:tc>
          <w:tcPr>
            <w:tcW w:w="60" w:type="dxa"/>
            <w:vAlign w:val="bottom"/>
          </w:tcPr>
          <w:p>
            <w:pPr>
              <w:spacing w:after="0"/>
              <w:rPr>
                <w:sz w:val="19"/>
                <w:szCs w:val="19"/>
                <w:color w:val="auto"/>
              </w:rPr>
            </w:pPr>
          </w:p>
        </w:tc>
      </w:tr>
      <w:tr>
        <w:trPr>
          <w:trHeight w:val="216"/>
        </w:trPr>
        <w:tc>
          <w:tcPr>
            <w:tcW w:w="42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148,724</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200,823</w:t>
            </w:r>
          </w:p>
        </w:tc>
        <w:tc>
          <w:tcPr>
            <w:tcW w:w="6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Our primary uses of cash are to fund operating expenses, primarily research and development expenditures. Cash used to fund operating expenses is impacted by the timing of when we pay these expenses, as reflected in the change in our outstanding accounts payable and accrued expenses.</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believe that our existing capital resources as of June 30, 2017 will be sufficient to meet our projected operating requirements for at least the next 12 months. We have based this estimate on assumptions, that may prove to be wrong, and we could utilize our available capital resources sooner than we currently expect. Further, our operating plans can change, and we will require significant additional capital to fund our operations, including to support the development, pre-commercialization and commercialization efforts for tenapanor, RDX7675 and RDX8940. We may seek to obtain such additional capital through debt financings, credit facilities, additional equity offerings and/or strategic collaborations. We currently have no credit facility or committed sources of capital, and there can be no assurances that such sources of capital will be available to us when needed or on acceptable terms. Because of the numerous risks and uncertainties associated with the development and commercialization of our product candidates, and the extent to which we may enter into collaboration partnerships with third parties to participate in their development and commercialization, we are unable to estimate the amounts of increased capital outlays and operating expenditures associated with our current and anticipated clinical studies. Our future funding requirements will depend on many factors, including the following:</w:t>
      </w:r>
    </w:p>
    <w:p>
      <w:pPr>
        <w:spacing w:after="0" w:line="92" w:lineRule="exact"/>
        <w:rPr>
          <w:sz w:val="20"/>
          <w:szCs w:val="20"/>
          <w:color w:val="auto"/>
        </w:rPr>
      </w:pPr>
    </w:p>
    <w:p>
      <w:pPr>
        <w:ind w:left="900" w:right="740" w:hanging="325"/>
        <w:spacing w:after="0" w:line="313"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timing, scope, results and costs of our clinical trial programs evaluating tenapanor in IBS-C and for the treatment of hyperphosphatemia in patients with ESRD on dialysis, as well as our decision whether or not to pursue other indications for tenapanor;</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results and costs of our clinical programs for RDX7675 and RDX8940;</w:t>
      </w:r>
    </w:p>
    <w:p>
      <w:pPr>
        <w:spacing w:after="0" w:line="130"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obtain regulatory approvals for our product candidates and the costs of post-marketing studies that could be required by regulatory authorities;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either alone or with one or more collaboration partners;</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costs of our product candidates, and the availability of one or more suppliers for our product candidates at reasonable costs, both for clinical and commercial supply;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60"/>
          </w:cols>
          <w:pgMar w:left="240" w:top="455" w:right="2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64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and marketing costs associated with our product candidates, including the cost and timing of building our sales and marketing capabilities;</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 partnerships to in-license or out-license our current programs or other similar arrangements and the financial terms of such agreements;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our future products, if any;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the availability of adequate third-party reimbursement for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130"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research programs that we decide to pursue or initiate, and any clinical trials we decide to pursue for other product candidates;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 and</w:t>
      </w:r>
    </w:p>
    <w:p>
      <w:pPr>
        <w:spacing w:after="0" w:line="130" w:lineRule="exact"/>
        <w:rPr>
          <w:rFonts w:ascii="Times New Roman" w:cs="Times New Roman" w:eastAsia="Times New Roman" w:hAnsi="Times New Roman"/>
          <w:sz w:val="18"/>
          <w:szCs w:val="18"/>
          <w:color w:val="auto"/>
        </w:rPr>
      </w:pPr>
    </w:p>
    <w:p>
      <w:pPr>
        <w:ind w:left="900" w:right="80" w:hanging="325"/>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(50,849)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(41,149)</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39,261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81,309</w:t>
            </w:r>
          </w:p>
        </w:tc>
        <w:tc>
          <w:tcPr>
            <w:tcW w:w="120" w:type="dxa"/>
            <w:vAlign w:val="bottom"/>
            <w:shd w:val="clear" w:color="auto" w:fill="CCEEFF"/>
          </w:tcPr>
          <w:p>
            <w:pPr>
              <w:spacing w:after="0"/>
              <w:rPr>
                <w:sz w:val="18"/>
                <w:szCs w:val="18"/>
                <w:color w:val="auto"/>
              </w:rPr>
            </w:pP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(10,962</w:t>
            </w: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39,665</w:t>
            </w:r>
          </w:p>
        </w:tc>
        <w:tc>
          <w:tcPr>
            <w:tcW w:w="1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12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2017 was approximately $50.8 million. The net loss of $53.7 million was adjusted for (i) non-cash charges of $1.7 million for depreciation and amortization and $4.9 million for stock-based compensation, (ii) a decrease in pre-payments of $3.2 million to vendors for clinical development and manufacturing activities and (iii) a decrease of accounts payable and accrued liabilities of $0.5 million primarily due to expenses incurred for the clinical manufacturing, process development, and clinical development activities for tenapanor, RDX7675 and RDX8940</w:t>
      </w:r>
    </w:p>
    <w:p>
      <w:pPr>
        <w:spacing w:after="0" w:line="184"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2016 was approximately $41.1 million. The net loss of $52.1 million was adjusted for (i) an increase of accounts payable and accrued liabilities of $6.5 million due to expenses incurred for the clinical manufacturing, process development, and clinical development activities for tenapanor, RDX7675 and RDX8940, (ii) an increase in pre-payments of $1.1 million to vendors for clinical development and manufacturing activities, and (iii) non-cash charges of $0.9 million for depreciation and amortization and $2.5 million for stock-based compensation.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$39.3 million for the six months ended June 30, 2017 and was primarily due to maturities and sales of short-term investments of $85.9 million. This was offset by purchases of short-term investments of $44.7 million and acquisition of property and equipment of $1.9 million related to the expansion of our laboratory and related equipment.</w:t>
      </w:r>
    </w:p>
    <w:p>
      <w:pPr>
        <w:spacing w:after="0" w:line="1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$0.5 million for the six months ended June 30, 2016 and was primarily due to the acquisition of property and equipment related to the expansion of our laboratory and related equipment.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2017 was $0.6 million and was due to proceeds from issuance of common stock under stock plans.</w:t>
      </w:r>
    </w:p>
    <w:p>
      <w:pPr>
        <w:spacing w:after="0" w:line="135"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2016 was $81.3 million and was primarily due to net proceeds of $80.8 million from a public offering of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Refer to Note 2 in the accompanying notes to our unaudited interim condensed consolidated financial statements for a discussion of recent accounting pronouncements.</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have been no material changes in the sources and effects of our market risk compared to the disclosures in Item 7A of our 2016 Form 10-K.</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(the “Exchange Act”), our management, under the supervision and with the participation of our principal executive officer and principal accounting and financial officer, has evaluated the effectiveness of the design and operation of our disclosure controls and procedures (as such term is defined in Rules 13a-15(e) and 15d-15(e) under the Exchange Act) as of June 30, 2017.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accounting and financial officer have concluded that, as of June 30, 2017, our disclosure controls and procedures were effective at a reasonable assurance level.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w:t>
      </w:r>
    </w:p>
    <w:p>
      <w:pPr>
        <w:spacing w:after="0" w:line="121"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identified in connection with the evaluation required by Rule 13a-15(d) and 15d-15(d) of the Exchange Act that occurred during the quarter ended June 30, 2017 that have materially affected, or are reasonably likely to materially affect, our internal controls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business. As of June 30, 2017, there is no litigation pending that would reasonably be expected to have a material adverse effect on our results of operations and financial condition.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these risks, as well as other information in this Quarterly Report on Form 10-Q, including our financial statements and the related notes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Capital Requirements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15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our clinical product candidates, tenapanor and RDX7675, and developing our proprietary drug discovery and design platform. To date, we have not commercialized any products or generated any revenue from the sale of products.</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are not profitable and have incurred losses in each year since our inception in October 2007, and we do not know whether or when we will become profitable. We have only a limited operating history upon which to evaluate our business and prospects. We continue to incur significant research, development and other expenses related to our ongoing operations. As of June 30, 2017, we had an accumulated deficit of $267.6 million.</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expect that our operating losses will substantially increase for the foreseeable future as we prepare for the potential commercialization of tenapanor and RDX7675, incur manufacturing and development costs for tenapanor, RDX7675, and RDX8940, including costs associated with completing the on-going Phase 3 development of tenapanor in IBS-C and in hyperphosphatemia, completing the on-going onset-of-action trial and the Phase 3 clinical trial for RDX7675, and preparing for the future clinical development of RDX8940, and as we continue our discovery and research activities.</w:t>
      </w:r>
    </w:p>
    <w:p>
      <w:pPr>
        <w:spacing w:after="0" w:line="18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prior losses, combined with expected future losses, have had and will continue to have an adverse effect on our stockholders’ equity and working capital. Further, the net losses we incur may fluctuate significantly from quarter to quarter and year to year, such that a period-to-period comparison of our results of operations may not be a good indication of our future performance.</w:t>
      </w:r>
    </w:p>
    <w:p>
      <w:pPr>
        <w:spacing w:after="0" w:line="176"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any revenue from product sales and may never be profitable.</w:t>
      </w:r>
    </w:p>
    <w:p>
      <w:pPr>
        <w:spacing w:after="0" w:line="22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We have no products approved for sale and have never generated any revenue from product sales. Our ability to generate revenue from product sales and achieve profitability depends on our ability to successfully complete the development of and obtain the regulatory and marketing approvals necessary to commercialize one or more of our product candidates. We do not anticipate generating revenue from product sales for the foreseeable future. Our ability to generate future revenue from product sales or pursuant to milestone payments depends heavily on many factors, including but not limited to:</w:t>
      </w:r>
    </w:p>
    <w:p>
      <w:pPr>
        <w:spacing w:after="0" w:line="86"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nonclinical and clinical development of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for our product candidates, either on our own, or with one or more collaboration partners;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either on our own, or with one or more collaboration partners;</w:t>
      </w:r>
    </w:p>
    <w:p>
      <w:pPr>
        <w:spacing w:after="0" w:line="130" w:lineRule="exact"/>
        <w:rPr>
          <w:rFonts w:ascii="Times New Roman" w:cs="Times New Roman" w:eastAsia="Times New Roman" w:hAnsi="Times New Roman"/>
          <w:sz w:val="18"/>
          <w:szCs w:val="18"/>
          <w:color w:val="auto"/>
        </w:rPr>
      </w:pPr>
    </w:p>
    <w:p>
      <w:pPr>
        <w:ind w:left="900" w:right="200" w:hanging="325"/>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and scalable manufacturing process for any approved product candidates and establishing and maintaining supply and manufacturing relationships with third parties that can provide an adequate (in amount and quality) supply of product to support clinical development and the market demand for our product candidates, if approved;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if approved, as viable treatment options;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in licensing and/or developing new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partnership, licensing or other arrangements into which we may enter;</w:t>
      </w:r>
    </w:p>
    <w:p>
      <w:pPr>
        <w:spacing w:after="0" w:line="130" w:lineRule="exact"/>
        <w:rPr>
          <w:rFonts w:ascii="Times New Roman" w:cs="Times New Roman" w:eastAsia="Times New Roman" w:hAnsi="Times New Roman"/>
          <w:sz w:val="18"/>
          <w:szCs w:val="18"/>
          <w:color w:val="auto"/>
        </w:rPr>
      </w:pPr>
    </w:p>
    <w:p>
      <w:pPr>
        <w:ind w:left="900" w:right="140" w:hanging="325"/>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cases where we are successful in obtaining regulatory approvals to market one or more of our product candidates, our revenue will be dependent, in part, upon the size of the markets in the territories for which regulatory approval is granted, the accepted price for the product, the ability to get reimbursement at any price and whether we are commercializing the product or the product is being commercialized by a collaboration partner, and in such case, whether we have royalty and/or co-promotion rights for that territory. If the number of patients suitable for our product candidates is not as significant as we estimate, the indication approved by regulatory authorities is narrower than we expect, or the reasonably accepted population for treatment is narrowed by competition, physician choice or treatment guidelines, we may not generate significant revenue from the sale of such products, even if approved. Even if we achieve profitability in the future, we may not be able to sustain profitability in subsequent periods. Our failure to generate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18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and the inability to access this necessary capital when needed on acceptable terms, or at all, could force us to delay, limit, reduce or terminate our planned clinical programs for RDX7675 or RDX8940, our pre-commercialization efforts for tenapanor or RDX7675, or our other product development and platform development activities.</w:t>
      </w:r>
    </w:p>
    <w:p>
      <w:pPr>
        <w:spacing w:after="0" w:line="17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Since our inception, most of our resources have been dedicated to our research and development activities, including developing our clinical product candidates, tenapanor and RDX7675, and developing our proprietary drug discovery and design platform. We believe that we will continue to expend substantial resources for the foreseeable future, including costs associated with conducting the clinical programs for tenapanor, RDX7675, and RDX8940, research and development, conducting preclinical studies and clinical trials for our other programs, obtaining regulatory approvals, developing and maintaining scalable manufacturing processes for our product candidates and sales and marketing. Because the outcome of any clinical trial and/or regulatory approval process is highly uncertain, we cannot reasonably estimate the actual amounts necessary to successfully complete the development, regulatory approval process and commercialization or co-promotion of any of our product candidates. Our future funding requirements will depend on many factors, including, but not limited to:</w:t>
      </w:r>
    </w:p>
    <w:p>
      <w:pPr>
        <w:spacing w:after="0" w:line="91" w:lineRule="exact"/>
        <w:rPr>
          <w:sz w:val="20"/>
          <w:szCs w:val="20"/>
          <w:color w:val="auto"/>
        </w:rPr>
      </w:pPr>
    </w:p>
    <w:p>
      <w:pPr>
        <w:jc w:val="both"/>
        <w:ind w:left="900" w:right="118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results and costs of our clinical trial programs evaluating tenapanor in IBS-C and for the treatment of hyperphosphatemia in ESRD patients on dialysis as well as our decision whether or not to pursue other indications for tenapanor;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results and costs of our clinical programs for RDX7675 and RDX8940;</w:t>
      </w:r>
    </w:p>
    <w:p>
      <w:pPr>
        <w:spacing w:after="0" w:line="130" w:lineRule="exact"/>
        <w:rPr>
          <w:rFonts w:ascii="Times New Roman" w:cs="Times New Roman" w:eastAsia="Times New Roman" w:hAnsi="Times New Roman"/>
          <w:sz w:val="18"/>
          <w:szCs w:val="18"/>
          <w:color w:val="auto"/>
        </w:rPr>
      </w:pPr>
    </w:p>
    <w:p>
      <w:pPr>
        <w:ind w:left="900" w:right="56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obtain regulatory approvals for our product candidates and the costs of post-marketing studies that could be required by regulatory authorities;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either alone or with one or more collaboration partners;</w:t>
      </w:r>
    </w:p>
    <w:p>
      <w:pPr>
        <w:spacing w:after="0" w:line="130"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costs of our product candidates, and the availability of one or more suppliers for our product candidates at reasonable costs, both for clinical and commercial supply;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and marketing costs associated with product candidates, including the cost and timing of building our sales and marketing capabilities;</w:t>
      </w:r>
    </w:p>
    <w:p>
      <w:pPr>
        <w:spacing w:after="0" w:line="130"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 partnerships, in-license/out-license or other similar arrangements and the financial terms of such agreements;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our future products, if any;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the availability of adequate third-party reimbursement for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discovery programs that we decide to pursue or initiate, and any clinical trials we decide to pursue for other product candidates;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 and</w:t>
      </w:r>
    </w:p>
    <w:p>
      <w:pPr>
        <w:spacing w:after="0" w:line="130" w:lineRule="exact"/>
        <w:rPr>
          <w:rFonts w:ascii="Times New Roman" w:cs="Times New Roman" w:eastAsia="Times New Roman" w:hAnsi="Times New Roman"/>
          <w:sz w:val="18"/>
          <w:szCs w:val="18"/>
          <w:color w:val="auto"/>
        </w:rPr>
      </w:pPr>
    </w:p>
    <w:p>
      <w:pPr>
        <w:ind w:left="900" w:right="20" w:hanging="325"/>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 delay, limit, reduce or terminate the clinical development of RDX7675 or delay the commencement of the Phase 1 clinical development of RDX8940, delay, limit, reduce or terminate our research activities, preclinical and clinical trials for our other product candidates and our establishment and maintenance of sales and marketing capabilities or other activities that may be necessary to commercialize our product candidates, either alone or with a collaboration partner.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 candidate, tenapanor, which may not be successful in nonclinical studies or clinical trials, receive regulatory approval or be successfully commercialized.</w:t>
      </w:r>
    </w:p>
    <w:p>
      <w:pPr>
        <w:spacing w:after="0" w:line="15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To date, we have invested a significant amount of our efforts and financial resources in the research and development of tenapanor, which is currently our lead product candidate and one of only two product candidates in clinical trials. The clinical and commercial success of tenapanor will depend on a number of factors, including the following:</w:t>
      </w:r>
    </w:p>
    <w:p>
      <w:pPr>
        <w:spacing w:after="0" w:line="203" w:lineRule="exact"/>
        <w:rPr>
          <w:sz w:val="20"/>
          <w:szCs w:val="20"/>
          <w:color w:val="auto"/>
        </w:rPr>
      </w:pPr>
    </w:p>
    <w:p>
      <w:pPr>
        <w:ind w:left="900" w:right="80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 a timely manner and under terms that are acceptable to us, to establish one or more collaborative relationships for the commercialization of tenapanor;</w:t>
      </w:r>
    </w:p>
    <w:p>
      <w:pPr>
        <w:spacing w:after="0" w:line="67" w:lineRule="exact"/>
        <w:rPr>
          <w:rFonts w:ascii="Times New Roman" w:cs="Times New Roman" w:eastAsia="Times New Roman" w:hAnsi="Times New Roman"/>
          <w:sz w:val="18"/>
          <w:szCs w:val="18"/>
          <w:color w:val="auto"/>
        </w:rPr>
      </w:pPr>
    </w:p>
    <w:p>
      <w:pPr>
        <w:ind w:left="900" w:right="300" w:hanging="325"/>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third-party manufacturers we contract with, to successfully execute and scale up the manufacturing processes for tenapanor, which has not yet been demonstrated, and to manufacture supplies of tenapanor and to develop, validate and maintain commercially viable manufacturing processes that are compliant with cGMP, requirements;</w:t>
      </w:r>
    </w:p>
    <w:p>
      <w:pPr>
        <w:spacing w:after="0" w:line="81"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or foreign regulatory authorities require additional nonclinical and/or clinical studies, which could delay the commercialization of tenapanor;</w:t>
      </w:r>
    </w:p>
    <w:p>
      <w:pPr>
        <w:spacing w:after="0" w:line="67"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or foreign regulatory authorities require us to conduct clinical trials in addition to those anticipated prior to approval to market tenapanor;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required to conduct clinical trials in addition to those anticipated to obtain adequate commercial pricing;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 of tenapanor;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tenapanor’s safety and efficacy profile is satisfactory to the FDA and foreign regulatory authorities to gain marketing approval;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and foreign regulatory authorities;</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compliance with all regulatory requirements applicable to tenapanor;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tenapanor as safe, effective and well-tolerated by patients and the medical community;</w:t>
      </w:r>
    </w:p>
    <w:p>
      <w:pPr>
        <w:spacing w:after="0" w:line="130" w:lineRule="exact"/>
        <w:rPr>
          <w:rFonts w:ascii="Times New Roman" w:cs="Times New Roman" w:eastAsia="Times New Roman" w:hAnsi="Times New Roman"/>
          <w:sz w:val="18"/>
          <w:szCs w:val="18"/>
          <w:color w:val="auto"/>
        </w:rPr>
      </w:pPr>
    </w:p>
    <w:p>
      <w:pPr>
        <w:ind w:left="900" w:right="340" w:hanging="325"/>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complex pricing and reimbursement negotiations associated with marketing the same product at different doses for separate indications, if tenapanor is approved for marketing and sale by the FDA or foreign regulatory authorities for both IBS-C and hyperphosphatemia in dialysis patients;</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40"/>
          </w:cols>
          <w:pgMar w:left="240" w:top="455" w:right="31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4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tenapanor compared to alternative and competing treatments;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sustaining an adequate level of coverage and reimbursement for tenapanor by third-party payors;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intellectual property rights in and to tenapanor;</w:t>
      </w:r>
    </w:p>
    <w:p>
      <w:pPr>
        <w:spacing w:after="0" w:line="130"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and tolerability profile of tenapanor following approval.</w:t>
      </w:r>
    </w:p>
    <w:p>
      <w:pPr>
        <w:spacing w:after="0" w:line="22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As tenapanor is a first-in-class drug, there is a higher likelihood that approval may not be attained as compared to a class of drugs with approved products. We cannot be certain that tenapanor will be successful in non-clinical safety studies. Although tenapanor met the primary endpoint in the first Phase 3 clinical trial for the treatment of hyperphosphatemia in ESRD patients on dialysis and in the first Phase 3 clinical trial in IBS-C patients, there can be no assurances that the second Phase 3 trial of tenapanor in either or both of those indications will achieve the primary endpoint, or that, tenapanor will receive regulatory approval. Further, it may not be possible or practicable to demonstrate, or if approved, to market on the basis of, certain of the benefits we believe tenapanor possesses. For example, the reduction of serum phosphorus is currently an approvable endpoint in ESRD patients on dialysis, but not for the broader CKD patient population in the United States. If the number of patients in the market for tenapanor or the price that the market can bear is not as significant as we estimate, we may not generate sufficient revenue from sales of tenapanor, if approved. Accordingly, there can be no assurance that tenapanor will ever be successfully commercialized or that we will ever generate income from sales of tenapanor. If we are not successful in completing the development of, obtaining approval for, and commercializing tenapanor, or are significantly delayed in doing so, our business will be materially harmed.</w:t>
      </w:r>
    </w:p>
    <w:p>
      <w:pPr>
        <w:spacing w:after="0" w:line="1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and we may encounter substantial delays in our clinical studies. Furthermore, results of earlier studies and trials may not be predictive of future trial results.</w:t>
      </w:r>
    </w:p>
    <w:p>
      <w:pPr>
        <w:spacing w:after="0" w:line="15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An unexpected adverse event profile, or the results of drug-drug interaction studies, may present challenges for the future development and commercialization of a product candidate for a particular condition despite receipt of positive efficacy data in a clinical study. Although tenapanor met the primary endpoint in the first Phase 3 clinical trial for the treatment of hyperphosphatemia in ESRD patients on dialysis and in the first Phase 3 clinical trial in IBS-C patients, there can be no assurances that the second Phase 3 trial results of tenapanor in those indications will show the desired safety and efficacy. A number of companies in the pharmaceutical, biopharmaceutical and biotechnology industries have suffered significant setbacks in advanced clinical trials for similar indications that we are pursuing due to lack of efficacy or adverse safety profiles, notwithstanding promising results in earlier studies, and we cannot be certain that we will not face similar setbacks. Even if our clinical trials are completed, the results may not be sufficient to obtain regulatory approval for our product candidates, or if such regulatory approval is obtained, the content of the label approved by regulatory authorities may materially and adversely impact our ability to commercialize the product.</w:t>
      </w:r>
    </w:p>
    <w:p>
      <w:pPr>
        <w:spacing w:after="0" w:line="19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We do not know whether future clinical trials will begin on time, or whether our ongoing or future clinical trials will need to be redesigned, enroll an adequate number of patients on time or be completed on schedule, if at all. Clinical trials can be delayed or terminated for a variety of reasons, including delay or failure to:</w:t>
      </w:r>
    </w:p>
    <w:p>
      <w:pPr>
        <w:spacing w:after="0" w:line="203"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sufficient quantities of product candidate meeting specified quality standards for use in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to commence a trial, if applicable;</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agreement on acceptable terms with prospective contract research organizations, or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institutional review board, or IRB, approval at each site;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suitable patients in a timely manner to participate in our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patients complete a trial or return for post-treatment follow-up;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clinical sites observe trial protocol, comply with good clinical practices, or GCPs, or continue to participate in a trial;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patient safety concerns that arise during the course of a trial;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conflicts with new or existing laws or regulations;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add a sufficient number of clinical trial sites.</w:t>
      </w:r>
    </w:p>
    <w:p>
      <w:pPr>
        <w:spacing w:after="0" w:line="15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or treatments that may be approved for the indications we are investigating.</w:t>
      </w:r>
    </w:p>
    <w:p>
      <w:pPr>
        <w:spacing w:after="0" w:line="113"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trials are being conducted, by an independent data safety monitoring board for such trial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07"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Further, if there are delays in the completion of, or termination of, any clinical trial of our product candidates, the commercial prospects of our product candidates may be harmed, and our ability to generate revenue from product sales from any of these product candidates will be delayed. In addition, any delays in completing the clinical trials will increase costs, slow down our product candidate development and approval process and jeopardize the ability to commence product sales and generate revenue from product sales.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1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devote significant resources to the development of RDX7675 which may not be successful in nonclinical studies or clinical trials, receive regulatory approval or be successfully commercialized.</w:t>
      </w:r>
    </w:p>
    <w:p>
      <w:pPr>
        <w:spacing w:after="0" w:line="9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With the initiation of RDX7675 in both an onset-of-action clinical trial and a Phase 3 clinical trial for RDX7675 in the fourth quarter of 2016, we expect to invest a significant amount of our efforts and financial resources in the development of RDX7675. We are pursuing a 505(b)(2) regulatory path for approval of RDX7675, which, among other things allows us to rely on the FDA’s previous findings of safety and efficacy and may eliminate the need to conduct certain nonclinical and clinical studies of our product candidate. This regulatory pathway, which can accelerate development, may not be available to us if a pharmaceutically equivalent product to RDX7675 were approved prior to the approval of our 505(b)(2) application. If we are unable to rely upon a 505(b)(2) regulatory pathway for the approval of RDX7675, the development of RDX7675 may be substantially delayed or we may be required to abandon such development.</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clinical and commercial success of RDX7675 will depend on a number of factors, including the following:</w:t>
      </w:r>
    </w:p>
    <w:p>
      <w:pPr>
        <w:spacing w:after="0" w:line="131" w:lineRule="exact"/>
        <w:rPr>
          <w:sz w:val="20"/>
          <w:szCs w:val="20"/>
          <w:color w:val="auto"/>
        </w:rPr>
      </w:pPr>
    </w:p>
    <w:p>
      <w:pPr>
        <w:ind w:left="900" w:right="260" w:hanging="325"/>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third-party manufacturers we contract with, to successfully develop and scale up the manufacturing processes for RDX7675, which has not yet been demonstrated, to manufacture supplies of RDX7675 and to develop, validate and maintain commercially viable manufacturing processes that are compliant with cGMP, requirements;</w:t>
      </w:r>
    </w:p>
    <w:p>
      <w:pPr>
        <w:spacing w:after="0" w:line="81"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expansion of the market for the treatment of hyperkalemia beyond its currently limited size, including the success of commercial launches of new hyperkalemia products and the use of any such products by nephrologists and cardiologists in the chronic setting;</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obtain labeling claims necessary or desirable for the commercial success of RDX7675;</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the perceived advantages regarding the relative palatability, relative cost, relative safety, relative tolerance and relative efficacy of RDX7675 and alternative and competing treatments;</w:t>
      </w:r>
    </w:p>
    <w:p>
      <w:pPr>
        <w:spacing w:after="0" w:line="67"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and breadth of any intellectual property protection that we have or may be granted for RDX7675, and our enforcement of any intellectual property rights in RDX7675;</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and exclusivity periods, if any, from the FDA and foreign regulatory authorities;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60"/>
          </w:cols>
          <w:pgMar w:left="240" w:top="455" w:right="2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RDX7675, if approved for marketing and sale by the FDA or foreign regulatory authorities, including educating physicians and patients about the benefits, administration and use of RDX7675;</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sustaining an adequate level of coverage and reimbursement for RDX7675 by third-party payors;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sales and distribution strategy and operations.</w:t>
      </w:r>
    </w:p>
    <w:p>
      <w:pPr>
        <w:spacing w:after="0" w:line="2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cannot be certain that clinical trials evaluating RDX7675 will establish a safety and efficacy profile sufficient to enable RDX7675 to gain approval by the FDA, or if approved, compete effectively with alternative and competing treatments. Further, it may not be possible or practicable to demonstrate, or if approved, to market on the basis of, certain of the benefits we believe RDX7675 may possess. Accordingly, there can be no assurance that RDX7675 will ever be successfully commercialized or that we will ever generate revenue from sales of RDX7675. If we are not successful in completing the development of, obtaining approval for, and commercializing RDX7675, or are significantly delayed in doing so, our business will be materially harmed.</w:t>
      </w:r>
    </w:p>
    <w:p>
      <w:pPr>
        <w:spacing w:after="0" w:line="18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develop our product candidates that are at an early stage of development, including RDX8940 or expand our pipeline of product candidates, as a result of numerous factors, which may include the inability to access capital necessary to fund such efforts on acceptable terms.</w:t>
      </w:r>
    </w:p>
    <w:p>
      <w:pPr>
        <w:spacing w:after="0" w:line="17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 key element of our strategy has been focused on the expansion of our pipeline of product candidates utilizing our proprietary drug discovery and design platform and to advance such product candidates through clinical development. In December 2016, we filed an IND to commence clinical development of RDX8940 in the United States. This product candidate, and those product candidates that are in the discovery and lead identification stages of preclinical development will require substantial preclinical and clinical development, testing and regulatory approval prior to commercialization, and we may not be able to access the capital necessary to fund such efforts on acceptable terms. In addition, of the large number of drugs in development, only a small percentage of such drugs successfully complete the FDA regulatory approval process and are commercialized. Accordingly, even if we are able to continue to fund our research programs, there can be no assurance that any product candidates will reach the clinic or be successfully developed or commercialized.</w:t>
      </w:r>
    </w:p>
    <w:p>
      <w:pPr>
        <w:spacing w:after="0" w:line="18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effective and well-tolerated. Our research programs may initially show promise in identifying potential product candidates, and we may select candidates for development, yet we may fail to advance product candidates to clinical development for many reasons, including the following:</w:t>
      </w:r>
    </w:p>
    <w:p>
      <w:pPr>
        <w:spacing w:after="0" w:line="211" w:lineRule="exact"/>
        <w:rPr>
          <w:sz w:val="20"/>
          <w:szCs w:val="20"/>
          <w:color w:val="auto"/>
        </w:rPr>
      </w:pPr>
    </w:p>
    <w:p>
      <w:pPr>
        <w:ind w:left="900" w:right="4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access sufficient capital on acceptable terms to fund the development of all of our assets and as a result we may be forced to delay or terminate the development of certain product candidates;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and our drug discovery and design platform may not be successful in identifying potential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pacing w:after="0" w:line="130"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during our program so that the continued development of that product candidate is no longer reasonable;</w:t>
      </w:r>
    </w:p>
    <w:p>
      <w:pPr>
        <w:spacing w:after="0" w:line="67"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well- tolerated or otherwise does not meet applicable regulatory or commercial criteria;</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30" w:lineRule="exact"/>
        <w:rPr>
          <w:rFonts w:ascii="Times New Roman" w:cs="Times New Roman" w:eastAsia="Times New Roman" w:hAnsi="Times New Roman"/>
          <w:sz w:val="18"/>
          <w:szCs w:val="18"/>
          <w:color w:val="auto"/>
        </w:rPr>
      </w:pPr>
    </w:p>
    <w:p>
      <w:pPr>
        <w:ind w:left="900" w:right="62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effective and well-tolerated by patients, the medical community or third-party payors, if applicable.</w:t>
      </w:r>
    </w:p>
    <w:p>
      <w:pPr>
        <w:spacing w:after="0" w:line="16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Even if we are successful in continuing to expand our pipeline, through our own research and development efforts, the potential product candidates for which we identify or acquire rights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drug discovery and design platform, and, in particular, APECCS, is a new approach to the discovery, design and development of new product candidates and may not result in any products of commercial value.</w:t>
      </w:r>
    </w:p>
    <w:p>
      <w:pPr>
        <w:spacing w:after="0" w:line="15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have developed a proprietary drug discovery and design platform to enable the identification, screening, testing, design and development of new product candidates, and have developed APECCS as a component of this of this platform. We utilize APECCS in the design of our small molecules and to identify new and potentially novel targets in the GI tract. However, there can be no assurance that APECCS will be able to identify new targets in the GI tract or that any of these potential targets or other aspects of our proprietary drug discovery and design platform will yield product candidates that could enter clinical development and, ultimately, be commercially valuable.</w:t>
      </w:r>
    </w:p>
    <w:p>
      <w:pPr>
        <w:spacing w:after="0" w:line="1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or commercialize our product candidates.</w:t>
      </w:r>
    </w:p>
    <w:p>
      <w:pPr>
        <w:spacing w:after="0" w:line="15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and, in some cases, nonclinical studies.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or GCPs, for clinical studies. GLPs and GCPs are regulations and guidelines enforced by the FDA, the Competent Authorities of the Member States of the European Economic Area, or EEA, and comparable foreign regulatory authorities for all of our products in nonclinical and clinical development, respectively. Regulatory authorities enforce GCPs through periodic inspections of trial sponsors, principal investigators and trial sites. If we or any of our third party contractors fail to comply with applicable regulatory requirements, including GCPs, the clinical data generated in our clinical trials may be deemed unreliable and the FDA, the European Medicines Agency, or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obtain regulatory approval, they may never achieve market acceptance or commercial success, which will depend, in part, upon the degree of acceptance among physicians, patients, patient advocacy groups, health care payors and the medical community.</w:t>
      </w:r>
    </w:p>
    <w:p>
      <w:pPr>
        <w:spacing w:after="0" w:line="159"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Even if our product candidates obtain FDA or other regulatory approvals, and are ultimately commercialized, our product candidates may not achieve market acceptance among physicians, patients, third-party payors, patient advocacy groups, and the medical community. Market acceptance of our product candidates for which marketing approval is obtained depends on a number of factors, including:</w:t>
      </w:r>
    </w:p>
    <w:p>
      <w:pPr>
        <w:spacing w:after="0" w:line="82" w:lineRule="exact"/>
        <w:rPr>
          <w:sz w:val="20"/>
          <w:szCs w:val="20"/>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products as demonstrated in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 overall safety and tolerability profile of the product;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30" w:lineRule="exact"/>
        <w:rPr>
          <w:rFonts w:ascii="Times New Roman" w:cs="Times New Roman" w:eastAsia="Times New Roman" w:hAnsi="Times New Roman"/>
          <w:sz w:val="18"/>
          <w:szCs w:val="18"/>
          <w:color w:val="auto"/>
        </w:rPr>
      </w:pPr>
    </w:p>
    <w:p>
      <w:pPr>
        <w:ind w:left="900" w:right="64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advantages over new or traditional or existing therapies, including recently approved therapies or therapies that the physician community anticipate will be approved;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major operators of clinics and patients of the product as a safe, effective and well-tolerated treatment;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products;</w:t>
      </w:r>
    </w:p>
    <w:p>
      <w:pPr>
        <w:spacing w:after="0" w:line="130" w:lineRule="exact"/>
        <w:rPr>
          <w:rFonts w:ascii="Times New Roman" w:cs="Times New Roman" w:eastAsia="Times New Roman" w:hAnsi="Times New Roman"/>
          <w:sz w:val="18"/>
          <w:szCs w:val="18"/>
          <w:color w:val="auto"/>
        </w:rPr>
      </w:pPr>
    </w:p>
    <w:p>
      <w:pPr>
        <w:ind w:left="900" w:right="58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current treatment options or alternative treatments, including future alternative treatments;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8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and willingness to pay for our products, if approved, on the part of physicians and patients;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products and their ability to meet market demand;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or our collaboration partners’ marketing and distribution organizations;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relationships with patient advocacy groups;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Any failure by our product candidates that obtain regulatory approval to achieve market acceptance or commercial success would adversely affect our results of operations.</w:t>
      </w:r>
    </w:p>
    <w:p>
      <w:pPr>
        <w:spacing w:after="0" w:line="15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our clinical trials, or delay or prevent regulatory approval, limit the commercial profile of an approved label, or result in significant negative consequences following regulatory approval, if any. If any of our product candidates receives marketing approval and we or others later identify undesirable side effects caused by the product candidate, the ability to market the product candidates could be compromised.</w:t>
      </w:r>
    </w:p>
    <w:p>
      <w:pPr>
        <w:spacing w:after="0" w:line="18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 experienced drug-related side effects including diarrhea, nausea, flatulence, abdominal discomfort, abdominal pain, abdominal distention and changes in electrolytes. In the event that trials conducted by us with tenapanor or trials we conduct with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or any such other product candidate, for any or all targeted indications. Additionally, 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In addition, in the event that any of our product candidates receives regulatory approval and we or others later identify undesirable side effects caused by one of our products, a number of potentially significant negative consequences could occur, including:</w:t>
      </w:r>
    </w:p>
    <w:p>
      <w:pPr>
        <w:spacing w:after="0" w:line="67"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w:t>
      </w:r>
    </w:p>
    <w:p>
      <w:pPr>
        <w:spacing w:after="0" w:line="130" w:lineRule="exact"/>
        <w:rPr>
          <w:rFonts w:ascii="Times New Roman" w:cs="Times New Roman" w:eastAsia="Times New Roman" w:hAnsi="Times New Roman"/>
          <w:sz w:val="18"/>
          <w:szCs w:val="18"/>
          <w:color w:val="auto"/>
        </w:rPr>
      </w:pPr>
    </w:p>
    <w:p>
      <w:pPr>
        <w:ind w:left="900" w:right="20" w:hanging="325"/>
        <w:spacing w:after="0" w:line="261"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 including the imposition of a Risk Evaluation and Mitigation Strategies, or REMS, plan that may require creation of a Medication Guide outlining the risks of such side effects for distribution to patients, as well as elements to assure safe use of the product, such as a patient registry and training and certification of prescribers;</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Any of the foregoing events could prevent us from achieving or maintaining market acceptance of a particular product candidate, if approved, and could result in the loss of significant revenue to us, which would materially and adversely affect our results of operations and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our competitors may discover, develop or commercialize products faster or more successfully than us.</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60"/>
          </w:cols>
          <w:pgMar w:left="240" w:top="455" w:right="2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and RDX7675, as well as our other product candidates, would compete against existing treatments.</w:t>
      </w:r>
    </w:p>
    <w:p>
      <w:pPr>
        <w:spacing w:after="0" w:line="113"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For example, tenapanor will, if approved, compete directly with phosphate binders for the treatment of hyperphosphatemia in ESRD patients on dialysis. The various types of phosphate binders commercialized in the United States include the following:</w:t>
      </w:r>
    </w:p>
    <w:p>
      <w:pPr>
        <w:spacing w:after="0" w:line="40" w:lineRule="exact"/>
        <w:rPr>
          <w:sz w:val="20"/>
          <w:szCs w:val="20"/>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Calcium carbonate (many over-the-counter brands including Tums and Caltrate)</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Calcium acetate (several prescription brands including PhosLo and Phoslyra)</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Lanthanum carbonate (Fosrenol marketed by Shire)</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Sevelamer hydrochloride (Renagel, marketed by Sanofi)</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Sevelamer carbonate (Renvela, marketed by Sanofi)</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Sucroferric oxyhydroxide (Velphoro, marketed by Vifor Fresenius)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Ferric citrate (Auryxia, marketed by Keryx)</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hydrochloride form of sevelamer, Renagel, was launched in the United States by Genzyme Corporation in 1998 prior to its acquisition by Sanofi,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carbonate form, Renvela, was launched in 2008. Sanofi booked €922 million ($1.05 billion) in worldwide sales of sevelamer during 2016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€246 million in first quarter 2017. Generic sevelamer carbonate, manufactured by Aurobindo Pharma, was approved in the U.S. market in June 2017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jurisdictions in Europe in 2015. In addition to the currently marketed phosphate binders, we are aware of at least two other binders in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fermagate (Alpharen), an iron- based binder in Phase 3 being developed by Opko Health, Inc., and PT20, an iron-based binder in Phase 3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developed by Shield Therapeutics.</w:t>
      </w:r>
    </w:p>
    <w:p>
      <w:pPr>
        <w:spacing w:after="0" w:line="126"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113"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We are also aware of two prescription products marketed for IBS-C, Linzess (linaclotide) marketed by Ironwood Pharmaceuticals and Allergan and Amitiza (lubiprostone) marketed by Sucampo and Takeda. Additionally, Trulance (plecanatide) was approved by FDA in January 2017 for use in adults for treatment of chronic idiopathic constipation, and Synergy Pharmaceuticals, the drug’s manufacturer, presented Phase 3 data from two clinical studies of Trulance in IBS-C patients in December 2016 and submitted an NDA for this indication in March 2017.</w:t>
      </w:r>
    </w:p>
    <w:p>
      <w:pPr>
        <w:spacing w:after="0" w:line="113"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Finally, we are aware of at least two drugs approaching or on the market for the treatment of hyperkalemia. Veltassa (patiromer FOS), an oral, polymer-based potassium binder, was approved for marketing by the FDA in October 2015 and was commercially launched by Relypsa, a company that was acquired by Galenica in September 2016. Additionally, ZS Pharma submitted an NDA in June 2015 for ZS-9, a sodium zirconium cyclosilicate-based oral potassium binder. If approved, ZS-9 will be commercially launched by AstraZeneca, a company that acquired ZS Pharma in December 2015.</w:t>
      </w:r>
    </w:p>
    <w:p>
      <w:pPr>
        <w:spacing w:after="0" w:line="99" w:lineRule="exact"/>
        <w:rPr>
          <w:sz w:val="20"/>
          <w:szCs w:val="20"/>
          <w:color w:val="auto"/>
        </w:rPr>
      </w:pPr>
    </w:p>
    <w:p>
      <w:pPr>
        <w:ind w:right="420" w:firstLine="456"/>
        <w:spacing w:after="0" w:line="261" w:lineRule="auto"/>
        <w:rPr>
          <w:sz w:val="20"/>
          <w:szCs w:val="20"/>
          <w:color w:val="auto"/>
        </w:rPr>
      </w:pPr>
      <w:r>
        <w:rPr>
          <w:rFonts w:ascii="Times New Roman" w:cs="Times New Roman" w:eastAsia="Times New Roman" w:hAnsi="Times New Roman"/>
          <w:sz w:val="18"/>
          <w:szCs w:val="18"/>
          <w:color w:val="auto"/>
        </w:rPr>
        <w:t>It is possible that our competitors will develop and market drugs or other treatments that are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13"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current activities and growth given our level of managerial, operational, financial and other resources.</w:t>
      </w:r>
    </w:p>
    <w:p>
      <w:pPr>
        <w:spacing w:after="0" w:line="22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On August 7, 2017, our Board of Directors approved a restructuring plan, pursuant to which we plan to reduce our workforce by 28%, resulting in 76 remaining employees. We will need to manage our operations and clinical trials, and continue our development and pre-commercial activities for our product candidates with this reduced workforce. Our management and personnel, and systems currently in place may not be adequate to support our current activities or future growth. Our need to effectively execute our business strategy requires that we:</w:t>
      </w:r>
    </w:p>
    <w:p>
      <w:pPr>
        <w:spacing w:after="0" w:line="86" w:lineRule="exact"/>
        <w:rPr>
          <w:sz w:val="20"/>
          <w:szCs w:val="20"/>
          <w:color w:val="auto"/>
        </w:rPr>
      </w:pPr>
    </w:p>
    <w:p>
      <w:pPr>
        <w:ind w:left="900" w:right="80" w:hanging="325"/>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clinical trials effectively, including the on-going Phase 3 clinical trials of tenapanor in IBS-C, the Phase 3 trial of tenapanor for hyperphosphatemia, the on-going onset-of-action clinical trial in RDX7675 and the Phase 3 clinical trial for RDX7675, all of which are being or will be conducted at multiple trial sites;</w:t>
      </w:r>
    </w:p>
    <w:p>
      <w:pPr>
        <w:spacing w:after="0" w:line="81" w:lineRule="exact"/>
        <w:rPr>
          <w:rFonts w:ascii="Times New Roman" w:cs="Times New Roman" w:eastAsia="Times New Roman" w:hAnsi="Times New Roman"/>
          <w:sz w:val="18"/>
          <w:szCs w:val="18"/>
          <w:color w:val="auto"/>
        </w:rPr>
      </w:pPr>
    </w:p>
    <w:p>
      <w:pPr>
        <w:ind w:left="900" w:right="660" w:hanging="325"/>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internal research and development efforts effectively while carrying out our contractual obligations to licensors, contractors, collaborators, government agencies and other third parties;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reporting systems and procedures;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motivate our remaining employees and potentially identify, recruit, and integrate additional employees.</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If we are unable to maintain or expand our managerial, operational, financial and other resources to the extent required to manage our development and pre-commercialization activities, our business will be materially adversely affected.</w:t>
      </w:r>
    </w:p>
    <w:p>
      <w:pPr>
        <w:spacing w:after="0" w:line="15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capabilities on our own or through third parties, we may not be able to commercialize tenapanor or any of our other product candidates.</w:t>
      </w:r>
    </w:p>
    <w:p>
      <w:pPr>
        <w:spacing w:after="0" w:line="15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currently do not have a sales organization. In order to commercialize or co-promote tenapanor, RDX7675 or any of our other product candidates, either alone, or with a collaboration partner, we must enter into collaborative relationships with one or more third parties; or build marketing, sales, distribution, managerial and other non-technical capabilities. There can be no assurances that we will be successful in establishing collaborative relationships in a timely manner or on terms that are acceptable to us. If one or more of our product candidates receives regulatory approval, and we have not entered into collaborative relationships for the commercialization of such product candidate in the approved territory, we would have to establish appropriate sales organizations with technical expertise supporting distribution capabilities to commercialize the product candidate, which will be expensive and time consuming. As a company, we have no prior experience in the marketing, sale and distribution of pharmaceutical products and there are significant risks involved in building and managing a sales organization, including our ability to secure the capital necessary to fund such efforts on acceptable terms,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w:t>
      </w:r>
    </w:p>
    <w:p>
      <w:pPr>
        <w:spacing w:after="0" w:line="186"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If we are unable to enter into collaborative relationships a timely manner, or on acceptable terms, and/or we fail or are delayed in the development of our internal sales, marketing and distribution capabilities, the commercialization of our products would be adversely impacted, and we may not be able to successfully commercialize our product candidates.</w:t>
      </w:r>
    </w:p>
    <w:p>
      <w:pPr>
        <w:spacing w:after="0" w:line="172" w:lineRule="exact"/>
        <w:rPr>
          <w:sz w:val="20"/>
          <w:szCs w:val="20"/>
          <w:color w:val="auto"/>
        </w:rPr>
      </w:pPr>
    </w:p>
    <w:p>
      <w:pPr>
        <w:ind w:right="6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 parties to manufacture our nonclinical and clinical drug supplies, and we intend to rely on third parties to produce commercial supplies of any approved product candidate. Our business would be harmed if those third parties fail to obtain approval of the FDA, Competent Authorities of the Member States of the EEA or comparable regulatory authorities, fail to provide us with sufficient quantities of drug product, or fail to do so at acceptable quality levels or prices.</w:t>
      </w:r>
    </w:p>
    <w:p>
      <w:pPr>
        <w:spacing w:after="0" w:line="18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internally to manufacture our drug supplies for use in the conduct of our nonclinical and clinical studies, and we lack the resources and the capability to manufacture any of our product candidates on a clinical or commercial scale. The facilities used by our contract manufacturers to manufacture any drug products must be approved by the FDA pursuant to inspections that will be conducted after an NDA is submitted to the FDA. We do not control the manufacturing process of our product candidates, and we are completely dependent on our contract manufacturing partners for compliance with the regulatory requirements, known as cGMPs, for manufacture of both active drug substances and finished drug products.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455" w:right="2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88"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We rely on our manufacturers to purchase from third-party suppliers the materials necessary to produce our product candidates for our clinical studies. There are a limited number of suppliers for raw materials that we use to manufacture our drugs,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by our manufacturers. Although we generally do not begin a clinical study unless we believe we have on hand, or will be able to manufacture, a sufficient supply of a product candidate to complete such study, any significant delay or discontinuity in the supply of a product candidate, or the raw material components thereof,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18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payor coverage and reimbursement status of newly-approved products is uncertain. Failure to obtain or maintain adequate coverage and reimbursement for our products, if approved, could limit our ability to market those products and decrease our ability to generate revenue.</w:t>
      </w:r>
    </w:p>
    <w:p>
      <w:pPr>
        <w:spacing w:after="0" w:line="15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18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or CMS, an agency within the U.S.</w:t>
      </w:r>
    </w:p>
    <w:p>
      <w:pPr>
        <w:spacing w:after="0" w:line="176"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July 2010, CMS released its final rule to implement a bundled prospective payment system for the treatment of ESRD patients as required by the Medicare Improvements for Patients and Providers Act, or MIPPA. The bundled payment covers a bundle of items and services routinely required for dialysis treatments furnished to Medicare beneficiaries in Medicare-certified ESRD facilities or at their home, including the cost of certain routine drugs. The final rule delayed the inclusion of oral medications without intravenous equivalents in the bundled payment until January 1, 2014 and in April 2014, President Obama signed the Protecting Access to Medicare Act of 2014, which further extended this implementation date to January 1, 2024. Additionally, section 204 of the Stephen Beck, Jr., Achieving a Better Life Experience Act of 2014, or ABLE, provides that payment for oral-only ESRD drugs cannot be made under the ESRD Prospective Payment System prior to January 1, 2025. As a result of the recent legislation, beginning in 2025, ESRD-related drugs may be included in the bundle and separate Medicare reimbursement will no longer be available for such drugs, as it is today under Medicare Part D. While it is too early to project the full impact bundling may have on the industry, the impact could potentially cause dramatic price reductions for tenapanor and RDX7675, if approved. We may be unable to sell tenapanor and/or RDX7675, if approved, to dialysis providers on a profitable basis if third- party payors reduce their current levels of payment, or if our costs of production increase faster than increases in reimbursement levels.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 products approved and, as a result, these caps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95" w:lineRule="exact"/>
        <w:rPr>
          <w:sz w:val="20"/>
          <w:szCs w:val="20"/>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co-promote our product candidates.</w:t>
      </w:r>
    </w:p>
    <w:p>
      <w:pPr>
        <w:spacing w:after="0" w:line="198"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4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President and Chief Executive Officer, Michael Raab, our Executive Vice President and Chief Operating Officer, Reginald Seeto, MBBS, our Chief Scientific Officer, Jeremy Caldwell, Ph.D., and our Chief Development Officer, David Rosenbaum, Ph.D. If we are not able to retain these members of our management team, or recruit additional management, clinical and scientific personnel, our business will suffer.</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455" w:right="2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7"/>
          <w:szCs w:val="17"/>
          <w:color w:val="auto"/>
        </w:rPr>
        <w:t>Our success depends in part on our continued ability to attract, retain and motivate highly qualified personnel. In particular, we are highly dependent upon Michael Raab, our President and Chief Executive Officer, Reginald Seeto, MBBS, Jeremy Caldwell, Ph.D., our Chief Scientific Officer and David Rosenbaum, Ph.D., our Chief Development Officer. The loss of services of any of these individuals could delay or impair the successful development of our product pipeline, completion of our planned clinical trials or the commercialization of our product candidates. Although we have entered into employment agreements with our senior management team, including Mr. Raab and Drs. Seeto, Caldwell and Rosenbaum, these agreements are terminable at will with or without notice and, therefore, we may not be able to retain their services as expected. Although we have not historically experienced unique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In addition to the competition for personnel, the San Francisco Bay area in particular is characterized by a high cost of living. As such, we could have difficulty attracting experienced personnel to our company and may be required to expend significant financial resources in our employee recruitment and retention efforts.</w:t>
      </w:r>
    </w:p>
    <w:p>
      <w:pPr>
        <w:spacing w:after="0" w:line="156"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Our internal computer systems, or those of our CROs or other contractors or consultants, may fail or suffer data security breaches, which could adversely affect our business.</w:t>
      </w:r>
    </w:p>
    <w:p>
      <w:pPr>
        <w:spacing w:after="0" w:line="116"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7"/>
          <w:szCs w:val="17"/>
          <w:color w:val="auto"/>
        </w:rPr>
        <w:t>Our business is increasingly dependent on critical, complex and interdependent information technology systems to support business processes as well as internal and external communications. Despite the implementation of security measures, the size and complexity of our internal computer systems, and those of our CROs and other contractors, make them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from completed or ongoing clinical trials for any of our product candidates could result in delays in our regulatory approval efforts and significantly increase our costs to recover or reproduce the data. In addition, our systems are potentially vulnerable to data security breaches, whether by employees or others, which may expose sensitive data to unauthorized persons. Such data security breaches could lead to the loss of trade secrets or other intellectual property, or could lead to the public exposure of personal information of our employees, clinical trial patients, customers, and others. Such disruptions and breaches of security could expose us to liability and have a material adverse effect on the operating results and financial condition of our business.</w:t>
      </w:r>
    </w:p>
    <w:p>
      <w:pPr>
        <w:spacing w:after="0" w:line="14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48"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7"/>
          <w:szCs w:val="17"/>
          <w:color w:val="auto"/>
        </w:rPr>
        <w:t>We incur significant legal, accounting and other expenses as a public company, including costs resulting from public company reporting obligations under the Securities Exchange Act of 1934, as amended, or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49" w:lineRule="exact"/>
        <w:rPr>
          <w:sz w:val="20"/>
          <w:szCs w:val="20"/>
          <w:color w:val="auto"/>
        </w:rPr>
      </w:pPr>
    </w:p>
    <w:p>
      <w:pPr>
        <w:ind w:right="60" w:firstLine="456"/>
        <w:spacing w:after="0" w:line="251" w:lineRule="auto"/>
        <w:rPr>
          <w:sz w:val="20"/>
          <w:szCs w:val="20"/>
          <w:color w:val="auto"/>
        </w:rPr>
      </w:pPr>
      <w:r>
        <w:rPr>
          <w:rFonts w:ascii="Times New Roman" w:cs="Times New Roman" w:eastAsia="Times New Roman" w:hAnsi="Times New Roman"/>
          <w:sz w:val="17"/>
          <w:szCs w:val="17"/>
          <w:color w:val="auto"/>
        </w:rPr>
        <w:t>We are subject to Section 404 of The Sarbanes-Oxley Act of 2002, or Section 404, and the related rules of the Securities and Exchange Commission, or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However, for so long as we remain an emerging growth company as defined in the Jumpstart Our Business Startups Act of 2012, or JOBS Act, we intend to take advantage of certain exemptions from various reporting requirements that are applicable to public companies that are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controls over financial reporting. We will remain an emerging growth company until the earlier of (1) the last day of the fiscal year following the fifth anniversary of the completion of our IPO (December 31, 2019), (2) the last day of the fiscal year in which we have total annual gross revenue of at least $1.0 billion, or (3) the last day of the fiscal year in which we are deemed to be a large accelerated filer, which means the market value of our common stock that is held by non-affiliates exceeds $700 million as of the prior June 30th, and (4) the date on which we have issued more than $1.0 billion in non-convertible debt during the prior three-year period.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form collaboration partnerships in the future, and we may not realize the benefits of such collaborations.</w:t>
      </w:r>
    </w:p>
    <w:p>
      <w:pPr>
        <w:spacing w:after="0" w:line="22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currently expect to form collaboration partnerships, create joint ventures or enter into licensing arrangements with third parties that we believe will complement or augment our existing business. In particular, we currently expect to form one or more collaboration partnerships in connection with the commercialization of tenapanor, if approved. We face significant competition in seeking appropriate collaboration partners, and the negotiation process to secure appropriate terms is time-consuming and complex. Any delays in identifying suitable collaboration partners and entering into agreements to develop our product candidates could also delay the commercialization of our product candidates, which may reduce their competitiveness even if they reach the market. Moreover, we may not be successful in our efforts to establish such a collaboration partnership for any future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and/or third parties may not view our product candidates and programs as having sufficient potential for commercialization, including the likelihood of an adequate safety and efficacy profile. Even if we are successful in entering into a collaboration partnership or license arrangement, there is no guarantee that the collaboration partnership will be successful, or that any future collaboration partner will commit sufficient resources to the development, regulatory approval, and commercialization effort for such products, or that such alliances will result in us achieving revenues that justify such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22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may consider strategic transactions, such as acquisitions of companies, asset purchases, and or in-licensing of products, product candidates or technologies. Additional potential transactions that we may consider include a variety of different business arrangements, including spin-offs,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93" w:lineRule="exact"/>
        <w:rPr>
          <w:sz w:val="20"/>
          <w:szCs w:val="20"/>
          <w:color w:val="auto"/>
        </w:rPr>
      </w:pPr>
    </w:p>
    <w:p>
      <w:pPr>
        <w:ind w:left="900" w:right="540" w:hanging="325"/>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and royalty payments, equity investments and financial support of new research and development candidates including increase of personnel, all of which may be substantial;</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higher-than-expected acquisition and integration costs;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7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seek and obtain approval to commercialize our product candidates outside of the United States, or otherwise engage in business outside of the United States, a variety of risks associated with international operations could materially adversely affect our business.</w:t>
      </w:r>
    </w:p>
    <w:p>
      <w:pPr>
        <w:spacing w:after="0" w:line="159"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We may decide to seek marketing approval for certain of our product candidates outside the United States or otherwise engage in business outside the United States, including entering into contractual agreements with third-parties. We expect that we will be subject to additional risks related to entering into these international business markets and relationships, including:</w:t>
      </w:r>
    </w:p>
    <w:p>
      <w:pPr>
        <w:spacing w:after="0" w:line="82"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United States and foreign drug import and export rules;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foreign countries;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30"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resulting from development work conducted by these distributors;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22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5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45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current global economic environment.</w:t>
      </w:r>
    </w:p>
    <w:p>
      <w:pPr>
        <w:spacing w:after="0" w:line="22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recent global financial crisis caused extreme volatility and disruptions in the capital and credit markets. We cannot anticipate all the ways in which the current global economic climate and global financial market conditions could adversely impact our business.</w:t>
      </w:r>
    </w:p>
    <w:p>
      <w:pPr>
        <w:spacing w:after="0" w:line="188" w:lineRule="exact"/>
        <w:rPr>
          <w:sz w:val="20"/>
          <w:szCs w:val="20"/>
          <w:color w:val="auto"/>
        </w:rPr>
      </w:pPr>
    </w:p>
    <w:p>
      <w:pPr>
        <w:ind w:firstLine="456"/>
        <w:spacing w:after="0" w:line="269" w:lineRule="auto"/>
        <w:rPr>
          <w:sz w:val="20"/>
          <w:szCs w:val="20"/>
          <w:color w:val="auto"/>
        </w:rPr>
      </w:pPr>
      <w:r>
        <w:rPr>
          <w:rFonts w:ascii="Times New Roman" w:cs="Times New Roman" w:eastAsia="Times New Roman" w:hAnsi="Times New Roman"/>
          <w:sz w:val="17"/>
          <w:szCs w:val="17"/>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the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prior to the effectiveness or after the repeal of certain provisions of the Patient Protection and Affordable Care Act, as amended by the Health Care and Education Reconciliation Act, collectively known as the Affordable Care Act,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7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5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Our corporate headquarters and other facilities are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5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We have not submitted an application or obtained marketing approval for any of our product candidates anywhere in the world.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455" w:right="2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approval of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NDAs or supplements to approved NDAs.</w:t>
      </w:r>
    </w:p>
    <w:p>
      <w:pPr>
        <w:spacing w:after="0" w:line="22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85"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 FDA or such comparable authorities that requires us to expend additional time and resources and delay or prevent the approval of our product candidates. For example, the FDA may require us to conduct additional studies or trials for drug product either prior to or post- approval, such as additional drug-drug interaction studies or safety or efficacy studies or trials,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but not limited to the following:</w:t>
      </w:r>
    </w:p>
    <w:p>
      <w:pPr>
        <w:spacing w:after="0" w:line="112" w:lineRule="exact"/>
        <w:rPr>
          <w:sz w:val="20"/>
          <w:szCs w:val="20"/>
          <w:color w:val="auto"/>
        </w:rPr>
      </w:pPr>
    </w:p>
    <w:p>
      <w:pPr>
        <w:ind w:left="900" w:right="42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or our collaboration partners’, clinical studies;</w:t>
      </w:r>
    </w:p>
    <w:p>
      <w:pPr>
        <w:spacing w:after="0" w:line="67"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safety in the full population for which approval is sought;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interpretation of data from preclinical studies or clinical studies;</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studies of our product candidates may not be sufficient to support the submission of a NDA or other submission or to obtain regulatory approval in the United States or elsewhere;</w:t>
      </w:r>
    </w:p>
    <w:p>
      <w:pPr>
        <w:spacing w:after="0" w:line="67"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collaboration partners may be unable to demonstrate to the FDA or comparable foreign regulatory authorities that a product candidate’s risk- benefit ratio for its proposed indication is acceptable;</w:t>
      </w:r>
    </w:p>
    <w:p>
      <w:pPr>
        <w:spacing w:after="0" w:line="67"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67"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126"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2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27"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Even if a drug is approved by the FDA or foreign regulatory authorities,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 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3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26"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67"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fines or holds on clinical trials;</w:t>
      </w:r>
    </w:p>
    <w:p>
      <w:pPr>
        <w:spacing w:after="0" w:line="130"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existing regulatory approvals;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of our ongoing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submitted by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or our contract manufacturers’ operations;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71"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2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05"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43"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34"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2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2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1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05"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and other government agencies. If tenapanor, RDX7675 or our other product candidates receive marketing approval, we and our collaborating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intend to implement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6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3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tenapanor, RDX7675 and our other product candidates may cause or contribute to adverse medical events that we are required to report to regulatory agencies and if we fail to do so we could be subject to sanctions that would materially harm our business.</w:t>
      </w:r>
    </w:p>
    <w:p>
      <w:pPr>
        <w:spacing w:after="0" w:line="11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15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18"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approvals in foreign jurisdictions would prevent us from marketing our products internationally.</w:t>
      </w:r>
    </w:p>
    <w:p>
      <w:pPr>
        <w:spacing w:after="0" w:line="22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order to market any product in the EEA (which is composed of the 28 Member States of the European Union plus Norway, Iceland and Liechtenstein), and many other foreign jurisdictions, separate regulatory approvals are required. In the EEA, medicinal products can only be commercialized after obtaining a Marketing Authorization, or MA. Before granting the MA, the EMA or the competent authorities of the Member States of the EEA make an assessment of the risk–benefit balance of the product on the basis of scientific criteria concerning its quality, safety and efficacy.</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185" w:lineRule="exact"/>
        <w:rPr>
          <w:sz w:val="20"/>
          <w:szCs w:val="20"/>
          <w:color w:val="auto"/>
        </w:rPr>
      </w:pPr>
    </w:p>
    <w:p>
      <w:pPr>
        <w:ind w:right="7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and our collaboration partners, if any,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36"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products, we and our collaboration partners, if any,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82" w:lineRule="exact"/>
        <w:rPr>
          <w:sz w:val="20"/>
          <w:szCs w:val="20"/>
          <w:color w:val="auto"/>
        </w:rPr>
      </w:pPr>
    </w:p>
    <w:p>
      <w:pPr>
        <w:ind w:left="900" w:right="80" w:hanging="325"/>
        <w:spacing w:after="0" w:line="261"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85" w:lineRule="exact"/>
        <w:rPr>
          <w:rFonts w:ascii="Times New Roman" w:cs="Times New Roman" w:eastAsia="Times New Roman" w:hAnsi="Times New Roman"/>
          <w:sz w:val="18"/>
          <w:szCs w:val="18"/>
          <w:color w:val="auto"/>
        </w:rPr>
      </w:pPr>
    </w:p>
    <w:p>
      <w:pPr>
        <w:ind w:left="900" w:right="480" w:hanging="325"/>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that prohibit executing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jc w:val="both"/>
        <w:ind w:left="900" w:right="260" w:hanging="325"/>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81" w:lineRule="exact"/>
        <w:rPr>
          <w:rFonts w:ascii="Times New Roman" w:cs="Times New Roman" w:eastAsia="Times New Roman" w:hAnsi="Times New Roman"/>
          <w:sz w:val="18"/>
          <w:szCs w:val="18"/>
          <w:color w:val="auto"/>
        </w:rPr>
      </w:pPr>
    </w:p>
    <w:p>
      <w:pPr>
        <w:ind w:left="900" w:right="100" w:hanging="325"/>
        <w:spacing w:after="0" w:line="261"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Affordable Care Act, which requires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85" w:lineRule="exact"/>
        <w:rPr>
          <w:rFonts w:ascii="Times New Roman" w:cs="Times New Roman" w:eastAsia="Times New Roman" w:hAnsi="Times New Roman"/>
          <w:sz w:val="18"/>
          <w:szCs w:val="18"/>
          <w:color w:val="auto"/>
        </w:rPr>
      </w:pPr>
    </w:p>
    <w:p>
      <w:pPr>
        <w:ind w:left="900" w:right="640" w:hanging="325"/>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81" w:lineRule="exact"/>
        <w:rPr>
          <w:rFonts w:ascii="Times New Roman" w:cs="Times New Roman" w:eastAsia="Times New Roman" w:hAnsi="Times New Roman"/>
          <w:sz w:val="18"/>
          <w:szCs w:val="18"/>
          <w:color w:val="auto"/>
        </w:rPr>
      </w:pPr>
    </w:p>
    <w:p>
      <w:pPr>
        <w:ind w:left="900" w:right="120" w:hanging="325"/>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pricing information and marketing expenditures; and state laws governing the privacy and security of health information in certain circumstances, many of which differ from each other in significant ways, thus complicating compliance efforts; and</w:t>
      </w:r>
    </w:p>
    <w:p>
      <w:pPr>
        <w:spacing w:after="0" w:line="81"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healthcare providers.</w:t>
      </w:r>
    </w:p>
    <w:p>
      <w:pPr>
        <w:spacing w:after="0" w:line="16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Further, the Affordable Care Act, among other things, amends the intent requirement of the federal anti-kickback and criminal health care fraud statutes.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statutes.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18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5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93" w:lineRule="exact"/>
        <w:rPr>
          <w:sz w:val="20"/>
          <w:szCs w:val="20"/>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replacement, or discontinuance of one or more of our products;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 keeping.</w:t>
      </w:r>
    </w:p>
    <w:p>
      <w:pPr>
        <w:spacing w:after="0" w:line="225" w:lineRule="exact"/>
        <w:rPr>
          <w:sz w:val="20"/>
          <w:szCs w:val="20"/>
          <w:color w:val="auto"/>
        </w:rPr>
      </w:pPr>
    </w:p>
    <w:p>
      <w:pPr>
        <w:ind w:right="480" w:firstLine="456"/>
        <w:spacing w:after="0" w:line="266" w:lineRule="auto"/>
        <w:rPr>
          <w:sz w:val="20"/>
          <w:szCs w:val="20"/>
          <w:color w:val="auto"/>
        </w:rPr>
      </w:pPr>
      <w:r>
        <w:rPr>
          <w:rFonts w:ascii="Times New Roman" w:cs="Times New Roman" w:eastAsia="Times New Roman" w:hAnsi="Times New Roman"/>
          <w:sz w:val="18"/>
          <w:szCs w:val="18"/>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addition, the full impact of recent healthcare reform and other changes in the healthcare industry and in healthcare spending is currently unknown, and may adversely affect our business model. In the United States, the Affordable Care Act was enacted in 2010 with a goal of reducing the cost of healthcare and substantially changing the way healthcare is financed by both government and private insurers. The Affordable Care Act,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currently expect that federal and state legislatures within the United States and foreign governments will continue to consider changes to existing healthcare legislation, and we currently expect that the new Presidential Administration and U.S. Congress will seek to modify or repeal all, or certain provisions of, the Affordable Care Act. There is still uncertainty with respect to any regulatory changes, and such regulatory changes could have an impact on coverage and reimbursement for healthcare items and services covered by plans that were otherwise authorized by the Affordable Care Act. However,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8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Affordable Care Act was enacted. These new laws, among other things, included aggregate reductions of Medicare payments to providers of 2% per fiscal year that will remain in effect through 2025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RDX7675, RDX8940 or our other product candidates, or prevent or delay the continued use of our drug discovery and development platform, including APECCS.</w:t>
      </w:r>
    </w:p>
    <w:p>
      <w:pPr>
        <w:spacing w:after="0" w:line="18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RDX7675 or any other product candidates, or that the use of our drug discovery and development platform, including APECCS,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RDX7675 or other product candidates or by the use of APECCS.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RDX7675 or our other product candidates, or by the use of APECCS.</w:t>
      </w:r>
    </w:p>
    <w:p>
      <w:pPr>
        <w:spacing w:after="0" w:line="18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research, development, manufacturing or sales of the product or product candidate that is the subject of the suit. In addition, if a patent infringement suit were brought against us regarding the use of APECCS, we could be forced to stop our use of APECCS or modify our processes to avoid infringement, which may not be possible at a reasonable cost, if at all, and which could result in substantial delay in our use of APECCS for the discovery of new product candidates or potential targets.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or to cease our use of APECCS or some other aspect of our business operations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or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8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15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8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 business. Further, if we encounter delays in our clinical trials, the period of time during which we or our collaboration partners could market tenapanor or other product candidates under patent protection would be reduced.</w:t>
      </w:r>
    </w:p>
    <w:p>
      <w:pPr>
        <w:spacing w:after="0" w:line="199"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9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5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if any, one of the U.S. patents covering each of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product candidates. Nevertheless,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8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29"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w:t>
      </w:r>
    </w:p>
    <w:p>
      <w:pPr>
        <w:spacing w:after="0" w:line="16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Therefore, obtaining and enforcing biopharmaceutical patents is costly, time consuming and inherently uncertain. In addition, the United States has recently enacted and is currently implementing wide-ranging patent reform legislation, including the Leahy-Smith America Invents Act signed into law on September 16, 2011. That Act includes a number of significant changes to U.S. patent law. These include provisions that affect the way patent applications are prosecuted and new venues and opportunities for competitors to challenge patent portfolios. Because of that Act, the U.S. patent system is now a “first to file” system, which may make it more difficult to obtain patent protection for inventions and increase the uncertainties and costs surrounding the prosecution of our or our collaboration partners’ patent applications and the enforcement or defense of our or our collaboration partners’ issued patents, all of which could materially adversely affect our business, results of operations and financial condition.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right="7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89"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57"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3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1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 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6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our stockholders may not be able to resell shares of our common stock at or above the price they paid.</w:t>
      </w:r>
    </w:p>
    <w:p>
      <w:pPr>
        <w:spacing w:after="0" w:line="189"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40" w:lineRule="exact"/>
        <w:rPr>
          <w:sz w:val="20"/>
          <w:szCs w:val="20"/>
          <w:color w:val="auto"/>
        </w:rPr>
      </w:pPr>
    </w:p>
    <w:p>
      <w:pPr>
        <w:ind w:left="900" w:right="460" w:hanging="325"/>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any delays in, clinical trial programs relating to our product candidates, including the ongoing and planned clinical trials for tenapanor, RDX7675 and RDX8940;</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commercialize or obtain regulatory approval for our product candidates, or delays in commercializing or obtaining regulatory approval;</w:t>
      </w:r>
    </w:p>
    <w:p>
      <w:pPr>
        <w:spacing w:after="0" w:line="103"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regulatory approval, a complete response letter or a refuse to file letter to tenapanor or RDX7675, or specific label restrictions or patient populations for its use, or changes or delays in the regulatory review process;</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future collaboration partnerships;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therapeutic innovations or new products by us or our competitors;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agencies with respect to our clinical trials, manufacturing supply chain or sales and marketing activities;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 candidates;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testing and clinical trials;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any of our projected timelines or goals with regard to the clinical development of any of our product candidates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license or discover additional product candidates;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obtain adequate intellectual property protection for our product candidates;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pharmaceutical industry in general;</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supply or distribution shortages;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other U.S. or foreign regulatory actions affecting us or our industry or other healthcare reform measures in the United States;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executive officers and directors or our stockholders in the future;</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the United States equity markets; and</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management personnel.</w:t>
      </w:r>
    </w:p>
    <w:p>
      <w:pPr>
        <w:spacing w:after="0" w:line="19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4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principal stockholders owns a significant percentage of our stock and, together with our management, will be able to exert significant control over matters subject to stockholder approval.</w:t>
      </w:r>
    </w:p>
    <w:p>
      <w:pPr>
        <w:spacing w:after="0" w:line="11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As of June 30, 2017, entities affiliated with New Enterprise Associates or NEA, a venture capital fund associated with one of our directors, collectively beneficially hold approximately 31.7% of our capital stock, including warrants exercisable for shares of our common stock, and NEA together with our executive officers and directors beneficially owned approximately 34.1% of our capital stock, including warrants and stock options exercisable for shares of our common stock within sixty (60) days of June 30, 2017. Therefore, these stockholders may be able to determine all matters requiring stockholder approval, and the entities affiliated with New Enterprise Associates alone, will have significant ability to influence decisions through their ownership position.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certain stockholders may feel are in their best interest as one of our stockholders.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trading price of our common stock could decline. As of June 30, 2017, we had 47,442,639 shares of common stock outstanding. Of those shares, approximately 14.4 million, were held by current directors, executive officers and other affiliates, or may otherwise be subject to Rule 144 under the Securities Act of 1933, or the Securities Act.</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addition, as of June 30,2017, approximately 4.1 million shares of common stock that are subject to outstanding options, were eligible for sale in the public market to the extent permitted by the provisions of various vesting schedules, and Rule 144 and Rule 701 under the Securities Act. In addition, approximately 2.2 million shares that are subject to outstanding warrants are eligible for sale in the public market. If these additional shares of common stock are sold, or if it is perceived that they will be sold, in the public market, the trading price of our common stock could decline.</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holders of approximately 5.6 million shares of our outstanding common stock as of June 30, 2017,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82" w:lineRule="exact"/>
        <w:rPr>
          <w:sz w:val="20"/>
          <w:szCs w:val="20"/>
          <w:color w:val="auto"/>
        </w:rPr>
      </w:pPr>
    </w:p>
    <w:p>
      <w:pPr>
        <w:ind w:left="900" w:right="520" w:hanging="325"/>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30" w:lineRule="exact"/>
        <w:rPr>
          <w:rFonts w:ascii="Times New Roman" w:cs="Times New Roman" w:eastAsia="Times New Roman" w:hAnsi="Times New Roman"/>
          <w:sz w:val="18"/>
          <w:szCs w:val="18"/>
          <w:color w:val="auto"/>
        </w:rPr>
      </w:pPr>
    </w:p>
    <w:p>
      <w:pPr>
        <w:ind w:left="900" w:right="760" w:hanging="325"/>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67" w:lineRule="exact"/>
        <w:rPr>
          <w:rFonts w:ascii="Times New Roman" w:cs="Times New Roman" w:eastAsia="Times New Roman" w:hAnsi="Times New Roman"/>
          <w:sz w:val="18"/>
          <w:szCs w:val="18"/>
          <w:color w:val="auto"/>
        </w:rPr>
      </w:pPr>
    </w:p>
    <w:p>
      <w:pPr>
        <w:ind w:left="900" w:right="460" w:hanging="325"/>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 / 3 % of the shares entitled to vote to remove a director for cause, and the prohibition on removal of directors without cause;</w:t>
      </w:r>
    </w:p>
    <w:p>
      <w:pPr>
        <w:spacing w:after="0" w:line="67" w:lineRule="exact"/>
        <w:rPr>
          <w:rFonts w:ascii="Times New Roman" w:cs="Times New Roman" w:eastAsia="Times New Roman" w:hAnsi="Times New Roman"/>
          <w:sz w:val="18"/>
          <w:szCs w:val="18"/>
          <w:color w:val="auto"/>
        </w:rPr>
      </w:pPr>
    </w:p>
    <w:p>
      <w:pPr>
        <w:jc w:val="both"/>
        <w:ind w:left="900" w:right="380" w:hanging="325"/>
        <w:spacing w:after="0" w:line="266"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130"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 / 3 % of the shares entitled to vote at an election of directors to adopt, amend or repeal our bylaws or repeal the provisions of our amended and restated certificate of incorporation regarding the election and removal of directors;</w:t>
      </w:r>
    </w:p>
    <w:p>
      <w:pPr>
        <w:spacing w:after="0" w:line="67" w:lineRule="exact"/>
        <w:rPr>
          <w:rFonts w:ascii="Times New Roman" w:cs="Times New Roman" w:eastAsia="Times New Roman" w:hAnsi="Times New Roman"/>
          <w:sz w:val="18"/>
          <w:szCs w:val="18"/>
          <w:color w:val="auto"/>
        </w:rPr>
      </w:pPr>
    </w:p>
    <w:p>
      <w:pPr>
        <w:ind w:left="900" w:right="580" w:hanging="325"/>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60"/>
          </w:cols>
          <w:pgMar w:left="240" w:top="455" w:right="2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81" w:lineRule="exact"/>
        <w:rPr>
          <w:rFonts w:ascii="Times New Roman" w:cs="Times New Roman" w:eastAsia="Times New Roman" w:hAnsi="Times New Roman"/>
          <w:sz w:val="18"/>
          <w:szCs w:val="18"/>
          <w:color w:val="auto"/>
        </w:rPr>
      </w:pPr>
    </w:p>
    <w:p>
      <w:pPr>
        <w:ind w:left="900" w:right="20" w:hanging="325"/>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225"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59"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67" w:lineRule="exact"/>
        <w:rPr>
          <w:sz w:val="20"/>
          <w:szCs w:val="20"/>
          <w:color w:val="auto"/>
        </w:rPr>
      </w:pPr>
    </w:p>
    <w:p>
      <w:pPr>
        <w:ind w:left="900" w:right="60" w:hanging="325"/>
        <w:spacing w:after="0" w:line="261"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30" w:lineRule="exact"/>
        <w:rPr>
          <w:rFonts w:ascii="Times New Roman" w:cs="Times New Roman" w:eastAsia="Times New Roman" w:hAnsi="Times New Roman"/>
          <w:sz w:val="18"/>
          <w:szCs w:val="18"/>
          <w:color w:val="auto"/>
        </w:rPr>
      </w:pPr>
    </w:p>
    <w:p>
      <w:pPr>
        <w:jc w:val="both"/>
        <w:ind w:left="900" w:right="500" w:hanging="325"/>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67" w:lineRule="exact"/>
        <w:rPr>
          <w:rFonts w:ascii="Times New Roman" w:cs="Times New Roman" w:eastAsia="Times New Roman" w:hAnsi="Times New Roman"/>
          <w:sz w:val="18"/>
          <w:szCs w:val="18"/>
          <w:color w:val="auto"/>
        </w:rPr>
      </w:pPr>
    </w:p>
    <w:p>
      <w:pPr>
        <w:ind w:left="900" w:right="120" w:hanging="325"/>
        <w:spacing w:after="0" w:line="266"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81"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67"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5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On August, 7, 2017, Paul Korner, M.D., M.B.A., informed us of his resignation from his position as our Chief Medical Officer in order to pursue other career opportunities. We currently expect Dr. Korner to continue in his current role until he leaves the Company in early September 2017.</w:t>
      </w:r>
    </w:p>
    <w:p>
      <w:pPr>
        <w:spacing w:after="0" w:line="16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In a separate event, on August 7, 2017, our board of directors approved a restructuring plan to reduce operating costs and better align our workforce with the needs of our business following the completion of a comprehensive strategic review of our operations assessing several core areas to optimally position our company to execute on our strategic objectives.</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Under this plan, we plan to reduce our workforce by 30 employees (or 28%) to 76 employees. We expect that the workforce reduction will be substantially completed by September 1, 2017 and will be entirely completed by November 1, 2017. Contingent upon an affected employee’s execution (and non-revocation) of a separation agreement, which includes a general release of claims against the Company, the affected employee will be entitled to receive severance payments, a portion of which is based upon years of service to the Company, reimbursement of COBRA payments, and out-placement services.</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the restructuring, we estimate that we will incur aggregate restructuring charges in the third quarter of 2017 of approximately $0.8 million related to one-time termination severance payments and other employee-related costs. The majority of the cash payments related to the personnel-related restructuring charges will be paid out during the third quarter of 2017. We may also incur additional costs not currently contemplated due to events that may occur as a result of, or that are associated with, the workforce reduction.</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00"/>
          </w:cols>
          <w:pgMar w:left="240" w:top="455" w:right="3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restructuring plan described above, the compensation committee of our board of directors (the “Compensation Committee”) approved executive and non-executive retention programs in connection with the restructuring plan. As part of the executive retention program, the Compensation Committee granted restricted stock units and options to purchase shares of our common stock (collectively, the “Retention Grants”) to, among other executive officers, our principal executive officer, principal financial officer and the following named executive officer (each, an “Executive Officer”), in the following amounts: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8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79,535</w:t>
            </w:r>
          </w:p>
        </w:tc>
        <w:tc>
          <w:tcPr>
            <w:tcW w:w="580" w:type="dxa"/>
            <w:vAlign w:val="bottom"/>
            <w:vMerge w:val="continue"/>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79,535</w:t>
            </w: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Reginald Seeto</w:t>
            </w: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1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26,512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26,512</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Kaufmann</w:t>
            </w: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9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26,512</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Retention Grants are made effective as of the close of trading of our common stock on August 9, 2017. Each Executive Officer’s Retention Grants will vest as follows: (i) two-thirds of the shares of common stock underlying the Retention Grants will vest on December 31, 2018, and (ii) one-third of the shares of common stock underlying the Retention Grants will vest on June 1, 2019, in each case subject to the Executive Officer’s remaining a service provider to the Company through the applicable vesting date.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7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7580" w:type="dxa"/>
            <w:vAlign w:val="bottom"/>
          </w:tcPr>
          <w:p>
            <w:pPr>
              <w:ind w:left="3080"/>
              <w:spacing w:after="0" w:line="142"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420" w:type="dxa"/>
            <w:vAlign w:val="bottom"/>
          </w:tcPr>
          <w:p>
            <w:pPr>
              <w:spacing w:after="0"/>
              <w:rPr>
                <w:sz w:val="14"/>
                <w:szCs w:val="14"/>
                <w:color w:val="auto"/>
              </w:rPr>
            </w:pPr>
          </w:p>
        </w:tc>
        <w:tc>
          <w:tcPr>
            <w:tcW w:w="9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75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Certification of Principal Executive Officer Required Under Rule 13a-14(a) and 15d-14(a) of the</w:t>
            </w: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line="20" w:lineRule="exact"/>
              <w:rPr>
                <w:sz w:val="1"/>
                <w:szCs w:val="1"/>
                <w:color w:val="auto"/>
              </w:rPr>
            </w:pPr>
          </w:p>
        </w:tc>
      </w:tr>
      <w:tr>
        <w:trPr>
          <w:trHeight w:val="273"/>
        </w:trPr>
        <w:tc>
          <w:tcPr>
            <w:tcW w:w="840" w:type="dxa"/>
            <w:vAlign w:val="bottom"/>
            <w:vMerge w:val="continue"/>
          </w:tcPr>
          <w:p>
            <w:pPr>
              <w:spacing w:after="0"/>
              <w:rPr>
                <w:sz w:val="23"/>
                <w:szCs w:val="23"/>
                <w:color w:val="auto"/>
              </w:rPr>
            </w:pPr>
          </w:p>
        </w:tc>
        <w:tc>
          <w:tcPr>
            <w:tcW w:w="7580" w:type="dxa"/>
            <w:vAlign w:val="bottom"/>
            <w:vMerge w:val="continue"/>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Certification of Principal Financial Officer Required Under Rule 13a-14(a) and 15d-14(a) of the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Required Under Rule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13a-14(b) of the Securities Exchange Act of 1934, as amended, and 18 U.S.C §1350.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following financial statements, formatted in XBRL: (i) Condensed Consolidated Balance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Sheets as of June 30, 2017 and December 31, 2016, (ii) Condensed Consolidated Statements of</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Operations for the three and six months ended June 30, 2017 and 2016, (iii) Condensed</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Statements of Comprehensive Loss for the three and six months ended June 30,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00" w:right="3420"/>
        <w:spacing w:after="0" w:line="255" w:lineRule="auto"/>
        <w:rPr>
          <w:sz w:val="20"/>
          <w:szCs w:val="20"/>
          <w:color w:val="auto"/>
        </w:rPr>
      </w:pPr>
      <w:r>
        <w:rPr>
          <w:rFonts w:ascii="Times New Roman" w:cs="Times New Roman" w:eastAsia="Times New Roman" w:hAnsi="Times New Roman"/>
          <w:sz w:val="18"/>
          <w:szCs w:val="18"/>
          <w:color w:val="auto"/>
        </w:rPr>
        <w:t>2017 and 2016; (iv) Condensed Consolidated Statements of Cash Flows for the six months ended June 30, 2017 and 2016; and (v)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9"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8"/>
          <w:szCs w:val="18"/>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Mark Kaufmann</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800"/>
          </w:cols>
          <w:pgMar w:left="240" w:top="455" w:right="85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Raab, certify that:</w:t>
      </w:r>
    </w:p>
    <w:p>
      <w:pPr>
        <w:spacing w:after="0" w:line="131"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Ardelyx,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880" w:val="left"/>
          <w:tab w:leader="none" w:pos="822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b w:val="1"/>
          <w:bCs w:val="1"/>
          <w:color w:val="auto"/>
        </w:rPr>
        <w:t>Michael Raab</w:t>
      </w:r>
    </w:p>
    <w:p>
      <w:pPr>
        <w:spacing w:after="0" w:line="31"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420"/>
          </w:cols>
          <w:pgMar w:left="240" w:top="117"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Kaufmann, certify that:</w:t>
      </w:r>
    </w:p>
    <w:p>
      <w:pPr>
        <w:spacing w:after="0" w:line="131" w:lineRule="exact"/>
        <w:rPr>
          <w:sz w:val="20"/>
          <w:szCs w:val="20"/>
          <w:color w:val="auto"/>
        </w:rPr>
      </w:pPr>
    </w:p>
    <w:p>
      <w:pPr>
        <w:ind w:left="460" w:hanging="452"/>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Ardelyx,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880" w:val="left"/>
          <w:tab w:leader="none" w:pos="812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b w:val="1"/>
          <w:bCs w:val="1"/>
          <w:color w:val="auto"/>
        </w:rPr>
        <w:t>Mark Kaufmann</w:t>
      </w:r>
    </w:p>
    <w:p>
      <w:pPr>
        <w:spacing w:after="0" w:line="31"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420"/>
          </w:cols>
          <w:pgMar w:left="240" w:top="117"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Ardelyx, Inc. (the “Company”) on Form 10-Q for the period ending June 30, 2017, as filed with the Securities and Exchange Commission on the date hereof (the “Report”), Michael Raab, President and Chief Executive Officer of the Company, and Mark Kaufmann, Chief Financial Officer of the Company, respectively, do each hereby certify, pursuant to 18 U.S.C. Section 1350, as adopted pursuant to Section 906 of the Sarbanes-Oxley Act of 2002, that:</w:t>
      </w:r>
    </w:p>
    <w:p>
      <w:pPr>
        <w:spacing w:after="0" w:line="86" w:lineRule="exact"/>
        <w:rPr>
          <w:sz w:val="20"/>
          <w:szCs w:val="20"/>
          <w:color w:val="auto"/>
        </w:rPr>
      </w:pPr>
    </w:p>
    <w:p>
      <w:pPr>
        <w:ind w:left="1140" w:hanging="565"/>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1140" w:right="680" w:hanging="565"/>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460" w:val="left"/>
          <w:tab w:leader="none" w:pos="810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Michael Raab</w:t>
      </w:r>
    </w:p>
    <w:p>
      <w:pPr>
        <w:spacing w:after="0" w:line="3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20" w:lineRule="exact"/>
        <w:rPr>
          <w:sz w:val="20"/>
          <w:szCs w:val="20"/>
          <w:color w:val="auto"/>
        </w:rPr>
      </w:pPr>
    </w:p>
    <w:p>
      <w:pPr>
        <w:spacing w:after="0"/>
        <w:tabs>
          <w:tab w:leader="none" w:pos="5460" w:val="left"/>
          <w:tab w:leader="none" w:pos="802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Mark Kaufmann</w:t>
      </w:r>
    </w:p>
    <w:p>
      <w:pPr>
        <w:spacing w:after="0" w:line="3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2019-12-29T05:40:14Z</dcterms:created>
  <dcterms:modified xsi:type="dcterms:W3CDTF">2019-12-29T05:40:14Z</dcterms:modified>
</cp:coreProperties>
</file>