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51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1612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Rodriguez Susan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ARDELYX,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4"/>
            <w:vMerge w:val="restart"/>
          </w:tcPr>
          <w:p>
            <w:pPr>
              <w:ind w:left="140"/>
              <w:spacing w:after="0" w:line="167" w:lineRule="exact"/>
              <w:rPr>
                <w:sz w:val="20"/>
                <w:szCs w:val="20"/>
                <w:color w:val="auto"/>
              </w:rPr>
            </w:pPr>
            <w:r>
              <w:rPr>
                <w:rFonts w:ascii="Arial" w:cs="Arial" w:eastAsia="Arial" w:hAnsi="Arial"/>
                <w:sz w:val="17"/>
                <w:szCs w:val="17"/>
                <w:color w:val="0000FF"/>
              </w:rPr>
              <w:t>01/06/2022</w:t>
            </w: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05"/>
        <w:spacing w:after="0"/>
        <w:rPr>
          <w:sz w:val="20"/>
          <w:szCs w:val="20"/>
          <w:color w:val="auto"/>
        </w:rPr>
      </w:pPr>
      <w:r>
        <w:rPr>
          <w:rFonts w:ascii="Arial" w:cs="Arial" w:eastAsia="Arial" w:hAnsi="Arial"/>
          <w:sz w:val="17"/>
          <w:szCs w:val="17"/>
          <w:color w:val="0000FF"/>
        </w:rPr>
        <w:t>Chief Commercial Officer</w:t>
      </w:r>
    </w:p>
    <w:p>
      <w:pPr>
        <w:spacing w:after="0" w:line="299"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01/06/2022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9"/>
              </w:rPr>
              <w:t>141,000</w:t>
            </w:r>
            <w:r>
              <w:rPr>
                <w:rFonts w:ascii="Arial" w:cs="Arial" w:eastAsia="Arial" w:hAnsi="Arial"/>
                <w:sz w:val="21"/>
                <w:szCs w:val="21"/>
                <w:color w:val="008000"/>
                <w:w w:val="99"/>
                <w:vertAlign w:val="superscript"/>
              </w:rPr>
              <w:t>(1)</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338,031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0.99</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01/06/2022</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195,000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01/06/2032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195,000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195,000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Total was adjusted by one share as the last report reflected an incorrect amount of shares sold.</w:t>
      </w:r>
    </w:p>
    <w:p>
      <w:pPr>
        <w:spacing w:after="0" w:line="67"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4"/>
          <w:szCs w:val="14"/>
          <w:color w:val="0000FF"/>
        </w:rPr>
        <w:t>01/12/2022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37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2022-01-12T18:54:27Z</dcterms:created>
  <dcterms:modified xsi:type="dcterms:W3CDTF">2022-01-12T18:54:27Z</dcterms:modified>
</cp:coreProperties>
</file>