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66122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375285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8"/>
        <w:spacing w:after="0"/>
        <w:rPr>
          <w:sz w:val="20"/>
          <w:szCs w:val="20"/>
          <w:color w:val="auto"/>
        </w:rPr>
      </w:pPr>
      <w:r>
        <w:rPr>
          <w:rFonts w:ascii="Arial" w:cs="Arial" w:eastAsia="Arial" w:hAnsi="Arial"/>
          <w:sz w:val="32"/>
          <w:szCs w:val="32"/>
          <w:b w:val="1"/>
          <w:bCs w:val="1"/>
          <w:color w:val="auto"/>
        </w:rPr>
        <w:t>UNITED STATES</w:t>
      </w:r>
    </w:p>
    <w:p>
      <w:pPr>
        <w:jc w:val="center"/>
        <w:ind w:right="-8"/>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8"/>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55880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148" w:lineRule="exact"/>
        <w:rPr>
          <w:sz w:val="24"/>
          <w:szCs w:val="24"/>
          <w:color w:val="auto"/>
        </w:rPr>
      </w:pPr>
    </w:p>
    <w:p>
      <w:pPr>
        <w:jc w:val="center"/>
        <w:ind w:right="-8"/>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75565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45" w:lineRule="exact"/>
        <w:rPr>
          <w:sz w:val="24"/>
          <w:szCs w:val="24"/>
          <w:color w:val="auto"/>
        </w:rPr>
      </w:pPr>
    </w:p>
    <w:p>
      <w:pPr>
        <w:ind w:left="9"/>
        <w:spacing w:after="0"/>
        <w:rPr>
          <w:sz w:val="20"/>
          <w:szCs w:val="20"/>
          <w:color w:val="auto"/>
        </w:rPr>
      </w:pPr>
      <w:r>
        <w:rPr>
          <w:rFonts w:ascii="Arial" w:cs="Arial" w:eastAsia="Arial" w:hAnsi="Arial"/>
          <w:sz w:val="18"/>
          <w:szCs w:val="18"/>
          <w:color w:val="auto"/>
        </w:rPr>
        <w:t>(Mark One)</w:t>
      </w:r>
    </w:p>
    <w:p>
      <w:pPr>
        <w:ind w:left="449" w:right="160" w:hanging="449"/>
        <w:spacing w:after="0" w:line="227" w:lineRule="auto"/>
        <w:tabs>
          <w:tab w:leader="none" w:pos="62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6"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449" w:right="140" w:hanging="449"/>
        <w:spacing w:after="0" w:line="235" w:lineRule="auto"/>
        <w:tabs>
          <w:tab w:leader="none" w:pos="629"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069"/>
        <w:spacing w:after="0"/>
        <w:tabs>
          <w:tab w:leader="none" w:pos="7048"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48" w:lineRule="exact"/>
        <w:rPr>
          <w:sz w:val="24"/>
          <w:szCs w:val="24"/>
          <w:color w:val="auto"/>
        </w:rPr>
      </w:pPr>
    </w:p>
    <w:p>
      <w:pPr>
        <w:jc w:val="center"/>
        <w:ind w:right="-8"/>
        <w:spacing w:after="0" w:line="207" w:lineRule="exact"/>
        <w:rPr>
          <w:sz w:val="20"/>
          <w:szCs w:val="20"/>
          <w:color w:val="auto"/>
        </w:rPr>
      </w:pPr>
      <w:r>
        <w:rPr>
          <w:rFonts w:ascii="Arial" w:cs="Arial" w:eastAsia="Arial" w:hAnsi="Arial"/>
          <w:sz w:val="18"/>
          <w:szCs w:val="18"/>
          <w:b w:val="1"/>
          <w:bCs w:val="1"/>
          <w:color w:val="auto"/>
        </w:rPr>
        <w:t>COMMISSION FILE NUMBER: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68580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48" w:lineRule="exact"/>
        <w:rPr>
          <w:sz w:val="24"/>
          <w:szCs w:val="24"/>
          <w:color w:val="auto"/>
        </w:rPr>
      </w:pPr>
    </w:p>
    <w:p>
      <w:pPr>
        <w:jc w:val="center"/>
        <w:ind w:right="-8"/>
        <w:spacing w:after="0"/>
        <w:rPr>
          <w:sz w:val="20"/>
          <w:szCs w:val="20"/>
          <w:color w:val="auto"/>
        </w:rPr>
      </w:pPr>
      <w:r>
        <w:rPr>
          <w:rFonts w:ascii="Arial" w:cs="Arial" w:eastAsia="Arial" w:hAnsi="Arial"/>
          <w:sz w:val="29"/>
          <w:szCs w:val="29"/>
          <w:b w:val="1"/>
          <w:bCs w:val="1"/>
          <w:color w:val="auto"/>
        </w:rPr>
        <w:t>ARDELYX, INC.</w:t>
      </w:r>
    </w:p>
    <w:p>
      <w:pPr>
        <w:jc w:val="center"/>
        <w:ind w:right="-8"/>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55880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26" w:lineRule="exact"/>
        <w:rPr>
          <w:sz w:val="24"/>
          <w:szCs w:val="24"/>
          <w:color w:val="auto"/>
        </w:rPr>
      </w:pPr>
    </w:p>
    <w:tbl>
      <w:tblPr>
        <w:tblLayout w:type="fixed"/>
        <w:tblInd w:w="929" w:type="dxa"/>
        <w:tblCellMar>
          <w:top w:w="0" w:type="dxa"/>
          <w:left w:w="0" w:type="dxa"/>
          <w:bottom w:w="0" w:type="dxa"/>
          <w:right w:w="0" w:type="dxa"/>
        </w:tblCellMar>
      </w:tblPr>
      <w:tr>
        <w:trPr>
          <w:trHeight w:val="207"/>
        </w:trPr>
        <w:tc>
          <w:tcPr>
            <w:tcW w:w="46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8"/>
              </w:rPr>
              <w:t>DELAWARE</w:t>
            </w:r>
          </w:p>
        </w:tc>
        <w:tc>
          <w:tcPr>
            <w:tcW w:w="3460" w:type="dxa"/>
            <w:vAlign w:val="bottom"/>
          </w:tcPr>
          <w:p>
            <w:pPr>
              <w:jc w:val="center"/>
              <w:ind w:left="1070"/>
              <w:spacing w:after="0" w:line="207" w:lineRule="exact"/>
              <w:rPr>
                <w:sz w:val="20"/>
                <w:szCs w:val="20"/>
                <w:color w:val="auto"/>
              </w:rPr>
            </w:pPr>
            <w:r>
              <w:rPr>
                <w:rFonts w:ascii="Arial" w:cs="Arial" w:eastAsia="Arial" w:hAnsi="Arial"/>
                <w:sz w:val="18"/>
                <w:szCs w:val="18"/>
                <w:b w:val="1"/>
                <w:bCs w:val="1"/>
                <w:color w:val="auto"/>
                <w:w w:val="89"/>
              </w:rPr>
              <w:t>26</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1303944</w:t>
            </w:r>
          </w:p>
        </w:tc>
      </w:tr>
      <w:tr>
        <w:trPr>
          <w:trHeight w:val="176"/>
        </w:trPr>
        <w:tc>
          <w:tcPr>
            <w:tcW w:w="4620" w:type="dxa"/>
            <w:vAlign w:val="bottom"/>
          </w:tcPr>
          <w:p>
            <w:pPr>
              <w:jc w:val="center"/>
              <w:ind w:right="1070"/>
              <w:spacing w:after="0" w:line="176" w:lineRule="exact"/>
              <w:rPr>
                <w:sz w:val="20"/>
                <w:szCs w:val="20"/>
                <w:color w:val="auto"/>
              </w:rPr>
            </w:pPr>
            <w:r>
              <w:rPr>
                <w:rFonts w:ascii="Arial" w:cs="Arial" w:eastAsia="Arial" w:hAnsi="Arial"/>
                <w:sz w:val="18"/>
                <w:szCs w:val="18"/>
                <w:color w:val="auto"/>
                <w:w w:val="94"/>
              </w:rPr>
              <w:t>(STATE OR OTHER JURISDICTION</w:t>
            </w:r>
          </w:p>
        </w:tc>
        <w:tc>
          <w:tcPr>
            <w:tcW w:w="3460" w:type="dxa"/>
            <w:vAlign w:val="bottom"/>
          </w:tcPr>
          <w:p>
            <w:pPr>
              <w:jc w:val="center"/>
              <w:ind w:left="1070"/>
              <w:spacing w:after="0" w:line="176" w:lineRule="exact"/>
              <w:rPr>
                <w:sz w:val="20"/>
                <w:szCs w:val="20"/>
                <w:color w:val="auto"/>
              </w:rPr>
            </w:pPr>
            <w:r>
              <w:rPr>
                <w:rFonts w:ascii="Arial" w:cs="Arial" w:eastAsia="Arial" w:hAnsi="Arial"/>
                <w:sz w:val="18"/>
                <w:szCs w:val="18"/>
                <w:color w:val="auto"/>
                <w:w w:val="96"/>
              </w:rPr>
              <w:t>(I.R.S. EMPLOYER</w:t>
            </w:r>
          </w:p>
        </w:tc>
      </w:tr>
      <w:tr>
        <w:trPr>
          <w:trHeight w:val="230"/>
        </w:trPr>
        <w:tc>
          <w:tcPr>
            <w:tcW w:w="4620" w:type="dxa"/>
            <w:vAlign w:val="bottom"/>
          </w:tcPr>
          <w:p>
            <w:pPr>
              <w:jc w:val="center"/>
              <w:ind w:right="1070"/>
              <w:spacing w:after="0"/>
              <w:rPr>
                <w:sz w:val="20"/>
                <w:szCs w:val="20"/>
                <w:color w:val="auto"/>
              </w:rPr>
            </w:pPr>
            <w:r>
              <w:rPr>
                <w:rFonts w:ascii="Arial" w:cs="Arial" w:eastAsia="Arial" w:hAnsi="Arial"/>
                <w:sz w:val="18"/>
                <w:szCs w:val="18"/>
                <w:color w:val="auto"/>
                <w:w w:val="95"/>
              </w:rPr>
              <w:t>OF INCORPORATION OR ORGANIZATION)</w:t>
            </w:r>
          </w:p>
        </w:tc>
        <w:tc>
          <w:tcPr>
            <w:tcW w:w="3460" w:type="dxa"/>
            <w:vAlign w:val="bottom"/>
          </w:tcPr>
          <w:p>
            <w:pPr>
              <w:jc w:val="center"/>
              <w:ind w:left="1070"/>
              <w:spacing w:after="0"/>
              <w:rPr>
                <w:sz w:val="20"/>
                <w:szCs w:val="20"/>
                <w:color w:val="auto"/>
              </w:rPr>
            </w:pPr>
            <w:r>
              <w:rPr>
                <w:rFonts w:ascii="Arial" w:cs="Arial" w:eastAsia="Arial" w:hAnsi="Arial"/>
                <w:sz w:val="18"/>
                <w:szCs w:val="18"/>
                <w:color w:val="auto"/>
                <w:w w:val="99"/>
              </w:rPr>
              <w:t>IDENTIFICATION NUMBER)</w:t>
            </w:r>
          </w:p>
        </w:tc>
      </w:tr>
    </w:tbl>
    <w:p>
      <w:pPr>
        <w:spacing w:after="0" w:line="10" w:lineRule="exact"/>
        <w:rPr>
          <w:sz w:val="24"/>
          <w:szCs w:val="24"/>
          <w:color w:val="auto"/>
        </w:rPr>
      </w:pPr>
    </w:p>
    <w:p>
      <w:pPr>
        <w:jc w:val="center"/>
        <w:ind w:right="-8"/>
        <w:spacing w:after="0"/>
        <w:rPr>
          <w:sz w:val="20"/>
          <w:szCs w:val="20"/>
          <w:color w:val="auto"/>
        </w:rPr>
      </w:pPr>
      <w:r>
        <w:rPr>
          <w:rFonts w:ascii="Arial" w:cs="Arial" w:eastAsia="Arial" w:hAnsi="Arial"/>
          <w:sz w:val="18"/>
          <w:szCs w:val="18"/>
          <w:b w:val="1"/>
          <w:bCs w:val="1"/>
          <w:color w:val="auto"/>
        </w:rPr>
        <w:t>34175 Ardenwood Boulevard, Suite 200</w:t>
      </w:r>
    </w:p>
    <w:p>
      <w:pPr>
        <w:jc w:val="center"/>
        <w:ind w:right="-8"/>
        <w:spacing w:after="0" w:line="203" w:lineRule="auto"/>
        <w:rPr>
          <w:sz w:val="20"/>
          <w:szCs w:val="20"/>
          <w:color w:val="auto"/>
        </w:rPr>
      </w:pPr>
      <w:r>
        <w:rPr>
          <w:rFonts w:ascii="Arial" w:cs="Arial" w:eastAsia="Arial" w:hAnsi="Arial"/>
          <w:sz w:val="18"/>
          <w:szCs w:val="18"/>
          <w:b w:val="1"/>
          <w:bCs w:val="1"/>
          <w:color w:val="auto"/>
        </w:rPr>
        <w:t>Fremont, California 94555</w:t>
      </w:r>
    </w:p>
    <w:p>
      <w:pPr>
        <w:jc w:val="center"/>
        <w:ind w:right="-8"/>
        <w:spacing w:after="0"/>
        <w:rPr>
          <w:sz w:val="20"/>
          <w:szCs w:val="20"/>
          <w:color w:val="auto"/>
        </w:rPr>
      </w:pPr>
      <w:r>
        <w:rPr>
          <w:rFonts w:ascii="Arial" w:cs="Arial" w:eastAsia="Arial" w:hAnsi="Arial"/>
          <w:sz w:val="18"/>
          <w:szCs w:val="18"/>
          <w:color w:val="auto"/>
        </w:rPr>
        <w:t>(ADDRESS OF PRINCIPAL EXECUTIVE OFFICES, INCLUDING ZIPCODE)</w:t>
      </w:r>
    </w:p>
    <w:p>
      <w:pPr>
        <w:spacing w:after="0" w:line="18" w:lineRule="exact"/>
        <w:rPr>
          <w:sz w:val="24"/>
          <w:szCs w:val="24"/>
          <w:color w:val="auto"/>
        </w:rPr>
      </w:pPr>
    </w:p>
    <w:p>
      <w:pPr>
        <w:jc w:val="center"/>
        <w:ind w:right="-8"/>
        <w:spacing w:after="0" w:line="207" w:lineRule="exact"/>
        <w:rPr>
          <w:sz w:val="20"/>
          <w:szCs w:val="20"/>
          <w:color w:val="auto"/>
        </w:rPr>
      </w:pPr>
      <w:r>
        <w:rPr>
          <w:rFonts w:ascii="Arial" w:cs="Arial" w:eastAsia="Arial" w:hAnsi="Arial"/>
          <w:sz w:val="18"/>
          <w:szCs w:val="18"/>
          <w:b w:val="1"/>
          <w:bCs w:val="1"/>
          <w:color w:val="auto"/>
        </w:rPr>
        <w:t>(510) 745</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1700</w:t>
      </w:r>
    </w:p>
    <w:p>
      <w:pPr>
        <w:jc w:val="center"/>
        <w:ind w:right="-8"/>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55880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12" w:lineRule="exact"/>
        <w:rPr>
          <w:sz w:val="24"/>
          <w:szCs w:val="24"/>
          <w:color w:val="auto"/>
        </w:rPr>
      </w:pPr>
    </w:p>
    <w:tbl>
      <w:tblPr>
        <w:tblLayout w:type="fixed"/>
        <w:tblInd w:w="9" w:type="dxa"/>
        <w:tblCellMar>
          <w:top w:w="0" w:type="dxa"/>
          <w:left w:w="0" w:type="dxa"/>
          <w:bottom w:w="0" w:type="dxa"/>
          <w:right w:w="0" w:type="dxa"/>
        </w:tblCellMar>
      </w:tblPr>
      <w:tr>
        <w:trPr>
          <w:trHeight w:val="182"/>
        </w:trPr>
        <w:tc>
          <w:tcPr>
            <w:tcW w:w="3460" w:type="dxa"/>
            <w:vAlign w:val="bottom"/>
            <w:gridSpan w:val="3"/>
          </w:tcPr>
          <w:p>
            <w:pPr>
              <w:spacing w:after="0"/>
              <w:rPr>
                <w:sz w:val="20"/>
                <w:szCs w:val="20"/>
                <w:color w:val="auto"/>
              </w:rPr>
            </w:pPr>
            <w:r>
              <w:rPr>
                <w:rFonts w:ascii="Arial" w:cs="Arial" w:eastAsia="Arial" w:hAnsi="Arial"/>
                <w:sz w:val="14"/>
                <w:szCs w:val="14"/>
                <w:color w:val="auto"/>
                <w:w w:val="96"/>
              </w:rPr>
              <w:t>Securities registered pursuant to Section 12(b) of the Act:</w:t>
            </w:r>
          </w:p>
        </w:tc>
        <w:tc>
          <w:tcPr>
            <w:tcW w:w="2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Title of each class</w:t>
            </w:r>
          </w:p>
        </w:tc>
        <w:tc>
          <w:tcPr>
            <w:tcW w:w="31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Trading Symbol(s)</w:t>
            </w: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500" w:type="dxa"/>
            <w:vAlign w:val="bottom"/>
            <w:vMerge w:val="restart"/>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500" w:type="dxa"/>
            <w:vAlign w:val="bottom"/>
            <w:vMerge w:val="restart"/>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40" w:type="dxa"/>
            <w:vAlign w:val="bottom"/>
          </w:tcPr>
          <w:p>
            <w:pPr>
              <w:jc w:val="center"/>
              <w:spacing w:after="0"/>
              <w:rPr>
                <w:sz w:val="20"/>
                <w:szCs w:val="20"/>
                <w:color w:val="auto"/>
              </w:rPr>
            </w:pPr>
            <w:r>
              <w:rPr>
                <w:rFonts w:ascii="Arial" w:cs="Arial" w:eastAsia="Arial" w:hAnsi="Arial"/>
                <w:sz w:val="14"/>
                <w:szCs w:val="14"/>
                <w:color w:val="auto"/>
                <w:w w:val="92"/>
              </w:rPr>
              <w:t>Common Stock, par value $0.0001</w:t>
            </w:r>
          </w:p>
        </w:tc>
        <w:tc>
          <w:tcPr>
            <w:tcW w:w="500" w:type="dxa"/>
            <w:vAlign w:val="bottom"/>
            <w:vMerge w:val="continue"/>
          </w:tcPr>
          <w:p>
            <w:pPr>
              <w:spacing w:after="0"/>
              <w:rPr>
                <w:sz w:val="15"/>
                <w:szCs w:val="15"/>
                <w:color w:val="auto"/>
              </w:rPr>
            </w:pPr>
          </w:p>
        </w:tc>
        <w:tc>
          <w:tcPr>
            <w:tcW w:w="2640" w:type="dxa"/>
            <w:vAlign w:val="bottom"/>
          </w:tcPr>
          <w:p>
            <w:pPr>
              <w:jc w:val="center"/>
              <w:spacing w:after="0"/>
              <w:rPr>
                <w:sz w:val="20"/>
                <w:szCs w:val="20"/>
                <w:color w:val="auto"/>
              </w:rPr>
            </w:pPr>
            <w:r>
              <w:rPr>
                <w:rFonts w:ascii="Arial" w:cs="Arial" w:eastAsia="Arial" w:hAnsi="Arial"/>
                <w:sz w:val="14"/>
                <w:szCs w:val="14"/>
                <w:color w:val="auto"/>
              </w:rPr>
              <w:t>ARDX</w:t>
            </w:r>
          </w:p>
        </w:tc>
        <w:tc>
          <w:tcPr>
            <w:tcW w:w="500" w:type="dxa"/>
            <w:vAlign w:val="bottom"/>
            <w:vMerge w:val="continue"/>
          </w:tcPr>
          <w:p>
            <w:pPr>
              <w:spacing w:after="0"/>
              <w:rPr>
                <w:sz w:val="15"/>
                <w:szCs w:val="15"/>
                <w:color w:val="auto"/>
              </w:rPr>
            </w:pPr>
          </w:p>
        </w:tc>
        <w:tc>
          <w:tcPr>
            <w:tcW w:w="3800" w:type="dxa"/>
            <w:vAlign w:val="bottom"/>
          </w:tcPr>
          <w:p>
            <w:pPr>
              <w:jc w:val="center"/>
              <w:spacing w:after="0"/>
              <w:rPr>
                <w:sz w:val="20"/>
                <w:szCs w:val="20"/>
                <w:color w:val="auto"/>
              </w:rPr>
            </w:pPr>
            <w:r>
              <w:rPr>
                <w:rFonts w:ascii="Arial" w:cs="Arial" w:eastAsia="Arial" w:hAnsi="Arial"/>
                <w:sz w:val="14"/>
                <w:szCs w:val="14"/>
                <w:color w:val="auto"/>
                <w:w w:val="93"/>
              </w:rPr>
              <w:t>The Nasdaq Global Market</w:t>
            </w: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9" w:right="600" w:firstLine="441"/>
        <w:spacing w:after="0" w:line="22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left="9"/>
        <w:spacing w:after="0" w:line="161" w:lineRule="exact"/>
        <w:tabs>
          <w:tab w:leader="none" w:pos="588" w:val="left"/>
          <w:tab w:leader="none" w:pos="1128"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35" w:lineRule="exact"/>
        <w:rPr>
          <w:sz w:val="24"/>
          <w:szCs w:val="24"/>
          <w:color w:val="auto"/>
        </w:rPr>
      </w:pPr>
    </w:p>
    <w:p>
      <w:pPr>
        <w:ind w:left="9" w:right="200" w:firstLine="441"/>
        <w:spacing w:after="0" w:line="16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left="9" w:right="60" w:firstLine="441"/>
        <w:spacing w:after="0" w:line="159" w:lineRule="exact"/>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3"/>
          <w:szCs w:val="13"/>
          <w:color w:val="auto"/>
        </w:rPr>
        <w:t>‑</w:t>
      </w:r>
      <w:r>
        <w:rPr>
          <w:rFonts w:ascii="Arial" w:cs="Arial" w:eastAsia="Arial" w:hAnsi="Arial"/>
          <w:sz w:val="13"/>
          <w:szCs w:val="13"/>
          <w:color w:val="auto"/>
        </w:rPr>
        <w:t>2 of the Exchange Act.</w:t>
      </w:r>
    </w:p>
    <w:p>
      <w:pPr>
        <w:spacing w:after="0" w:line="7" w:lineRule="exact"/>
        <w:rPr>
          <w:sz w:val="24"/>
          <w:szCs w:val="24"/>
          <w:color w:val="auto"/>
        </w:rPr>
      </w:pPr>
    </w:p>
    <w:tbl>
      <w:tblPr>
        <w:tblLayout w:type="fixed"/>
        <w:tblInd w:w="9" w:type="dxa"/>
        <w:tblCellMar>
          <w:top w:w="0" w:type="dxa"/>
          <w:left w:w="0" w:type="dxa"/>
          <w:bottom w:w="0" w:type="dxa"/>
          <w:right w:w="0" w:type="dxa"/>
        </w:tblCellMar>
      </w:tblPr>
      <w:tr>
        <w:trPr>
          <w:trHeight w:val="226"/>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29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1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98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440" w:type="dxa"/>
            <w:vAlign w:val="bottom"/>
          </w:tcPr>
          <w:p>
            <w:pPr>
              <w:spacing w:after="0"/>
              <w:rPr>
                <w:sz w:val="23"/>
                <w:szCs w:val="23"/>
                <w:color w:val="auto"/>
              </w:rPr>
            </w:pPr>
          </w:p>
        </w:tc>
        <w:tc>
          <w:tcPr>
            <w:tcW w:w="660" w:type="dxa"/>
            <w:vAlign w:val="bottom"/>
          </w:tcPr>
          <w:p>
            <w:pPr>
              <w:spacing w:after="0"/>
              <w:rPr>
                <w:sz w:val="23"/>
                <w:szCs w:val="23"/>
                <w:color w:val="auto"/>
              </w:rPr>
            </w:pPr>
          </w:p>
        </w:tc>
      </w:tr>
    </w:tbl>
    <w:p>
      <w:pPr>
        <w:spacing w:after="0" w:line="4" w:lineRule="exact"/>
        <w:rPr>
          <w:sz w:val="24"/>
          <w:szCs w:val="24"/>
          <w:color w:val="auto"/>
        </w:rPr>
      </w:pPr>
    </w:p>
    <w:p>
      <w:pPr>
        <w:ind w:left="9" w:right="500" w:firstLine="441"/>
        <w:spacing w:after="0" w:line="16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49"/>
        <w:spacing w:after="0" w:line="161" w:lineRule="exact"/>
        <w:tabs>
          <w:tab w:leader="none" w:pos="7088" w:val="left"/>
          <w:tab w:leader="none" w:pos="7628" w:val="left"/>
        </w:tabs>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31" w:lineRule="exact"/>
        <w:rPr>
          <w:sz w:val="24"/>
          <w:szCs w:val="24"/>
          <w:color w:val="auto"/>
        </w:rPr>
      </w:pPr>
    </w:p>
    <w:p>
      <w:pPr>
        <w:ind w:left="449"/>
        <w:spacing w:after="0"/>
        <w:rPr>
          <w:sz w:val="20"/>
          <w:szCs w:val="20"/>
          <w:color w:val="auto"/>
        </w:rPr>
      </w:pPr>
      <w:r>
        <w:rPr>
          <w:rFonts w:ascii="Arial" w:cs="Arial" w:eastAsia="Arial" w:hAnsi="Arial"/>
          <w:sz w:val="14"/>
          <w:szCs w:val="14"/>
          <w:color w:val="auto"/>
        </w:rPr>
        <w:t>The number of issued and outstanding shares of the registrant’s Common Stock, $0.0001 par value per share, as of May 2, 2019, was 62,600,443.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49530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66675</wp:posOffset>
            </wp:positionV>
            <wp:extent cx="66122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392430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220" w:right="73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vMerge w:val="restart"/>
          </w:tcPr>
          <w:p>
            <w:pPr>
              <w:spacing w:after="0"/>
              <w:rPr>
                <w:sz w:val="14"/>
                <w:szCs w:val="14"/>
                <w:color w:val="auto"/>
              </w:rPr>
            </w:pPr>
          </w:p>
        </w:tc>
        <w:tc>
          <w:tcPr>
            <w:tcW w:w="5860" w:type="dxa"/>
            <w:vAlign w:val="bottom"/>
            <w:gridSpan w:val="16"/>
            <w:vMerge w:val="restart"/>
          </w:tcPr>
          <w:p>
            <w:pPr>
              <w:jc w:val="center"/>
              <w:ind w:right="280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5860" w:type="dxa"/>
            <w:vAlign w:val="bottom"/>
            <w:gridSpan w:val="16"/>
            <w:vMerge w:val="continue"/>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2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Item 1. Condensed Consolidated Financial Statements</w:t>
              </w:r>
            </w:hyperlink>
          </w:p>
        </w:tc>
        <w:tc>
          <w:tcPr>
            <w:tcW w:w="4580" w:type="dxa"/>
            <w:vAlign w:val="bottom"/>
            <w:gridSpan w:val="11"/>
          </w:tcPr>
          <w:p>
            <w:pPr>
              <w:spacing w:after="0"/>
              <w:rPr>
                <w:sz w:val="24"/>
                <w:szCs w:val="24"/>
                <w:color w:val="auto"/>
              </w:rPr>
            </w:pP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8020" w:type="dxa"/>
            <w:vAlign w:val="bottom"/>
            <w:gridSpan w:val="2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March 31, 2019 (unaudited) and December 31, 2018</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160" w:type="dxa"/>
            <w:vAlign w:val="bottom"/>
            <w:tcBorders>
              <w:top w:val="single" w:sz="8" w:color="0000EE"/>
            </w:tcBorders>
            <w:gridSpan w:val="20"/>
          </w:tcPr>
          <w:p>
            <w:pPr>
              <w:spacing w:after="0" w:line="15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and Comprehensive Loss for the</w:t>
              </w:r>
            </w:hyperlink>
          </w:p>
        </w:tc>
        <w:tc>
          <w:tcPr>
            <w:tcW w:w="1860" w:type="dxa"/>
            <w:vAlign w:val="bottom"/>
            <w:gridSpan w:val="5"/>
          </w:tcPr>
          <w:p>
            <w:pPr>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three months ended</w:t>
              </w:r>
            </w:hyperlink>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7300" w:type="dxa"/>
            <w:vAlign w:val="bottom"/>
            <w:tcBorders>
              <w:top w:val="single" w:sz="8" w:color="0000EE"/>
            </w:tcBorders>
            <w:gridSpan w:val="20"/>
          </w:tcPr>
          <w:p>
            <w:pPr>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March 31, 2019 and 2018 (unaudited)</w:t>
              </w:r>
            </w:hyperlink>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tcBorders>
              <w:top w:val="single" w:sz="8" w:color="0000EE"/>
            </w:tcBorders>
            <w:gridSpan w:val="11"/>
          </w:tcPr>
          <w:p>
            <w:pPr>
              <w:spacing w:after="0" w:line="15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Condensed Consolidated Statements of</w:t>
              </w:r>
            </w:hyperlink>
          </w:p>
        </w:tc>
        <w:tc>
          <w:tcPr>
            <w:tcW w:w="5080" w:type="dxa"/>
            <w:vAlign w:val="bottom"/>
            <w:gridSpan w:val="12"/>
          </w:tcPr>
          <w:p>
            <w:pPr>
              <w:spacing w:after="0" w:line="15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Changes in Stockholders' Equity for the three months ended March</w:t>
              </w:r>
            </w:hyperlink>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220" w:type="dxa"/>
            <w:vAlign w:val="bottom"/>
            <w:tcBorders>
              <w:top w:val="single" w:sz="8" w:color="0000EE"/>
              <w:bottom w:val="single" w:sz="8" w:color="0000EE"/>
            </w:tcBorders>
            <w:gridSpan w:val="10"/>
          </w:tcPr>
          <w:p>
            <w:pPr>
              <w:spacing w:after="0" w:line="15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31, 2019 and 2018 (unaudited)</w:t>
              </w:r>
            </w:hyperlink>
          </w:p>
        </w:tc>
        <w:tc>
          <w:tcPr>
            <w:tcW w:w="5300" w:type="dxa"/>
            <w:vAlign w:val="bottom"/>
            <w:tcBorders>
              <w:top w:val="single" w:sz="8" w:color="0000EE"/>
            </w:tcBorders>
            <w:gridSpan w:val="12"/>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20" w:type="dxa"/>
            <w:vAlign w:val="bottom"/>
            <w:gridSpan w:val="23"/>
          </w:tcPr>
          <w:p>
            <w:pPr>
              <w:spacing w:after="0" w:line="15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Cash Flows for the three months ended March 31, 2019 and 2018</w:t>
              </w:r>
            </w:hyperlink>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4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6560" w:type="dxa"/>
            <w:vAlign w:val="bottom"/>
            <w:tcBorders>
              <w:top w:val="single" w:sz="8" w:color="0000EE"/>
            </w:tcBorders>
            <w:gridSpan w:val="18"/>
          </w:tcPr>
          <w:p>
            <w:pPr>
              <w:spacing w:after="0"/>
              <w:rPr>
                <w:sz w:val="13"/>
                <w:szCs w:val="13"/>
                <w:color w:val="auto"/>
              </w:rPr>
            </w:pPr>
          </w:p>
        </w:tc>
        <w:tc>
          <w:tcPr>
            <w:tcW w:w="420" w:type="dxa"/>
            <w:vAlign w:val="bottom"/>
            <w:gridSpan w:val="2"/>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88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3140" w:type="dxa"/>
            <w:vAlign w:val="bottom"/>
            <w:gridSpan w:val="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Item 2. Management’s Discussion and Analysis of Financial Condition and Results of Operations</w:t>
              </w:r>
            </w:hyperlink>
          </w:p>
        </w:tc>
        <w:tc>
          <w:tcPr>
            <w:tcW w:w="1580" w:type="dxa"/>
            <w:vAlign w:val="bottom"/>
            <w:gridSpan w:val="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Item 3. Quantitative and Qualitative Disclosures About Market Risk</w:t>
              </w:r>
            </w:hyperlink>
          </w:p>
        </w:tc>
        <w:tc>
          <w:tcPr>
            <w:tcW w:w="3680" w:type="dxa"/>
            <w:vAlign w:val="bottom"/>
            <w:gridSpan w:val="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8600" w:type="dxa"/>
            <w:vAlign w:val="bottom"/>
            <w:gridSpan w:val="2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31"/>
        </w:trPr>
        <w:tc>
          <w:tcPr>
            <w:tcW w:w="5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294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1. Legal Proceedings</w:t>
              </w:r>
            </w:hyperlink>
          </w:p>
        </w:tc>
        <w:tc>
          <w:tcPr>
            <w:tcW w:w="6700" w:type="dxa"/>
            <w:vAlign w:val="bottom"/>
            <w:gridSpan w:val="1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Item 1A. Risk Factors</w:t>
              </w:r>
            </w:hyperlink>
          </w:p>
        </w:tc>
        <w:tc>
          <w:tcPr>
            <w:tcW w:w="7000" w:type="dxa"/>
            <w:vAlign w:val="bottom"/>
            <w:gridSpan w:val="2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8600" w:type="dxa"/>
            <w:vAlign w:val="bottom"/>
            <w:gridSpan w:val="2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Item 2. Unregistered Sales of Equity Securities and Use of Proceeds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Item 3. Defaults Upon Senior Securities</w:t>
              </w:r>
            </w:hyperlink>
          </w:p>
        </w:tc>
        <w:tc>
          <w:tcPr>
            <w:tcW w:w="3700" w:type="dxa"/>
            <w:vAlign w:val="bottom"/>
            <w:gridSpan w:val="1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Item 4. Mine Safety Disclosures</w:t>
              </w:r>
            </w:hyperlink>
          </w:p>
        </w:tc>
        <w:tc>
          <w:tcPr>
            <w:tcW w:w="572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2"/>
          </w:tcPr>
          <w:p>
            <w:pPr>
              <w:spacing w:after="0"/>
              <w:rPr>
                <w:sz w:val="17"/>
                <w:szCs w:val="17"/>
                <w:color w:val="auto"/>
              </w:rPr>
            </w:pPr>
          </w:p>
        </w:tc>
        <w:tc>
          <w:tcPr>
            <w:tcW w:w="6280" w:type="dxa"/>
            <w:vAlign w:val="bottom"/>
            <w:gridSpan w:val="1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Item 6. Exhibits</w:t>
              </w:r>
            </w:hyperlink>
          </w:p>
        </w:tc>
        <w:tc>
          <w:tcPr>
            <w:tcW w:w="7440" w:type="dxa"/>
            <w:vAlign w:val="bottom"/>
            <w:gridSpan w:val="2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8600" w:type="dxa"/>
            <w:vAlign w:val="bottom"/>
            <w:gridSpan w:val="2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Signatures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642"/>
        </w:trPr>
        <w:tc>
          <w:tcPr>
            <w:tcW w:w="760" w:type="dxa"/>
            <w:vAlign w:val="bottom"/>
            <w:tcBorders>
              <w:top w:val="single" w:sz="8" w:color="0000EE"/>
            </w:tcBorders>
            <w:gridSpan w:val="2"/>
          </w:tcPr>
          <w:p>
            <w:pPr>
              <w:spacing w:after="0"/>
              <w:rPr>
                <w:sz w:val="24"/>
                <w:szCs w:val="24"/>
                <w:color w:val="auto"/>
              </w:rPr>
            </w:pPr>
          </w:p>
        </w:tc>
        <w:tc>
          <w:tcPr>
            <w:tcW w:w="4140" w:type="dxa"/>
            <w:vAlign w:val="bottom"/>
            <w:gridSpan w:val="14"/>
          </w:tcPr>
          <w:p>
            <w:pPr>
              <w:jc w:val="right"/>
              <w:ind w:right="3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3"/>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54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FINANCIAL INFORMATION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560" w:type="dxa"/>
            <w:vAlign w:val="bottom"/>
            <w:gridSpan w:val="3"/>
          </w:tcPr>
          <w:p>
            <w:pPr>
              <w:ind w:left="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40" w:type="dxa"/>
            <w:vAlign w:val="bottom"/>
          </w:tcPr>
          <w:p>
            <w:pPr>
              <w:jc w:val="center"/>
              <w:spacing w:after="0"/>
              <w:rPr>
                <w:sz w:val="20"/>
                <w:szCs w:val="20"/>
                <w:color w:val="auto"/>
              </w:rPr>
            </w:pPr>
            <w:r>
              <w:rPr>
                <w:rFonts w:ascii="Arial" w:cs="Arial" w:eastAsia="Arial" w:hAnsi="Arial"/>
                <w:sz w:val="18"/>
                <w:szCs w:val="18"/>
                <w:b w:val="1"/>
                <w:bCs w:val="1"/>
                <w:color w:val="auto"/>
              </w:rPr>
              <w:t>ARDELYX,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8"/>
              </w:rPr>
              <w:t>CONDENSED BALANCE SHEETS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24"/>
                <w:szCs w:val="2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271"/>
              <w:spacing w:after="0" w:line="129" w:lineRule="exact"/>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60" w:type="dxa"/>
            <w:vAlign w:val="bottom"/>
          </w:tcPr>
          <w:p>
            <w:pPr>
              <w:spacing w:after="0" w:line="176" w:lineRule="exact"/>
              <w:rPr>
                <w:sz w:val="20"/>
                <w:szCs w:val="20"/>
                <w:color w:val="auto"/>
              </w:rPr>
            </w:pPr>
            <w:r>
              <w:rPr>
                <w:rFonts w:ascii="Arial" w:cs="Arial" w:eastAsia="Arial" w:hAnsi="Arial"/>
                <w:sz w:val="18"/>
                <w:szCs w:val="18"/>
                <w:color w:val="auto"/>
                <w:w w:val="85"/>
              </w:rPr>
              <w:t>Current assets: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92,036</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78,768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59,524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89,321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Unbilled license revenue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5,000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2,745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3,197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620" w:type="dxa"/>
            <w:vAlign w:val="bottom"/>
            <w:gridSpan w:val="4"/>
          </w:tcPr>
          <w:p>
            <w:pPr>
              <w:ind w:left="320"/>
              <w:spacing w:after="0" w:line="170" w:lineRule="exact"/>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8"/>
                <w:szCs w:val="18"/>
                <w:color w:val="auto"/>
              </w:rPr>
              <w:t>154,312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176,371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5,611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tcPr>
          <w:p>
            <w:pPr>
              <w:spacing w:after="0" w:line="176" w:lineRule="exact"/>
              <w:rPr>
                <w:sz w:val="20"/>
                <w:szCs w:val="20"/>
                <w:color w:val="auto"/>
              </w:rPr>
            </w:pPr>
            <w:r>
              <w:rPr>
                <w:rFonts w:ascii="Arial" w:cs="Arial" w:eastAsia="Arial" w:hAnsi="Arial"/>
                <w:sz w:val="18"/>
                <w:szCs w:val="18"/>
                <w:color w:val="auto"/>
              </w:rPr>
              <w:t>Right-of-use assets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5,371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0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1,350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tcBorders>
              <w:bottom w:val="single" w:sz="8" w:color="CCEEFF"/>
            </w:tcBorders>
            <w:gridSpan w:val="4"/>
          </w:tcPr>
          <w:p>
            <w:pPr>
              <w:ind w:left="320"/>
              <w:spacing w:after="0" w:line="170"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166,135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183,332</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tcPr>
          <w:p>
            <w:pPr>
              <w:spacing w:after="0" w:line="176" w:lineRule="exact"/>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2,925</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1,148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Accrued compensation and benefits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1,634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2,723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Uncharged license fees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Current portion of operating lease liability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2,102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Accrued and other liabilities</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14,165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12,857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620" w:type="dxa"/>
            <w:vAlign w:val="bottom"/>
            <w:gridSpan w:val="4"/>
          </w:tcPr>
          <w:p>
            <w:pPr>
              <w:ind w:left="320"/>
              <w:spacing w:after="0" w:line="170"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line="170" w:lineRule="exact"/>
              <w:rPr>
                <w:sz w:val="20"/>
                <w:szCs w:val="20"/>
                <w:color w:val="auto"/>
              </w:rPr>
            </w:pPr>
            <w:r>
              <w:rPr>
                <w:rFonts w:ascii="Arial" w:cs="Arial" w:eastAsia="Arial" w:hAnsi="Arial"/>
                <w:sz w:val="18"/>
                <w:szCs w:val="18"/>
                <w:color w:val="auto"/>
              </w:rPr>
              <w:t>20,826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0" w:lineRule="exact"/>
              <w:rPr>
                <w:sz w:val="20"/>
                <w:szCs w:val="20"/>
                <w:color w:val="auto"/>
              </w:rPr>
            </w:pPr>
            <w:r>
              <w:rPr>
                <w:rFonts w:ascii="Arial" w:cs="Arial" w:eastAsia="Arial" w:hAnsi="Arial"/>
                <w:sz w:val="18"/>
                <w:szCs w:val="18"/>
                <w:color w:val="auto"/>
              </w:rPr>
              <w:t>17,728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Operating lease liability, net of current portion</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tcPr>
          <w:p>
            <w:pPr>
              <w:spacing w:after="0" w:line="176" w:lineRule="exact"/>
              <w:rPr>
                <w:sz w:val="20"/>
                <w:szCs w:val="20"/>
                <w:color w:val="auto"/>
              </w:rPr>
            </w:pPr>
            <w:r>
              <w:rPr>
                <w:rFonts w:ascii="Arial" w:cs="Arial" w:eastAsia="Arial" w:hAnsi="Arial"/>
                <w:sz w:val="18"/>
                <w:szCs w:val="18"/>
                <w:color w:val="auto"/>
              </w:rPr>
              <w:t>Loan payable, long term</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49,399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49,209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620" w:type="dxa"/>
            <w:vAlign w:val="bottom"/>
            <w:tcBorders>
              <w:bottom w:val="single" w:sz="8" w:color="CCEEFF"/>
            </w:tcBorders>
            <w:gridSpan w:val="4"/>
          </w:tcPr>
          <w:p>
            <w:pPr>
              <w:ind w:left="320"/>
              <w:spacing w:after="0" w:line="170"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74,294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67,519</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62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tcPr>
          <w:p>
            <w:pPr>
              <w:spacing w:after="0" w:line="176" w:lineRule="exact"/>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620" w:type="dxa"/>
            <w:vAlign w:val="bottom"/>
            <w:gridSpan w:val="4"/>
            <w:shd w:val="clear" w:color="auto" w:fill="CCEEFF"/>
          </w:tcPr>
          <w:p>
            <w:pPr>
              <w:ind w:left="100"/>
              <w:spacing w:after="0" w:line="149" w:lineRule="exact"/>
              <w:rPr>
                <w:sz w:val="20"/>
                <w:szCs w:val="20"/>
                <w:color w:val="auto"/>
              </w:rPr>
            </w:pPr>
            <w:r>
              <w:rPr>
                <w:rFonts w:ascii="Arial" w:cs="Arial" w:eastAsia="Arial" w:hAnsi="Arial"/>
                <w:sz w:val="17"/>
                <w:szCs w:val="17"/>
                <w:color w:val="auto"/>
                <w:w w:val="98"/>
              </w:rPr>
              <w:t>Preferred stock, $0.0001 par value; 5,000,000 shares authorized; no shares issued and</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6620" w:type="dxa"/>
            <w:vAlign w:val="bottom"/>
            <w:gridSpan w:val="4"/>
            <w:shd w:val="clear" w:color="auto" w:fill="CCEEFF"/>
          </w:tcPr>
          <w:p>
            <w:pPr>
              <w:ind w:left="100"/>
              <w:spacing w:after="0" w:line="202" w:lineRule="exact"/>
              <w:rPr>
                <w:sz w:val="20"/>
                <w:szCs w:val="20"/>
                <w:color w:val="auto"/>
              </w:rPr>
            </w:pPr>
            <w:r>
              <w:rPr>
                <w:rFonts w:ascii="Arial" w:cs="Arial" w:eastAsia="Arial" w:hAnsi="Arial"/>
                <w:sz w:val="18"/>
                <w:szCs w:val="18"/>
                <w:color w:val="auto"/>
              </w:rPr>
              <w:t>outstanding as of March 31, 2019 and December 31, 2018, respectively.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620" w:type="dxa"/>
            <w:vAlign w:val="bottom"/>
            <w:gridSpan w:val="4"/>
          </w:tcPr>
          <w:p>
            <w:pPr>
              <w:ind w:left="100"/>
              <w:spacing w:after="0" w:line="149" w:lineRule="exact"/>
              <w:rPr>
                <w:sz w:val="20"/>
                <w:szCs w:val="20"/>
                <w:color w:val="auto"/>
              </w:rPr>
            </w:pPr>
            <w:r>
              <w:rPr>
                <w:rFonts w:ascii="Arial" w:cs="Arial" w:eastAsia="Arial" w:hAnsi="Arial"/>
                <w:sz w:val="17"/>
                <w:szCs w:val="17"/>
                <w:color w:val="auto"/>
              </w:rPr>
              <w:t>Common stock, $0.0001 par value; 300,000,000 shares authorized; 62,600,443 and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tcPr>
          <w:p>
            <w:pPr>
              <w:ind w:left="100"/>
              <w:spacing w:after="0" w:line="176" w:lineRule="exact"/>
              <w:rPr>
                <w:sz w:val="20"/>
                <w:szCs w:val="20"/>
                <w:color w:val="auto"/>
              </w:rPr>
            </w:pPr>
            <w:r>
              <w:rPr>
                <w:rFonts w:ascii="Arial" w:cs="Arial" w:eastAsia="Arial" w:hAnsi="Arial"/>
                <w:sz w:val="18"/>
                <w:szCs w:val="18"/>
                <w:color w:val="auto"/>
                <w:w w:val="90"/>
              </w:rPr>
              <w:t>62,516,627 shares issued and outstanding as of March 31, 2019 and December 31, 2018,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1060" w:type="dxa"/>
            <w:vAlign w:val="bottom"/>
          </w:tcPr>
          <w:p>
            <w:pPr>
              <w:ind w:left="100"/>
              <w:spacing w:after="0" w:line="202" w:lineRule="exact"/>
              <w:rPr>
                <w:sz w:val="20"/>
                <w:szCs w:val="20"/>
                <w:color w:val="auto"/>
              </w:rPr>
            </w:pPr>
            <w:r>
              <w:rPr>
                <w:rFonts w:ascii="Arial" w:cs="Arial" w:eastAsia="Arial" w:hAnsi="Arial"/>
                <w:sz w:val="18"/>
                <w:szCs w:val="18"/>
                <w:color w:val="auto"/>
                <w:w w:val="93"/>
              </w:rPr>
              <w:t>respectively.</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483,479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481,357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tcPr>
          <w:p>
            <w:pPr>
              <w:ind w:left="100"/>
              <w:spacing w:after="0" w:line="176" w:lineRule="exact"/>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w w:val="98"/>
              </w:rPr>
              <w:t>(391,656)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w w:val="95"/>
              </w:rPr>
              <w:t>(365,512)</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gridSpan w:val="4"/>
            <w:shd w:val="clear" w:color="auto" w:fill="CCEEFF"/>
          </w:tcPr>
          <w:p>
            <w:pPr>
              <w:ind w:left="100"/>
              <w:spacing w:after="0" w:line="176" w:lineRule="exact"/>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6620" w:type="dxa"/>
            <w:vAlign w:val="bottom"/>
            <w:tcBorders>
              <w:bottom w:val="single" w:sz="8" w:color="CCEEFF"/>
            </w:tcBorders>
            <w:gridSpan w:val="4"/>
          </w:tcPr>
          <w:p>
            <w:pPr>
              <w:spacing w:after="0" w:line="170"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91,841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115,813</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6620" w:type="dxa"/>
            <w:vAlign w:val="bottom"/>
            <w:tcBorders>
              <w:bottom w:val="single" w:sz="8" w:color="CCEEFF"/>
            </w:tcBorders>
            <w:gridSpan w:val="4"/>
            <w:shd w:val="clear" w:color="auto" w:fill="CCEEFF"/>
          </w:tcPr>
          <w:p>
            <w:pPr>
              <w:spacing w:after="0" w:line="170"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166,135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183,332</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4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hanging="317"/>
        <w:spacing w:after="0" w:line="203" w:lineRule="exact"/>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w:t>
      </w:r>
    </w:p>
    <w:p>
      <w:pPr>
        <w:spacing w:after="0" w:line="16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spacing w:after="0" w:line="204" w:lineRule="auto"/>
        <w:rPr>
          <w:sz w:val="20"/>
          <w:szCs w:val="20"/>
          <w:color w:val="auto"/>
        </w:rPr>
      </w:pPr>
      <w:r>
        <w:rPr>
          <w:rFonts w:ascii="Arial" w:cs="Arial" w:eastAsia="Arial" w:hAnsi="Arial"/>
          <w:sz w:val="18"/>
          <w:szCs w:val="18"/>
          <w:b w:val="1"/>
          <w:bCs w:val="1"/>
          <w:color w:val="auto"/>
        </w:rPr>
        <w:t>(in thousands, except share and per share amounts)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March 31,</w:t>
            </w:r>
          </w:p>
        </w:tc>
      </w:tr>
      <w:tr>
        <w:trPr>
          <w:trHeight w:val="129"/>
        </w:trPr>
        <w:tc>
          <w:tcPr>
            <w:tcW w:w="562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91"/>
              <w:spacing w:after="0" w:line="129"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r>
      <w:tr>
        <w:trPr>
          <w:trHeight w:val="169"/>
        </w:trPr>
        <w:tc>
          <w:tcPr>
            <w:tcW w:w="56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Revenues: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76"/>
        </w:trPr>
        <w:tc>
          <w:tcPr>
            <w:tcW w:w="5620" w:type="dxa"/>
            <w:vAlign w:val="bottom"/>
          </w:tcPr>
          <w:p>
            <w:pPr>
              <w:ind w:left="220"/>
              <w:spacing w:after="0" w:line="176" w:lineRule="exact"/>
              <w:rPr>
                <w:sz w:val="20"/>
                <w:szCs w:val="20"/>
                <w:color w:val="auto"/>
              </w:rPr>
            </w:pPr>
            <w:r>
              <w:rPr>
                <w:rFonts w:ascii="Arial" w:cs="Arial" w:eastAsia="Arial" w:hAnsi="Arial"/>
                <w:sz w:val="18"/>
                <w:szCs w:val="18"/>
                <w:color w:val="auto"/>
              </w:rPr>
              <w:t>Licensing revenue</w:t>
            </w:r>
          </w:p>
        </w:tc>
        <w:tc>
          <w:tcPr>
            <w:tcW w:w="11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2,320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5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Cost of revenue</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464</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69"/>
        </w:trPr>
        <w:tc>
          <w:tcPr>
            <w:tcW w:w="5620" w:type="dxa"/>
            <w:vAlign w:val="bottom"/>
            <w:tcBorders>
              <w:bottom w:val="single" w:sz="8" w:color="CCEEFF"/>
            </w:tcBorders>
          </w:tcPr>
          <w:p>
            <w:pPr>
              <w:ind w:left="440"/>
              <w:spacing w:after="0" w:line="170" w:lineRule="exact"/>
              <w:rPr>
                <w:sz w:val="20"/>
                <w:szCs w:val="20"/>
                <w:color w:val="auto"/>
              </w:rPr>
            </w:pPr>
            <w:r>
              <w:rPr>
                <w:rFonts w:ascii="Arial" w:cs="Arial" w:eastAsia="Arial" w:hAnsi="Arial"/>
                <w:sz w:val="18"/>
                <w:szCs w:val="18"/>
                <w:color w:val="auto"/>
              </w:rPr>
              <w:t>Gross profit</w:t>
            </w:r>
          </w:p>
        </w:tc>
        <w:tc>
          <w:tcPr>
            <w:tcW w:w="10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1,856</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r>
      <w:tr>
        <w:trPr>
          <w:trHeight w:val="169"/>
        </w:trPr>
        <w:tc>
          <w:tcPr>
            <w:tcW w:w="56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expenses: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76"/>
        </w:trPr>
        <w:tc>
          <w:tcPr>
            <w:tcW w:w="562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1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20,381</w:t>
            </w:r>
          </w:p>
        </w:tc>
        <w:tc>
          <w:tcPr>
            <w:tcW w:w="160" w:type="dxa"/>
            <w:vAlign w:val="bottom"/>
          </w:tcPr>
          <w:p>
            <w:pPr>
              <w:spacing w:after="0"/>
              <w:rPr>
                <w:sz w:val="15"/>
                <w:szCs w:val="15"/>
                <w:color w:val="auto"/>
              </w:rPr>
            </w:pP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13,350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56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5,117</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6,191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69"/>
        </w:trPr>
        <w:tc>
          <w:tcPr>
            <w:tcW w:w="5620" w:type="dxa"/>
            <w:vAlign w:val="bottom"/>
            <w:tcBorders>
              <w:bottom w:val="single" w:sz="8" w:color="CCEEFF"/>
            </w:tcBorders>
          </w:tcPr>
          <w:p>
            <w:pPr>
              <w:ind w:left="440"/>
              <w:spacing w:after="0" w:line="170" w:lineRule="exact"/>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25,498</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19,541</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r>
      <w:tr>
        <w:trPr>
          <w:trHeight w:val="169"/>
        </w:trPr>
        <w:tc>
          <w:tcPr>
            <w:tcW w:w="5620" w:type="dxa"/>
            <w:vAlign w:val="bottom"/>
            <w:shd w:val="clear" w:color="auto" w:fill="CCEEFF"/>
          </w:tcPr>
          <w:p>
            <w:pPr>
              <w:ind w:left="220"/>
              <w:spacing w:after="0" w:line="170" w:lineRule="exact"/>
              <w:rPr>
                <w:sz w:val="20"/>
                <w:szCs w:val="20"/>
                <w:color w:val="auto"/>
              </w:rPr>
            </w:pPr>
            <w:r>
              <w:rPr>
                <w:rFonts w:ascii="Arial" w:cs="Arial" w:eastAsia="Arial" w:hAnsi="Arial"/>
                <w:sz w:val="18"/>
                <w:szCs w:val="18"/>
                <w:color w:val="auto"/>
              </w:rPr>
              <w:t>Loss from operations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(25,498)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(17,685)</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76"/>
        </w:trPr>
        <w:tc>
          <w:tcPr>
            <w:tcW w:w="5620" w:type="dxa"/>
            <w:vAlign w:val="bottom"/>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(1,434)</w:t>
            </w:r>
          </w:p>
        </w:tc>
        <w:tc>
          <w:tcPr>
            <w:tcW w:w="140" w:type="dxa"/>
            <w:vAlign w:val="bottom"/>
          </w:tcPr>
          <w:p>
            <w:pPr>
              <w:spacing w:after="0"/>
              <w:rPr>
                <w:sz w:val="15"/>
                <w:szCs w:val="15"/>
                <w:color w:val="auto"/>
              </w:rPr>
            </w:pPr>
          </w:p>
        </w:tc>
        <w:tc>
          <w:tcPr>
            <w:tcW w:w="1080" w:type="dxa"/>
            <w:vAlign w:val="bottom"/>
            <w:gridSpan w:val="3"/>
          </w:tcPr>
          <w:p>
            <w:pPr>
              <w:jc w:val="right"/>
              <w:ind w:right="220"/>
              <w:spacing w:after="0" w:line="176" w:lineRule="exact"/>
              <w:rPr>
                <w:sz w:val="20"/>
                <w:szCs w:val="20"/>
                <w:color w:val="auto"/>
              </w:rPr>
            </w:pPr>
            <w:r>
              <w:rPr>
                <w:rFonts w:ascii="Arial" w:cs="Arial" w:eastAsia="Arial" w:hAnsi="Arial"/>
                <w:sz w:val="18"/>
                <w:szCs w:val="18"/>
                <w:color w:val="auto"/>
              </w:rPr>
              <w:t>—</w:t>
            </w:r>
          </w:p>
        </w:tc>
      </w:tr>
      <w:tr>
        <w:trPr>
          <w:trHeight w:val="176"/>
        </w:trPr>
        <w:tc>
          <w:tcPr>
            <w:tcW w:w="56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10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790</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670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69"/>
        </w:trPr>
        <w:tc>
          <w:tcPr>
            <w:tcW w:w="5620" w:type="dxa"/>
            <w:vAlign w:val="bottom"/>
          </w:tcPr>
          <w:p>
            <w:pPr>
              <w:spacing w:after="0" w:line="170" w:lineRule="exact"/>
              <w:rPr>
                <w:sz w:val="20"/>
                <w:szCs w:val="20"/>
                <w:color w:val="auto"/>
              </w:rPr>
            </w:pPr>
            <w:r>
              <w:rPr>
                <w:rFonts w:ascii="Arial" w:cs="Arial" w:eastAsia="Arial" w:hAnsi="Arial"/>
                <w:sz w:val="18"/>
                <w:szCs w:val="18"/>
                <w:color w:val="auto"/>
              </w:rPr>
              <w:t>Loss before provision for income taxes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line="170" w:lineRule="exact"/>
              <w:rPr>
                <w:sz w:val="20"/>
                <w:szCs w:val="20"/>
                <w:color w:val="auto"/>
              </w:rPr>
            </w:pPr>
            <w:r>
              <w:rPr>
                <w:rFonts w:ascii="Arial" w:cs="Arial" w:eastAsia="Arial" w:hAnsi="Arial"/>
                <w:sz w:val="18"/>
                <w:szCs w:val="18"/>
                <w:color w:val="auto"/>
              </w:rPr>
              <w:t>(26,142)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70" w:lineRule="exact"/>
              <w:rPr>
                <w:sz w:val="20"/>
                <w:szCs w:val="20"/>
                <w:color w:val="auto"/>
              </w:rPr>
            </w:pPr>
            <w:r>
              <w:rPr>
                <w:rFonts w:ascii="Arial" w:cs="Arial" w:eastAsia="Arial" w:hAnsi="Arial"/>
                <w:sz w:val="18"/>
                <w:szCs w:val="18"/>
                <w:color w:val="auto"/>
              </w:rPr>
              <w:t>(17,015)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6"/>
        </w:trPr>
        <w:tc>
          <w:tcPr>
            <w:tcW w:w="5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Provision for income taxes</w:t>
            </w:r>
          </w:p>
        </w:tc>
        <w:tc>
          <w:tcPr>
            <w:tcW w:w="10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6"/>
        </w:trPr>
        <w:tc>
          <w:tcPr>
            <w:tcW w:w="56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10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(26,144)</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(17,019)</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r>
      <w:tr>
        <w:trPr>
          <w:trHeight w:val="196"/>
        </w:trPr>
        <w:tc>
          <w:tcPr>
            <w:tcW w:w="56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Net loss per common share, basic and diluted</w:t>
            </w: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(0.42)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(0.36)</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r>
      <w:tr>
        <w:trPr>
          <w:trHeight w:val="170"/>
        </w:trPr>
        <w:tc>
          <w:tcPr>
            <w:tcW w:w="562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Shares used in computing net loss per share - basic and diluted</w:t>
            </w:r>
          </w:p>
        </w:tc>
        <w:tc>
          <w:tcPr>
            <w:tcW w:w="1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95"/>
              </w:rPr>
              <w:t>62,546,295</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93"/>
              </w:rPr>
              <w:t>47,559,366</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r>
      <w:tr>
        <w:trPr>
          <w:trHeight w:val="176"/>
        </w:trPr>
        <w:tc>
          <w:tcPr>
            <w:tcW w:w="56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Comprehensive loss:</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6"/>
        </w:trPr>
        <w:tc>
          <w:tcPr>
            <w:tcW w:w="562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(26,144)</w:t>
            </w: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(17,019)</w:t>
            </w:r>
          </w:p>
        </w:tc>
        <w:tc>
          <w:tcPr>
            <w:tcW w:w="140" w:type="dxa"/>
            <w:vAlign w:val="bottom"/>
          </w:tcPr>
          <w:p>
            <w:pPr>
              <w:spacing w:after="0"/>
              <w:rPr>
                <w:sz w:val="15"/>
                <w:szCs w:val="15"/>
                <w:color w:val="auto"/>
              </w:rPr>
            </w:pPr>
          </w:p>
        </w:tc>
      </w:tr>
      <w:tr>
        <w:trPr>
          <w:trHeight w:val="176"/>
        </w:trPr>
        <w:tc>
          <w:tcPr>
            <w:tcW w:w="56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Unrealized gain (loss) on available-for-sale securities, net of tax</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5"/>
                <w:szCs w:val="15"/>
                <w:color w:val="auto"/>
              </w:rPr>
            </w:pPr>
          </w:p>
        </w:tc>
      </w:tr>
      <w:tr>
        <w:trPr>
          <w:trHeight w:val="176"/>
        </w:trPr>
        <w:tc>
          <w:tcPr>
            <w:tcW w:w="5620" w:type="dxa"/>
            <w:vAlign w:val="bottom"/>
          </w:tcPr>
          <w:p>
            <w:pPr>
              <w:spacing w:after="0" w:line="170" w:lineRule="exact"/>
              <w:rPr>
                <w:sz w:val="20"/>
                <w:szCs w:val="20"/>
                <w:color w:val="auto"/>
              </w:rPr>
            </w:pPr>
            <w:r>
              <w:rPr>
                <w:rFonts w:ascii="Arial" w:cs="Arial" w:eastAsia="Arial" w:hAnsi="Arial"/>
                <w:sz w:val="18"/>
                <w:szCs w:val="18"/>
                <w:color w:val="auto"/>
              </w:rPr>
              <w:t>Comprehensive loss</w:t>
            </w:r>
          </w:p>
        </w:tc>
        <w:tc>
          <w:tcPr>
            <w:tcW w:w="10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(26,094)</w:t>
            </w:r>
          </w:p>
        </w:tc>
        <w:tc>
          <w:tcPr>
            <w:tcW w:w="1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(17,063)</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bl>
    <w:p>
      <w:pPr>
        <w:spacing w:after="0" w:line="14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CHANGES IN STOCKHOLDERS’ EQUITY</w:t>
      </w:r>
    </w:p>
    <w:p>
      <w:pPr>
        <w:jc w:val="center"/>
        <w:ind w:right="-339"/>
        <w:spacing w:after="0" w:line="204" w:lineRule="auto"/>
        <w:rPr>
          <w:sz w:val="20"/>
          <w:szCs w:val="20"/>
          <w:color w:val="auto"/>
        </w:rPr>
      </w:pPr>
      <w:r>
        <w:rPr>
          <w:rFonts w:ascii="Arial" w:cs="Arial" w:eastAsia="Arial" w:hAnsi="Arial"/>
          <w:sz w:val="18"/>
          <w:szCs w:val="18"/>
          <w:b w:val="1"/>
          <w:bCs w:val="1"/>
          <w:color w:val="auto"/>
        </w:rPr>
        <w:t>For the Three Months Ended March 31, 2019</w:t>
      </w:r>
    </w:p>
    <w:p>
      <w:pPr>
        <w:jc w:val="center"/>
        <w:ind w:right="-339"/>
        <w:spacing w:after="0" w:line="203"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(Unaudited)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4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58"/>
              <w:spacing w:after="0" w:line="13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4"/>
          </w:tcPr>
          <w:p>
            <w:pPr>
              <w:jc w:val="center"/>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90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23"/>
        </w:trPr>
        <w:tc>
          <w:tcPr>
            <w:tcW w:w="3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line="20" w:lineRule="exact"/>
              <w:rPr>
                <w:sz w:val="1"/>
                <w:szCs w:val="1"/>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line="20" w:lineRule="exact"/>
              <w:rPr>
                <w:sz w:val="1"/>
                <w:szCs w:val="1"/>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860" w:type="dxa"/>
            <w:vAlign w:val="bottom"/>
          </w:tcPr>
          <w:p>
            <w:pPr>
              <w:jc w:val="right"/>
              <w:ind w:right="134"/>
              <w:spacing w:after="0" w:line="12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Balance as of December 31, 2018</w:t>
            </w: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6"/>
              </w:rPr>
              <w:t>62,516,627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481,357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 (365,512)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115,813</w:t>
            </w:r>
          </w:p>
        </w:tc>
        <w:tc>
          <w:tcPr>
            <w:tcW w:w="0" w:type="dxa"/>
            <w:vAlign w:val="bottom"/>
          </w:tcPr>
          <w:p>
            <w:pPr>
              <w:spacing w:after="0"/>
              <w:rPr>
                <w:sz w:val="1"/>
                <w:szCs w:val="1"/>
                <w:color w:val="auto"/>
              </w:rPr>
            </w:pPr>
          </w:p>
        </w:tc>
      </w:tr>
      <w:tr>
        <w:trPr>
          <w:trHeight w:val="122"/>
        </w:trPr>
        <w:tc>
          <w:tcPr>
            <w:tcW w:w="3440" w:type="dxa"/>
            <w:vAlign w:val="bottom"/>
          </w:tcPr>
          <w:p>
            <w:pPr>
              <w:ind w:left="120"/>
              <w:spacing w:after="0" w:line="122" w:lineRule="exact"/>
              <w:rPr>
                <w:sz w:val="20"/>
                <w:szCs w:val="20"/>
                <w:color w:val="auto"/>
              </w:rPr>
            </w:pPr>
            <w:r>
              <w:rPr>
                <w:rFonts w:ascii="Arial" w:cs="Arial" w:eastAsia="Arial" w:hAnsi="Arial"/>
                <w:sz w:val="14"/>
                <w:szCs w:val="14"/>
                <w:color w:val="auto"/>
              </w:rPr>
              <w:t>Issuance of common stock under employee</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83,046</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2" w:lineRule="exact"/>
              <w:rPr>
                <w:sz w:val="20"/>
                <w:szCs w:val="20"/>
                <w:color w:val="auto"/>
              </w:rPr>
            </w:pPr>
            <w:r>
              <w:rPr>
                <w:rFonts w:ascii="Arial" w:cs="Arial" w:eastAsia="Arial" w:hAnsi="Arial"/>
                <w:sz w:val="18"/>
                <w:szCs w:val="18"/>
                <w:color w:val="auto"/>
              </w:rPr>
              <w:t>stock purchase plan</w:t>
            </w: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ind w:left="120"/>
              <w:spacing w:after="0" w:line="149" w:lineRule="exact"/>
              <w:rPr>
                <w:sz w:val="20"/>
                <w:szCs w:val="20"/>
                <w:color w:val="auto"/>
              </w:rPr>
            </w:pPr>
            <w:r>
              <w:rPr>
                <w:rFonts w:ascii="Arial" w:cs="Arial" w:eastAsia="Arial" w:hAnsi="Arial"/>
                <w:sz w:val="17"/>
                <w:szCs w:val="17"/>
                <w:color w:val="auto"/>
                <w:w w:val="99"/>
              </w:rPr>
              <w:t>Issuance of common stock upon exercise of</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options</w:t>
            </w:r>
          </w:p>
        </w:tc>
        <w:tc>
          <w:tcPr>
            <w:tcW w:w="8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120"/>
              <w:spacing w:after="0" w:line="176" w:lineRule="exact"/>
              <w:rPr>
                <w:sz w:val="20"/>
                <w:szCs w:val="20"/>
                <w:color w:val="auto"/>
              </w:rPr>
            </w:pPr>
            <w:r>
              <w:rPr>
                <w:rFonts w:ascii="Arial" w:cs="Arial" w:eastAsia="Arial" w:hAnsi="Arial"/>
                <w:sz w:val="18"/>
                <w:szCs w:val="18"/>
                <w:color w:val="auto"/>
              </w:rPr>
              <w:t>Stock-based compensation</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1,922</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Other comprehensive income</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76"/>
        </w:trPr>
        <w:tc>
          <w:tcPr>
            <w:tcW w:w="3440" w:type="dxa"/>
            <w:vAlign w:val="bottom"/>
          </w:tcPr>
          <w:p>
            <w:pPr>
              <w:ind w:left="120"/>
              <w:spacing w:after="0" w:line="176" w:lineRule="exact"/>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auto"/>
              </w:rPr>
              <w:t>(26,144)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w w:val="98"/>
              </w:rPr>
              <w:t>(26,144)</w:t>
            </w:r>
          </w:p>
        </w:tc>
        <w:tc>
          <w:tcPr>
            <w:tcW w:w="0" w:type="dxa"/>
            <w:vAlign w:val="bottom"/>
          </w:tcPr>
          <w:p>
            <w:pPr>
              <w:spacing w:after="0"/>
              <w:rPr>
                <w:sz w:val="1"/>
                <w:szCs w:val="1"/>
                <w:color w:val="auto"/>
              </w:rPr>
            </w:pPr>
          </w:p>
        </w:tc>
      </w:tr>
      <w:tr>
        <w:trPr>
          <w:trHeight w:val="176"/>
        </w:trPr>
        <w:tc>
          <w:tcPr>
            <w:tcW w:w="34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Balance as of March 31, 2019</w:t>
            </w: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6"/>
              </w:rPr>
              <w:t>62,600,443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483,479</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 (391,656)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91,841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CHANGES IN STOCKHOLDERS’ EQUITY</w:t>
      </w:r>
    </w:p>
    <w:p>
      <w:pPr>
        <w:jc w:val="center"/>
        <w:ind w:right="-339"/>
        <w:spacing w:after="0" w:line="204" w:lineRule="auto"/>
        <w:rPr>
          <w:sz w:val="20"/>
          <w:szCs w:val="20"/>
          <w:color w:val="auto"/>
        </w:rPr>
      </w:pPr>
      <w:r>
        <w:rPr>
          <w:rFonts w:ascii="Arial" w:cs="Arial" w:eastAsia="Arial" w:hAnsi="Arial"/>
          <w:sz w:val="18"/>
          <w:szCs w:val="18"/>
          <w:b w:val="1"/>
          <w:bCs w:val="1"/>
          <w:color w:val="auto"/>
        </w:rPr>
        <w:t>For the Three Months Ended March 31, 2018</w:t>
      </w:r>
    </w:p>
    <w:p>
      <w:pPr>
        <w:jc w:val="center"/>
        <w:ind w:right="-339"/>
        <w:spacing w:after="0" w:line="203"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860" w:type="dxa"/>
            <w:vAlign w:val="bottom"/>
          </w:tcPr>
          <w:p>
            <w:pPr>
              <w:jc w:val="right"/>
              <w:ind w:right="134"/>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6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3"/>
                <w:szCs w:val="13"/>
                <w:color w:val="auto"/>
              </w:rPr>
            </w:pPr>
          </w:p>
        </w:tc>
        <w:tc>
          <w:tcPr>
            <w:tcW w:w="740" w:type="dxa"/>
            <w:vAlign w:val="bottom"/>
          </w:tcPr>
          <w:p>
            <w:pPr>
              <w:jc w:val="right"/>
              <w:ind w:right="57"/>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3"/>
                <w:szCs w:val="13"/>
                <w:color w:val="auto"/>
              </w:rPr>
            </w:pPr>
          </w:p>
        </w:tc>
        <w:tc>
          <w:tcPr>
            <w:tcW w:w="92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3"/>
                <w:szCs w:val="13"/>
                <w:color w:val="auto"/>
              </w:rPr>
            </w:pPr>
          </w:p>
        </w:tc>
        <w:tc>
          <w:tcPr>
            <w:tcW w:w="1040" w:type="dxa"/>
            <w:vAlign w:val="bottom"/>
            <w:gridSpan w:val="3"/>
          </w:tcPr>
          <w:p>
            <w:pPr>
              <w:jc w:val="center"/>
              <w:ind w:right="100"/>
              <w:spacing w:after="0" w:line="155" w:lineRule="exact"/>
              <w:rPr>
                <w:sz w:val="20"/>
                <w:szCs w:val="20"/>
                <w:color w:val="auto"/>
              </w:rPr>
            </w:pPr>
            <w:r>
              <w:rPr>
                <w:rFonts w:ascii="Arial" w:cs="Arial" w:eastAsia="Arial" w:hAnsi="Arial"/>
                <w:sz w:val="14"/>
                <w:szCs w:val="14"/>
                <w:b w:val="1"/>
                <w:bCs w:val="1"/>
                <w:color w:val="auto"/>
                <w:w w:val="90"/>
              </w:rPr>
              <w:t>Income (Loss)</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ind w:right="114"/>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9"/>
        </w:trPr>
        <w:tc>
          <w:tcPr>
            <w:tcW w:w="34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Balance as of December 31, 2017</w:t>
            </w: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6"/>
              </w:rPr>
              <w:t>47,534,979</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417,568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 (278,214)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139,312</w:t>
            </w:r>
          </w:p>
        </w:tc>
        <w:tc>
          <w:tcPr>
            <w:tcW w:w="0" w:type="dxa"/>
            <w:vAlign w:val="bottom"/>
          </w:tcPr>
          <w:p>
            <w:pPr>
              <w:spacing w:after="0"/>
              <w:rPr>
                <w:sz w:val="1"/>
                <w:szCs w:val="1"/>
                <w:color w:val="auto"/>
              </w:rPr>
            </w:pPr>
          </w:p>
        </w:tc>
      </w:tr>
      <w:tr>
        <w:trPr>
          <w:trHeight w:val="122"/>
        </w:trPr>
        <w:tc>
          <w:tcPr>
            <w:tcW w:w="3440" w:type="dxa"/>
            <w:vAlign w:val="bottom"/>
          </w:tcPr>
          <w:p>
            <w:pPr>
              <w:ind w:left="120"/>
              <w:spacing w:after="0" w:line="122" w:lineRule="exact"/>
              <w:rPr>
                <w:sz w:val="20"/>
                <w:szCs w:val="20"/>
                <w:color w:val="auto"/>
              </w:rPr>
            </w:pPr>
            <w:r>
              <w:rPr>
                <w:rFonts w:ascii="Arial" w:cs="Arial" w:eastAsia="Arial" w:hAnsi="Arial"/>
                <w:sz w:val="14"/>
                <w:szCs w:val="14"/>
                <w:color w:val="auto"/>
              </w:rPr>
              <w:t>Issuance of common stock under employee</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68,589</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2" w:lineRule="exact"/>
              <w:rPr>
                <w:sz w:val="20"/>
                <w:szCs w:val="20"/>
                <w:color w:val="auto"/>
              </w:rPr>
            </w:pPr>
            <w:r>
              <w:rPr>
                <w:rFonts w:ascii="Arial" w:cs="Arial" w:eastAsia="Arial" w:hAnsi="Arial"/>
                <w:sz w:val="18"/>
                <w:szCs w:val="18"/>
                <w:color w:val="auto"/>
              </w:rPr>
              <w:t>stock purchase plan</w:t>
            </w:r>
          </w:p>
        </w:tc>
        <w:tc>
          <w:tcPr>
            <w:tcW w:w="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Stock-based compensation</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2,425</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176"/>
        </w:trPr>
        <w:tc>
          <w:tcPr>
            <w:tcW w:w="3440" w:type="dxa"/>
            <w:vAlign w:val="bottom"/>
          </w:tcPr>
          <w:p>
            <w:pPr>
              <w:ind w:left="120"/>
              <w:spacing w:after="0" w:line="176" w:lineRule="exact"/>
              <w:rPr>
                <w:sz w:val="20"/>
                <w:szCs w:val="20"/>
                <w:color w:val="auto"/>
              </w:rPr>
            </w:pPr>
            <w:r>
              <w:rPr>
                <w:rFonts w:ascii="Arial" w:cs="Arial" w:eastAsia="Arial" w:hAnsi="Arial"/>
                <w:sz w:val="18"/>
                <w:szCs w:val="18"/>
                <w:color w:val="auto"/>
              </w:rPr>
              <w:t>Other comprehensive income</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ind w:left="120"/>
              <w:spacing w:after="0" w:line="149" w:lineRule="exact"/>
              <w:rPr>
                <w:sz w:val="20"/>
                <w:szCs w:val="20"/>
                <w:color w:val="auto"/>
              </w:rPr>
            </w:pPr>
            <w:r>
              <w:rPr>
                <w:rFonts w:ascii="Arial" w:cs="Arial" w:eastAsia="Arial" w:hAnsi="Arial"/>
                <w:sz w:val="17"/>
                <w:szCs w:val="17"/>
                <w:color w:val="auto"/>
              </w:rPr>
              <w:t>Adoption of ASU No. 2014-09 on January</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1, 2018</w:t>
            </w:r>
          </w:p>
        </w:tc>
        <w:tc>
          <w:tcPr>
            <w:tcW w:w="86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120"/>
              <w:spacing w:after="0" w:line="176" w:lineRule="exact"/>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auto"/>
              </w:rPr>
              <w:t>(17,019)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w w:val="98"/>
              </w:rPr>
              <w:t>(17,019)</w:t>
            </w:r>
          </w:p>
        </w:tc>
        <w:tc>
          <w:tcPr>
            <w:tcW w:w="0" w:type="dxa"/>
            <w:vAlign w:val="bottom"/>
          </w:tcPr>
          <w:p>
            <w:pPr>
              <w:spacing w:after="0"/>
              <w:rPr>
                <w:sz w:val="1"/>
                <w:szCs w:val="1"/>
                <w:color w:val="auto"/>
              </w:rPr>
            </w:pPr>
          </w:p>
        </w:tc>
      </w:tr>
      <w:tr>
        <w:trPr>
          <w:trHeight w:val="176"/>
        </w:trPr>
        <w:tc>
          <w:tcPr>
            <w:tcW w:w="34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Balance as of March 31, 2018</w:t>
            </w: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6"/>
              </w:rPr>
              <w:t>47,603,568</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420,294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9"/>
              </w:rPr>
              <w:t>$ (291,233)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128,975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r>
      <w:tr>
        <w:trPr>
          <w:trHeight w:val="129"/>
        </w:trPr>
        <w:tc>
          <w:tcPr>
            <w:tcW w:w="674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March 31,</w:t>
            </w:r>
          </w:p>
        </w:tc>
        <w:tc>
          <w:tcPr>
            <w:tcW w:w="640" w:type="dxa"/>
            <w:vAlign w:val="bottom"/>
            <w:tcBorders>
              <w:top w:val="single" w:sz="8" w:color="auto"/>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r>
      <w:tr>
        <w:trPr>
          <w:trHeight w:val="129"/>
        </w:trPr>
        <w:tc>
          <w:tcPr>
            <w:tcW w:w="67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12"/>
              <w:spacing w:after="0" w:line="129"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1"/>
                <w:szCs w:val="11"/>
                <w:color w:val="auto"/>
              </w:rPr>
            </w:pPr>
          </w:p>
        </w:tc>
      </w:tr>
      <w:tr>
        <w:trPr>
          <w:trHeight w:val="169"/>
        </w:trPr>
        <w:tc>
          <w:tcPr>
            <w:tcW w:w="67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76"/>
        </w:trPr>
        <w:tc>
          <w:tcPr>
            <w:tcW w:w="6740" w:type="dxa"/>
            <w:vAlign w:val="bottom"/>
          </w:tcPr>
          <w:p>
            <w:pPr>
              <w:ind w:left="220"/>
              <w:spacing w:after="0" w:line="176" w:lineRule="exact"/>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(26,144)</w:t>
            </w:r>
          </w:p>
        </w:tc>
        <w:tc>
          <w:tcPr>
            <w:tcW w:w="32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w w:val="92"/>
              </w:rPr>
              <w:t>(17,019)</w:t>
            </w:r>
          </w:p>
        </w:tc>
      </w:tr>
      <w:tr>
        <w:trPr>
          <w:trHeight w:val="176"/>
        </w:trPr>
        <w:tc>
          <w:tcPr>
            <w:tcW w:w="6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8"/>
                <w:szCs w:val="18"/>
                <w:color w:val="auto"/>
              </w:rPr>
              <w:t>Depreciation expense</w:t>
            </w: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675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674</w:t>
            </w:r>
          </w:p>
        </w:tc>
        <w:tc>
          <w:tcPr>
            <w:tcW w:w="38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Amortization of deferred financing costs</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8"/>
                <w:szCs w:val="18"/>
                <w:color w:val="auto"/>
              </w:rPr>
              <w:t>Amortization of deferred compensation for services</w:t>
            </w: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380" w:type="dxa"/>
            <w:vAlign w:val="bottom"/>
          </w:tcPr>
          <w:p>
            <w:pPr>
              <w:spacing w:after="0"/>
              <w:rPr>
                <w:sz w:val="15"/>
                <w:szCs w:val="15"/>
                <w:color w:val="auto"/>
              </w:rPr>
            </w:pP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Amortization of premium on investment securities</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8"/>
                <w:szCs w:val="18"/>
                <w:color w:val="auto"/>
              </w:rPr>
              <w:t>Non-cash lease expense</w:t>
            </w: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439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20"/>
              <w:spacing w:after="0" w:line="176" w:lineRule="exact"/>
              <w:rPr>
                <w:sz w:val="20"/>
                <w:szCs w:val="20"/>
                <w:color w:val="auto"/>
              </w:rPr>
            </w:pPr>
            <w:r>
              <w:rPr>
                <w:rFonts w:ascii="Arial" w:cs="Arial" w:eastAsia="Arial" w:hAnsi="Arial"/>
                <w:sz w:val="18"/>
                <w:szCs w:val="18"/>
                <w:color w:val="auto"/>
              </w:rPr>
              <w:t>—</w:t>
            </w: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Stock-based compensation</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2,425</w:t>
            </w:r>
          </w:p>
        </w:tc>
        <w:tc>
          <w:tcPr>
            <w:tcW w:w="380" w:type="dxa"/>
            <w:vAlign w:val="bottom"/>
            <w:shd w:val="clear" w:color="auto" w:fill="CCEEFF"/>
          </w:tcPr>
          <w:p>
            <w:pPr>
              <w:spacing w:after="0"/>
              <w:rPr>
                <w:sz w:val="15"/>
                <w:szCs w:val="15"/>
                <w:color w:val="auto"/>
              </w:rPr>
            </w:pP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8"/>
                <w:szCs w:val="18"/>
                <w:color w:val="auto"/>
              </w:rPr>
              <w:t>Change in derivative liabilities</w:t>
            </w: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20"/>
              <w:spacing w:after="0" w:line="176" w:lineRule="exact"/>
              <w:rPr>
                <w:sz w:val="20"/>
                <w:szCs w:val="20"/>
                <w:color w:val="auto"/>
              </w:rPr>
            </w:pPr>
            <w:r>
              <w:rPr>
                <w:rFonts w:ascii="Arial" w:cs="Arial" w:eastAsia="Arial" w:hAnsi="Arial"/>
                <w:sz w:val="18"/>
                <w:szCs w:val="18"/>
                <w:color w:val="auto"/>
              </w:rPr>
              <w:t>—</w:t>
            </w:r>
          </w:p>
        </w:tc>
      </w:tr>
      <w:tr>
        <w:trPr>
          <w:trHeight w:val="176"/>
        </w:trPr>
        <w:tc>
          <w:tcPr>
            <w:tcW w:w="674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Non-cash interest associated with debt discount accretion</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20"/>
              <w:spacing w:after="0" w:line="176" w:lineRule="exact"/>
              <w:rPr>
                <w:sz w:val="20"/>
                <w:szCs w:val="20"/>
                <w:color w:val="auto"/>
              </w:rPr>
            </w:pPr>
            <w:r>
              <w:rPr>
                <w:rFonts w:ascii="Arial" w:cs="Arial" w:eastAsia="Arial" w:hAnsi="Arial"/>
                <w:sz w:val="18"/>
                <w:szCs w:val="18"/>
                <w:color w:val="auto"/>
              </w:rPr>
              <w:t>—</w:t>
            </w:r>
          </w:p>
        </w:tc>
      </w:tr>
      <w:tr>
        <w:trPr>
          <w:trHeight w:val="176"/>
        </w:trPr>
        <w:tc>
          <w:tcPr>
            <w:tcW w:w="6740" w:type="dxa"/>
            <w:vAlign w:val="bottom"/>
          </w:tcPr>
          <w:p>
            <w:pPr>
              <w:ind w:left="320"/>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176"/>
        </w:trPr>
        <w:tc>
          <w:tcPr>
            <w:tcW w:w="674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Accounts receivable and unbilled license revenue</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5,078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10,796</w:t>
            </w:r>
          </w:p>
        </w:tc>
        <w:tc>
          <w:tcPr>
            <w:tcW w:w="380" w:type="dxa"/>
            <w:vAlign w:val="bottom"/>
            <w:shd w:val="clear" w:color="auto" w:fill="CCEEFF"/>
          </w:tcPr>
          <w:p>
            <w:pPr>
              <w:spacing w:after="0"/>
              <w:rPr>
                <w:sz w:val="15"/>
                <w:szCs w:val="15"/>
                <w:color w:val="auto"/>
              </w:rPr>
            </w:pPr>
          </w:p>
        </w:tc>
      </w:tr>
      <w:tr>
        <w:trPr>
          <w:trHeight w:val="176"/>
        </w:trPr>
        <w:tc>
          <w:tcPr>
            <w:tcW w:w="6740" w:type="dxa"/>
            <w:vAlign w:val="bottom"/>
          </w:tcPr>
          <w:p>
            <w:pPr>
              <w:ind w:left="540"/>
              <w:spacing w:after="0" w:line="176"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2,005</w:t>
            </w:r>
          </w:p>
        </w:tc>
        <w:tc>
          <w:tcPr>
            <w:tcW w:w="380" w:type="dxa"/>
            <w:vAlign w:val="bottom"/>
          </w:tcPr>
          <w:p>
            <w:pPr>
              <w:spacing w:after="0"/>
              <w:rPr>
                <w:sz w:val="15"/>
                <w:szCs w:val="15"/>
                <w:color w:val="auto"/>
              </w:rPr>
            </w:pPr>
          </w:p>
        </w:tc>
      </w:tr>
      <w:tr>
        <w:trPr>
          <w:trHeight w:val="176"/>
        </w:trPr>
        <w:tc>
          <w:tcPr>
            <w:tcW w:w="674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(2,117)</w:t>
            </w:r>
          </w:p>
        </w:tc>
      </w:tr>
      <w:tr>
        <w:trPr>
          <w:trHeight w:val="176"/>
        </w:trPr>
        <w:tc>
          <w:tcPr>
            <w:tcW w:w="6740" w:type="dxa"/>
            <w:vAlign w:val="bottom"/>
          </w:tcPr>
          <w:p>
            <w:pPr>
              <w:ind w:left="540"/>
              <w:spacing w:after="0" w:line="176" w:lineRule="exact"/>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5"/>
                <w:szCs w:val="15"/>
                <w:color w:val="auto"/>
              </w:rPr>
            </w:pPr>
          </w:p>
        </w:tc>
        <w:tc>
          <w:tcPr>
            <w:tcW w:w="8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(1,089)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rPr>
              <w:t>(1,612)</w:t>
            </w:r>
          </w:p>
        </w:tc>
      </w:tr>
      <w:tr>
        <w:trPr>
          <w:trHeight w:val="176"/>
        </w:trPr>
        <w:tc>
          <w:tcPr>
            <w:tcW w:w="674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Accrued and other liabilities</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80"/>
              <w:spacing w:after="0" w:line="176" w:lineRule="exact"/>
              <w:rPr>
                <w:sz w:val="20"/>
                <w:szCs w:val="20"/>
                <w:color w:val="auto"/>
              </w:rPr>
            </w:pPr>
            <w:r>
              <w:rPr>
                <w:rFonts w:ascii="Arial" w:cs="Arial" w:eastAsia="Arial" w:hAnsi="Arial"/>
                <w:sz w:val="18"/>
                <w:szCs w:val="18"/>
                <w:color w:val="auto"/>
              </w:rPr>
              <w:t>(1,945)</w:t>
            </w:r>
          </w:p>
        </w:tc>
      </w:tr>
      <w:tr>
        <w:trPr>
          <w:trHeight w:val="169"/>
        </w:trPr>
        <w:tc>
          <w:tcPr>
            <w:tcW w:w="67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cash used in operating activities</w:t>
            </w: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(16,913)</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(6,804)</w:t>
            </w:r>
          </w:p>
        </w:tc>
        <w:tc>
          <w:tcPr>
            <w:tcW w:w="380" w:type="dxa"/>
            <w:vAlign w:val="bottom"/>
            <w:tcBorders>
              <w:bottom w:val="single" w:sz="8" w:color="CCEEFF"/>
            </w:tcBorders>
          </w:tcPr>
          <w:p>
            <w:pPr>
              <w:spacing w:after="0"/>
              <w:rPr>
                <w:sz w:val="14"/>
                <w:szCs w:val="14"/>
                <w:color w:val="auto"/>
              </w:rPr>
            </w:pPr>
          </w:p>
        </w:tc>
      </w:tr>
      <w:tr>
        <w:trPr>
          <w:trHeight w:val="169"/>
        </w:trPr>
        <w:tc>
          <w:tcPr>
            <w:tcW w:w="67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Investing activities</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76"/>
        </w:trPr>
        <w:tc>
          <w:tcPr>
            <w:tcW w:w="6740" w:type="dxa"/>
            <w:vAlign w:val="bottom"/>
          </w:tcPr>
          <w:p>
            <w:pPr>
              <w:ind w:left="220"/>
              <w:spacing w:after="0" w:line="176" w:lineRule="exact"/>
              <w:rPr>
                <w:sz w:val="20"/>
                <w:szCs w:val="20"/>
                <w:color w:val="auto"/>
              </w:rPr>
            </w:pPr>
            <w:r>
              <w:rPr>
                <w:rFonts w:ascii="Arial" w:cs="Arial" w:eastAsia="Arial" w:hAnsi="Arial"/>
                <w:sz w:val="18"/>
                <w:szCs w:val="18"/>
                <w:color w:val="auto"/>
              </w:rPr>
              <w:t>Proceeds from maturities of investments</w:t>
            </w: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55,020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37,085</w:t>
            </w:r>
          </w:p>
        </w:tc>
        <w:tc>
          <w:tcPr>
            <w:tcW w:w="380" w:type="dxa"/>
            <w:vAlign w:val="bottom"/>
          </w:tcPr>
          <w:p>
            <w:pPr>
              <w:spacing w:after="0"/>
              <w:rPr>
                <w:sz w:val="15"/>
                <w:szCs w:val="15"/>
                <w:color w:val="auto"/>
              </w:rPr>
            </w:pPr>
          </w:p>
        </w:tc>
      </w:tr>
      <w:tr>
        <w:trPr>
          <w:trHeight w:val="176"/>
        </w:trPr>
        <w:tc>
          <w:tcPr>
            <w:tcW w:w="6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Sales and redemptions of investments</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850</w:t>
            </w:r>
          </w:p>
        </w:tc>
        <w:tc>
          <w:tcPr>
            <w:tcW w:w="380" w:type="dxa"/>
            <w:vAlign w:val="bottom"/>
            <w:shd w:val="clear" w:color="auto" w:fill="CCEEFF"/>
          </w:tcPr>
          <w:p>
            <w:pPr>
              <w:spacing w:after="0"/>
              <w:rPr>
                <w:sz w:val="15"/>
                <w:szCs w:val="15"/>
                <w:color w:val="auto"/>
              </w:rPr>
            </w:pPr>
          </w:p>
        </w:tc>
      </w:tr>
      <w:tr>
        <w:trPr>
          <w:trHeight w:val="176"/>
        </w:trPr>
        <w:tc>
          <w:tcPr>
            <w:tcW w:w="6740" w:type="dxa"/>
            <w:vAlign w:val="bottom"/>
          </w:tcPr>
          <w:p>
            <w:pPr>
              <w:ind w:left="220"/>
              <w:spacing w:after="0" w:line="176" w:lineRule="exact"/>
              <w:rPr>
                <w:sz w:val="20"/>
                <w:szCs w:val="20"/>
                <w:color w:val="auto"/>
              </w:rPr>
            </w:pPr>
            <w:r>
              <w:rPr>
                <w:rFonts w:ascii="Arial" w:cs="Arial" w:eastAsia="Arial" w:hAnsi="Arial"/>
                <w:sz w:val="18"/>
                <w:szCs w:val="18"/>
                <w:color w:val="auto"/>
              </w:rPr>
              <w:t>Purchases of investments</w:t>
            </w:r>
          </w:p>
        </w:tc>
        <w:tc>
          <w:tcPr>
            <w:tcW w:w="180" w:type="dxa"/>
            <w:vAlign w:val="bottom"/>
          </w:tcPr>
          <w:p>
            <w:pPr>
              <w:spacing w:after="0"/>
              <w:rPr>
                <w:sz w:val="15"/>
                <w:szCs w:val="15"/>
                <w:color w:val="auto"/>
              </w:rPr>
            </w:pPr>
          </w:p>
        </w:tc>
        <w:tc>
          <w:tcPr>
            <w:tcW w:w="8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(24,874)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w w:val="92"/>
              </w:rPr>
              <w:t>(39,015)</w:t>
            </w:r>
          </w:p>
        </w:tc>
      </w:tr>
      <w:tr>
        <w:trPr>
          <w:trHeight w:val="176"/>
        </w:trPr>
        <w:tc>
          <w:tcPr>
            <w:tcW w:w="6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spacing w:after="0"/>
              <w:rPr>
                <w:sz w:val="15"/>
                <w:szCs w:val="15"/>
                <w:color w:val="auto"/>
              </w:rPr>
            </w:pPr>
          </w:p>
        </w:tc>
      </w:tr>
      <w:tr>
        <w:trPr>
          <w:trHeight w:val="169"/>
        </w:trPr>
        <w:tc>
          <w:tcPr>
            <w:tcW w:w="67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cash provided by (used in) investing activities</w:t>
            </w: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29,981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(1,135)</w:t>
            </w:r>
          </w:p>
        </w:tc>
        <w:tc>
          <w:tcPr>
            <w:tcW w:w="380" w:type="dxa"/>
            <w:vAlign w:val="bottom"/>
            <w:tcBorders>
              <w:bottom w:val="single" w:sz="8" w:color="CCEEFF"/>
            </w:tcBorders>
          </w:tcPr>
          <w:p>
            <w:pPr>
              <w:spacing w:after="0"/>
              <w:rPr>
                <w:sz w:val="14"/>
                <w:szCs w:val="14"/>
                <w:color w:val="auto"/>
              </w:rPr>
            </w:pPr>
          </w:p>
        </w:tc>
      </w:tr>
      <w:tr>
        <w:trPr>
          <w:trHeight w:val="169"/>
        </w:trPr>
        <w:tc>
          <w:tcPr>
            <w:tcW w:w="67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Financing activities</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76"/>
        </w:trPr>
        <w:tc>
          <w:tcPr>
            <w:tcW w:w="6740" w:type="dxa"/>
            <w:vAlign w:val="bottom"/>
          </w:tcPr>
          <w:p>
            <w:pPr>
              <w:ind w:left="220"/>
              <w:spacing w:after="0" w:line="176" w:lineRule="exact"/>
              <w:rPr>
                <w:sz w:val="20"/>
                <w:szCs w:val="20"/>
                <w:color w:val="auto"/>
              </w:rPr>
            </w:pPr>
            <w:r>
              <w:rPr>
                <w:rFonts w:ascii="Arial" w:cs="Arial" w:eastAsia="Arial" w:hAnsi="Arial"/>
                <w:sz w:val="18"/>
                <w:szCs w:val="18"/>
                <w:color w:val="auto"/>
              </w:rPr>
              <w:t>Issuance of common stock upon exercise of options</w:t>
            </w: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20"/>
              <w:spacing w:after="0" w:line="176" w:lineRule="exact"/>
              <w:rPr>
                <w:sz w:val="20"/>
                <w:szCs w:val="20"/>
                <w:color w:val="auto"/>
              </w:rPr>
            </w:pPr>
            <w:r>
              <w:rPr>
                <w:rFonts w:ascii="Arial" w:cs="Arial" w:eastAsia="Arial" w:hAnsi="Arial"/>
                <w:sz w:val="18"/>
                <w:szCs w:val="18"/>
                <w:color w:val="auto"/>
              </w:rPr>
              <w:t>—</w:t>
            </w:r>
          </w:p>
        </w:tc>
      </w:tr>
      <w:tr>
        <w:trPr>
          <w:trHeight w:val="176"/>
        </w:trPr>
        <w:tc>
          <w:tcPr>
            <w:tcW w:w="67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Proceeds from issuance of common stock under stock plans</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301</w:t>
            </w:r>
          </w:p>
        </w:tc>
        <w:tc>
          <w:tcPr>
            <w:tcW w:w="380" w:type="dxa"/>
            <w:vAlign w:val="bottom"/>
            <w:shd w:val="clear" w:color="auto" w:fill="CCEEFF"/>
          </w:tcPr>
          <w:p>
            <w:pPr>
              <w:spacing w:after="0"/>
              <w:rPr>
                <w:sz w:val="15"/>
                <w:szCs w:val="15"/>
                <w:color w:val="auto"/>
              </w:rPr>
            </w:pPr>
          </w:p>
        </w:tc>
      </w:tr>
      <w:tr>
        <w:trPr>
          <w:trHeight w:val="169"/>
        </w:trPr>
        <w:tc>
          <w:tcPr>
            <w:tcW w:w="67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301</w:t>
            </w:r>
          </w:p>
        </w:tc>
        <w:tc>
          <w:tcPr>
            <w:tcW w:w="380" w:type="dxa"/>
            <w:vAlign w:val="bottom"/>
            <w:tcBorders>
              <w:bottom w:val="single" w:sz="8" w:color="CCEEFF"/>
            </w:tcBorders>
          </w:tcPr>
          <w:p>
            <w:pPr>
              <w:spacing w:after="0"/>
              <w:rPr>
                <w:sz w:val="14"/>
                <w:szCs w:val="14"/>
                <w:color w:val="auto"/>
              </w:rPr>
            </w:pPr>
          </w:p>
        </w:tc>
      </w:tr>
      <w:tr>
        <w:trPr>
          <w:trHeight w:val="169"/>
        </w:trPr>
        <w:tc>
          <w:tcPr>
            <w:tcW w:w="67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Net increase (decrease) in cash and cash equivalents</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13,268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(7,638)</w:t>
            </w:r>
          </w:p>
        </w:tc>
        <w:tc>
          <w:tcPr>
            <w:tcW w:w="380" w:type="dxa"/>
            <w:vAlign w:val="bottom"/>
            <w:shd w:val="clear" w:color="auto" w:fill="CCEEFF"/>
          </w:tcPr>
          <w:p>
            <w:pPr>
              <w:spacing w:after="0"/>
              <w:rPr>
                <w:sz w:val="14"/>
                <w:szCs w:val="14"/>
                <w:color w:val="auto"/>
              </w:rPr>
            </w:pPr>
          </w:p>
        </w:tc>
      </w:tr>
      <w:tr>
        <w:trPr>
          <w:trHeight w:val="176"/>
        </w:trPr>
        <w:tc>
          <w:tcPr>
            <w:tcW w:w="67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b w:val="1"/>
                <w:bCs w:val="1"/>
                <w:color w:val="auto"/>
              </w:rPr>
              <w:t>Cash and cash equivalents at beginning of period</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78,768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75,383</w:t>
            </w:r>
          </w:p>
        </w:tc>
        <w:tc>
          <w:tcPr>
            <w:tcW w:w="380" w:type="dxa"/>
            <w:vAlign w:val="bottom"/>
            <w:tcBorders>
              <w:bottom w:val="single" w:sz="8" w:color="CCEEFF"/>
            </w:tcBorders>
          </w:tcPr>
          <w:p>
            <w:pPr>
              <w:spacing w:after="0"/>
              <w:rPr>
                <w:sz w:val="15"/>
                <w:szCs w:val="15"/>
                <w:color w:val="auto"/>
              </w:rPr>
            </w:pPr>
          </w:p>
        </w:tc>
      </w:tr>
      <w:tr>
        <w:trPr>
          <w:trHeight w:val="176"/>
        </w:trPr>
        <w:tc>
          <w:tcPr>
            <w:tcW w:w="67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Cash and cash equivalents at end of period</w:t>
            </w: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92,036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67,745</w:t>
            </w:r>
          </w:p>
        </w:tc>
        <w:tc>
          <w:tcPr>
            <w:tcW w:w="38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ARDELYX, INC.</w:t>
      </w:r>
    </w:p>
    <w:p>
      <w:pPr>
        <w:jc w:val="center"/>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89"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Ardelyx, Inc., or “the Company,” is a specialized biopharmaceutical company focused on developing first-in-class medicines to improve treatment choices for people with cardiorenal diseases. Tenapanor, a first-in-class inhibitor of NHE3, is being evaluated in a second Phase 3 clinical trial for the treatment of hyperphosphatemia in patients with end-stage renal disease, or ESRD, who are on dialysis and in an additional Phase 3 clinical trial as an adjunctive therapy with phosphate binders for hyperphosphatemia in ESRD patients who are on dialysis and inadequately controlled by phosphate binders. The Company is also advancing a small molecule potassium secretagogue program, RDX013, for the potential treatment of hyperkalemia. In November 2018, the Company’s New Drug Application, or NDA, for tenapanor for the treatment of people with irritable bowel syndrome with constipation, or IBS-C, was accepted for substantive review by the United States Food and Drug Administration, or FDA.</w:t>
      </w:r>
    </w:p>
    <w:p>
      <w:pPr>
        <w:spacing w:after="0" w:line="162" w:lineRule="exact"/>
        <w:rPr>
          <w:sz w:val="20"/>
          <w:szCs w:val="20"/>
          <w:color w:val="auto"/>
        </w:rPr>
      </w:pPr>
    </w:p>
    <w:p>
      <w:pPr>
        <w:ind w:right="700" w:firstLine="324"/>
        <w:spacing w:after="0" w:line="454" w:lineRule="auto"/>
        <w:rPr>
          <w:sz w:val="20"/>
          <w:szCs w:val="20"/>
          <w:color w:val="auto"/>
        </w:rPr>
      </w:pPr>
      <w:r>
        <w:rPr>
          <w:rFonts w:ascii="Arial" w:cs="Arial" w:eastAsia="Arial" w:hAnsi="Arial"/>
          <w:sz w:val="18"/>
          <w:szCs w:val="18"/>
          <w:color w:val="auto"/>
        </w:rPr>
        <w:t xml:space="preserve">The Company operates in only one business segment, which is the development of biopharmaceutical products. </w:t>
      </w:r>
      <w:r>
        <w:rPr>
          <w:rFonts w:ascii="Arial" w:cs="Arial" w:eastAsia="Arial" w:hAnsi="Arial"/>
          <w:sz w:val="18"/>
          <w:szCs w:val="18"/>
          <w:b w:val="1"/>
          <w:bCs w:val="1"/>
          <w:i w:val="1"/>
          <w:iCs w:val="1"/>
          <w:color w:val="auto"/>
        </w:rPr>
        <w:t>Basis of Presentation</w:t>
      </w:r>
    </w:p>
    <w:p>
      <w:pPr>
        <w:jc w:val="both"/>
        <w:ind w:firstLine="324"/>
        <w:spacing w:after="0" w:line="237" w:lineRule="auto"/>
        <w:rPr>
          <w:sz w:val="20"/>
          <w:szCs w:val="20"/>
          <w:color w:val="auto"/>
        </w:rPr>
      </w:pPr>
      <w:r>
        <w:rPr>
          <w:rFonts w:ascii="Arial" w:cs="Arial" w:eastAsia="Arial" w:hAnsi="Arial"/>
          <w:sz w:val="16"/>
          <w:szCs w:val="16"/>
          <w:color w:val="auto"/>
        </w:rPr>
        <w:t>These unaudited condensed consolidated financial statements and the related footnote information of the Company have been prepared pursuant to the requirements of the Securities and Exchange Commission, or the SEC, for interim reporting. As permitted under those rules and regulations, certain footnotes or other financial information that are normally required by U.S. generally accepted accounting principles, or U.S. GAAP, have been condensed or omitted pursuant to such rules and regulations. In the opinion of the Company’s management, the accompanying interim unaudited condensed consolidated financial statements include all adjustments (consisting only of normal recurring adjustments) necessary for a fair presentation of the information for the periods presented. The results for the three months ended March 31, 2019, are not necessarily indicative of results to be expected for the entire year ending December 31, 2019, or future operating periods.</w:t>
      </w:r>
    </w:p>
    <w:p>
      <w:pPr>
        <w:spacing w:after="0" w:line="167" w:lineRule="exact"/>
        <w:rPr>
          <w:sz w:val="20"/>
          <w:szCs w:val="20"/>
          <w:color w:val="auto"/>
        </w:rPr>
      </w:pPr>
    </w:p>
    <w:p>
      <w:pPr>
        <w:jc w:val="both"/>
        <w:ind w:firstLine="324"/>
        <w:spacing w:after="0" w:line="187" w:lineRule="exact"/>
        <w:rPr>
          <w:sz w:val="20"/>
          <w:szCs w:val="20"/>
          <w:color w:val="auto"/>
        </w:rPr>
      </w:pPr>
      <w:r>
        <w:rPr>
          <w:rFonts w:ascii="Arial" w:cs="Arial" w:eastAsia="Arial" w:hAnsi="Arial"/>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2018, included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with the SEC (the “2018 Form 10</w:t>
      </w:r>
      <w:r>
        <w:rPr>
          <w:rFonts w:ascii="MS PGothic" w:cs="MS PGothic" w:eastAsia="MS PGothic" w:hAnsi="MS PGothic"/>
          <w:sz w:val="18"/>
          <w:szCs w:val="18"/>
          <w:color w:val="auto"/>
        </w:rPr>
        <w:t>‑</w:t>
      </w:r>
      <w:r>
        <w:rPr>
          <w:rFonts w:ascii="Arial" w:cs="Arial" w:eastAsia="Arial" w:hAnsi="Arial"/>
          <w:sz w:val="18"/>
          <w:szCs w:val="18"/>
          <w:color w:val="auto"/>
        </w:rPr>
        <w:t>K”). The balance sheet at December 31, 2018, has been derived from the audited consolidated financial statements at that date, as filed with the 2018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The accompanying condensed consolidated financial statements include the accounts of Ardelyx, Inc. and its wholly-owned subsidiary, Ardelyx Cayman Islands, which was placed into voluntary liquidation in December 2017 and dissolved in 2018, have been prepared in accordance with U.S. GAAP. Intercompany transactions and balances have been eliminated upon consolidation.</w:t>
      </w:r>
    </w:p>
    <w:p>
      <w:pPr>
        <w:spacing w:after="0" w:line="118" w:lineRule="exact"/>
        <w:rPr>
          <w:sz w:val="20"/>
          <w:szCs w:val="20"/>
          <w:color w:val="auto"/>
        </w:rPr>
      </w:pPr>
    </w:p>
    <w:p>
      <w:pPr>
        <w:ind w:right="3620"/>
        <w:spacing w:after="0" w:line="456" w:lineRule="auto"/>
        <w:rPr>
          <w:sz w:val="20"/>
          <w:szCs w:val="20"/>
          <w:color w:val="auto"/>
        </w:rPr>
      </w:pPr>
      <w:r>
        <w:rPr>
          <w:rFonts w:ascii="Arial" w:cs="Arial" w:eastAsia="Arial" w:hAnsi="Arial"/>
          <w:sz w:val="18"/>
          <w:szCs w:val="18"/>
          <w:b w:val="1"/>
          <w:bCs w:val="1"/>
          <w:color w:val="auto"/>
        </w:rPr>
        <w:t xml:space="preserve">NOTE 2. SUMMARY OF SIGNIFICANT ACCOUNTING POLICIES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judgments that affect the amounts reported in the consolidated financial statements and accompanying notes. On an ongoing basis, management evaluates its estimates, including those related to recognition of revenue, clinical trial accruals, contract manufacturing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85"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As part of the process of preparing its financial statements, the Company is required to estimate its accrued expenses. This process involves reviewing open contracts and purchase orders, communicating with its personnel to identify services that have been performed on its behalf and estimating the level of service performed and the associated cost incurred for the service when the Company has not yet been invoiced or otherwise notified of the actual cost. The majority of the Company’s service providers submit its monthly invoices in arrears for services performed or when contractual milestones are met. The Company makes estimates of its accrued expenses as of each balance sheet date in its financial statements based on facts and circumstances known to the Company at that time. The Company periodically confirms the accuracy of its estimates with the service providers and makes adjustments if necessary. Examples of estimated accrued research and development expenses include fees paid to:</w:t>
      </w:r>
    </w:p>
    <w:p>
      <w:pPr>
        <w:spacing w:after="0" w:line="162" w:lineRule="exact"/>
        <w:rPr>
          <w:sz w:val="20"/>
          <w:szCs w:val="20"/>
          <w:color w:val="auto"/>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contract research organizations, or CROs, in connection with clinical studies;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investigative sites in connection with clinical studies;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vendors related to product manufacturing, development and distribution of clinical supplies;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4"/>
        </w:numPr>
        <w:rPr>
          <w:rFonts w:ascii="Arial" w:cs="Arial" w:eastAsia="Arial" w:hAnsi="Arial"/>
          <w:sz w:val="18"/>
          <w:szCs w:val="18"/>
          <w:color w:val="231F20"/>
        </w:rPr>
      </w:pPr>
      <w:r>
        <w:rPr>
          <w:rFonts w:ascii="Arial" w:cs="Arial" w:eastAsia="Arial" w:hAnsi="Arial"/>
          <w:sz w:val="18"/>
          <w:szCs w:val="18"/>
          <w:color w:val="auto"/>
        </w:rPr>
        <w:t>vendors in connection with preclinical development activities.</w:t>
      </w:r>
    </w:p>
    <w:p>
      <w:pPr>
        <w:spacing w:after="0" w:line="18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The Company records expenses related to clinical studies and manufacturing development activities based on its estimates of the services received and efforts expended pursuant to contracts with multiple CROs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trial milestones. In accruing service fees, the Company estimates the time period over which services will be performed, enrollment of subjects, number of sites activated and the level of effort to be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 xml:space="preserve">On January 1, 2018 the Company adopted the new standard for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on a modified retrospective method as an adjustment to the opening balance of retained earnings of the annual reporting period. As a result of the adoption of the new standard, on January 1, 2018, the Company recorded the following: (i) a unbilled license revenue under current assets of $5.0 million representing a future receivable related to the first milestone under the Company’s license agreement with Kyowa Hakko Kirin Co., Ltd., or KHK, that KHK achieved in February 2019, (ii) a uncharged license fees under current liabilities of $1.0 million representing a future payable related to the corresponding payment to AstraZeneca AB, or AstraZeneca, in accordance with the Company’s termination agreement with AstraZeneca and (iii) a related decrease in its accumulated deficit of approximately $4.0 million as the new standard permits revenue from milestones that possess certain criteria to be recognized earlier as the new standard contains different recognition criteria related to milestones than under the previous standard, Revenue Recognition, </w:t>
      </w:r>
      <w:r>
        <w:rPr>
          <w:rFonts w:ascii="Arial" w:cs="Arial" w:eastAsia="Arial" w:hAnsi="Arial"/>
          <w:sz w:val="17"/>
          <w:szCs w:val="17"/>
          <w:i w:val="1"/>
          <w:iCs w:val="1"/>
          <w:color w:val="auto"/>
        </w:rPr>
        <w:t>Multiple-Element Arrangements - Licensing</w:t>
      </w:r>
      <w:r>
        <w:rPr>
          <w:rFonts w:ascii="Arial" w:cs="Arial" w:eastAsia="Arial" w:hAnsi="Arial"/>
          <w:sz w:val="17"/>
          <w:szCs w:val="17"/>
          <w:color w:val="auto"/>
        </w:rPr>
        <w:t xml:space="preserve"> </w:t>
      </w:r>
      <w:r>
        <w:rPr>
          <w:rFonts w:ascii="Arial" w:cs="Arial" w:eastAsia="Arial" w:hAnsi="Arial"/>
          <w:sz w:val="17"/>
          <w:szCs w:val="17"/>
          <w:i w:val="1"/>
          <w:iCs w:val="1"/>
          <w:color w:val="auto"/>
        </w:rPr>
        <w:t>revenues</w:t>
      </w:r>
      <w:r>
        <w:rPr>
          <w:rFonts w:ascii="Arial" w:cs="Arial" w:eastAsia="Arial" w:hAnsi="Arial"/>
          <w:sz w:val="17"/>
          <w:szCs w:val="17"/>
          <w:color w:val="auto"/>
        </w:rPr>
        <w:t>, ASC 605. As of March 31, 2019, based on KHK’s achievement of the milestone in February 2019, the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unbilled license revenue was adjusted to zero. Correspondingly, the $1.0 million balance related to uncharged license fees, that the Company owed to AstraZeneca, was reclassed to accounts payable and fully paid to AstraZeneca in the second quarter of 2019.</w:t>
      </w:r>
    </w:p>
    <w:p>
      <w:pPr>
        <w:spacing w:after="0" w:line="16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Company enters into licensing agreements which are within the scope of ASC 606, under which it licenses certain rights to its product candidates to third parties. The terms of these arrangements typically include payment to the Company of one or more of the following: non-refundable, up-front license fees; development, regulatory and commercial milestone payments; and future royalties on net sales of licensed products. Each of these payments results in license, collaboration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and other revenues, except for revenues from royalties on net sales of licensed products, which are classified as royalty revenues.</w:t>
      </w:r>
    </w:p>
    <w:p>
      <w:pPr>
        <w:spacing w:after="0" w:line="16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each of its agreements, the Company performs the following steps: (i) identification of the promised goods or services in the contract;</w:t>
      </w:r>
    </w:p>
    <w:p>
      <w:pPr>
        <w:spacing w:after="0" w:line="1" w:lineRule="exact"/>
        <w:rPr>
          <w:sz w:val="20"/>
          <w:szCs w:val="20"/>
          <w:color w:val="auto"/>
        </w:rPr>
      </w:pPr>
    </w:p>
    <w:p>
      <w:pPr>
        <w:jc w:val="both"/>
        <w:ind w:firstLine="3"/>
        <w:spacing w:after="0" w:line="229" w:lineRule="auto"/>
        <w:tabs>
          <w:tab w:leader="none" w:pos="271" w:val="left"/>
        </w:tabs>
        <w:numPr>
          <w:ilvl w:val="0"/>
          <w:numId w:val="5"/>
        </w:numPr>
        <w:rPr>
          <w:rFonts w:ascii="Arial" w:cs="Arial" w:eastAsia="Arial" w:hAnsi="Arial"/>
          <w:sz w:val="16"/>
          <w:szCs w:val="16"/>
          <w:color w:val="auto"/>
        </w:rPr>
      </w:pPr>
      <w:r>
        <w:rPr>
          <w:rFonts w:ascii="Arial" w:cs="Arial" w:eastAsia="Arial" w:hAnsi="Arial"/>
          <w:sz w:val="16"/>
          <w:szCs w:val="16"/>
          <w:color w:val="auto"/>
        </w:rPr>
        <w:t>determination of whether the promised goods or services are performance obligations including whether they are distinct in the context of the contract; (iii) measurement of the transaction price, including the constraint on variable consideration;</w:t>
      </w:r>
    </w:p>
    <w:p>
      <w:pPr>
        <w:jc w:val="both"/>
        <w:ind w:firstLine="3"/>
        <w:spacing w:after="0" w:line="211" w:lineRule="auto"/>
        <w:tabs>
          <w:tab w:leader="none" w:pos="338"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and (v) recognition of revenue when (or as) the Company satisfies each performance obligation. As part of the accounting for these arrangements, the Company must develop assumptions that require judgment to determine the stand-alone selling price for each performance obligation identified in the contract. The Company uses key assumptions to determine the stand-alone selling price, which may include forecasted revenues, development timelines, reimbursement rates for personnel costs, discount rates and probabilities of technical and regulatory success.</w:t>
      </w:r>
    </w:p>
    <w:p>
      <w:pPr>
        <w:spacing w:after="0" w:line="16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probable of being reached and estimates the amount to be included in the transaction price using the most likely amount method.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Milestone payments that are not within the control of the Company or the licensee,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collaboration and other revenues and earnings in the period of adjustment.</w:t>
      </w:r>
    </w:p>
    <w:p>
      <w:pPr>
        <w:spacing w:after="0" w:line="170"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i w:val="1"/>
          <w:iCs w:val="1"/>
          <w:color w:val="auto"/>
        </w:rPr>
        <w:t xml:space="preserve">Manufacturing Supply Services: </w:t>
      </w:r>
      <w:r>
        <w:rPr>
          <w:rFonts w:ascii="Arial" w:cs="Arial" w:eastAsia="Arial" w:hAnsi="Arial"/>
          <w:sz w:val="18"/>
          <w:szCs w:val="18"/>
          <w:color w:val="auto"/>
        </w:rPr>
        <w:t>Arrangements that include a promise for future supply of drug substance or drug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for either clinical development or commercial supply at the customer’s discretion are generally considered as options. The Company assess if these options provide a material right to the licensee and if so, they are accounted for as separate performance obligations. If the Company is entitled to additional payments when the customer exercises these options, any payments are recorded in other revenues when the customer obtains control of the goods, which is upon delivery.</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For arrangements that include sales-based royalties, including milestone payments based on the level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 Activities</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Company accounts for its derivative instruments as either assets or liabilities on the condensed balance sheet and measures them at fair value. Derivatives are adjusted to fair value through other (expense) income, net in the condensed consolidated statements of operations and comprehensive loss.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44"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We determine if an arrangement is a lease at the inception of the arrangement. Operating leases are included in right-of-use assets, current portion of operating lease liability, and operating lease liability, net of current portion in our condensed balance sheets. Right-of-use assets represent our right to use an underlying asset for the lease term and lease liabilities represent our obligation to make lease payments arising from the lease. Operating lease right-of-use assets and liabilities are recognized at the lease commencement date based on the present value of lease payments over the lease term. In determining the present value of lease payments, we use our incremental borrowing rate based on the information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available at the lease commencement date. The operating lease right-of-use assets also include any lease payments made and exclude lease incentives. Our lease terms may include options to extend or terminate the lease when it is reasonably certain that we will exercise any such options. Lease expense is recognized on a straight-line basis over the expected lease term.</w:t>
      </w:r>
    </w:p>
    <w:p>
      <w:pPr>
        <w:spacing w:after="0" w:line="107"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On January 1, 2019, we adopted ASU No. 2016-02, Leases (Topic 842) using the optional transition method to initially account for the impact of the adoption with a cumulative adjustment to accrued and other liabilities and other long-term liabilities. We elected the package of practical expedients, which among other things, allowed us not to reassess the following: whether any expired or existing contracts were considered or contained leases; the lease classification for any expired or existing leases; or initial direct costs for any existing leases. For our building leases, we also elected the practical expedient not to separate lease and non-lease components such as common area maintenance charges, instead account as a single lease component.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 Recently Adopted</w:t>
      </w:r>
    </w:p>
    <w:p>
      <w:pPr>
        <w:spacing w:after="0" w:line="18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In August 2018, the SEC adopted amendments to certain disclosure requirements in Securities Act Release No. 33-10532, Disclosure Update and Simplification. These amendments eliminate, modify, or integrate into other SEC requirements certain disclosure rules. Among the amendments is the requirement to present an analysis of changes in stockholders’ equity in the interim financial statements included in quarterly reports on Form 10-Q. The analysis, which can be presented as a footnote or separate statement, is required for the current and comparative quarter and year-to-date interim periods. The amendments are effective for all filings made on or after November 5, 2018. In light of the anticipated timing of effectiveness of the amendments and expected proximity of effectiveness to the filing date for most filers’ quarterly reports, the SEC’s Division of Corporate Finance issued a Compliance and Disclosure Interpretation related to Exchange Act Forms, or CDI – Question 105.09, that provides transition guidance related to this disclosure requirement. CDI – Question 105.09 states that the SEC would not object if the filer’s first presentation of the changes in shareholders’ equity is included in its Form 10-Q for the quarter that begins after the effective date of the amendments. As such, the Company adopted these SEC amendments on November 5, 2018 and is presenting the analysis of changes in stockholders’ equity starting in this Quarterly Report on Form 10-Q. The adoption of these SEC amendments did not have a material effect on the Company’s financial position, results of operations, cash flows or shareholders’ equity.</w:t>
      </w:r>
    </w:p>
    <w:p>
      <w:pPr>
        <w:spacing w:after="0" w:line="16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In February 2016, the FASB issued ASU No. 2016-02, Leases (Topic 842) (ASU 2016-02), as amended, which generally requires lessees to recognize operating and financing lease liabilities and corresponding right-of-use assets on the balance sheet and to provide enhanced disclosures surrounding the amount, timing and uncertainty of cash flows arising from leasing arrangements. In July 2018, the FASB issued ASU No. 2018-11, Leases (Topic 842): Targeted Improvements, or ASU No. 2018-11. In issuing ASU No. 2018-11, the FASB is permitting another transition method for ASU 2016-02, which allows the transition to the new lease standard by recognizing a cumulative-effect adjustment to the opening balance of retained earnings in the period of adoption. We elected the transition method and package of practical expedients permitted under the transition guidance, which allowed us to carryforward our historical lease classification, our assessment on whether a contract is or contains a lease, and our initial direct costs for any leases that exist prior to adoption of the new standard. We also elected to combine lease and non-lease components and to keep leases with an initial term of 12 months or less off the balance sheet and recognize the associated lease payments in the statements of operations on a straight-line basis over the lease term. We adopted the ASU on January 1, 2019 using a modified retrospective approach and recorded a right-of-use asset and a corresponding lease liability to account for our facility lease as a cumulative-effect adjustment to the opening balance of accrued and other liabilities and other long-term liabilities in the period of adoption.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Adoption</w:t>
      </w:r>
    </w:p>
    <w:p>
      <w:pPr>
        <w:spacing w:after="0" w:line="185"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The Company, on adopting ASU 2016-02 - Leases (Topic 842) on January 1, 2019, has used the modified retrospective approach with the cumulative effect of initially applying the standard as an adjustment to the opening balance of accrued and other liabilities and other long-term liabilities. The following adjustments were recorded in the opening balance on January 1, 2019 (in thousands):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jc w:val="right"/>
              <w:ind w:right="55"/>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5"/>
              <w:spacing w:after="0"/>
              <w:rPr>
                <w:sz w:val="20"/>
                <w:szCs w:val="20"/>
                <w:color w:val="auto"/>
              </w:rPr>
            </w:pPr>
            <w:r>
              <w:rPr>
                <w:rFonts w:ascii="Arial" w:cs="Arial" w:eastAsia="Arial" w:hAnsi="Arial"/>
                <w:sz w:val="14"/>
                <w:szCs w:val="14"/>
                <w:b w:val="1"/>
                <w:bCs w:val="1"/>
                <w:color w:val="auto"/>
                <w:w w:val="95"/>
              </w:rPr>
              <w:t>January 1,</w:t>
            </w:r>
          </w:p>
        </w:tc>
      </w:tr>
      <w:tr>
        <w:trPr>
          <w:trHeight w:val="162"/>
        </w:trPr>
        <w:tc>
          <w:tcPr>
            <w:tcW w:w="36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Due to Topic 842</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r>
      <w:tr>
        <w:trPr>
          <w:trHeight w:val="169"/>
        </w:trPr>
        <w:tc>
          <w:tcPr>
            <w:tcW w:w="36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Right-of-use assets</w:t>
            </w:r>
          </w:p>
        </w:tc>
        <w:tc>
          <w:tcPr>
            <w:tcW w:w="3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5,810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5,810</w:t>
            </w:r>
          </w:p>
        </w:tc>
      </w:tr>
      <w:tr>
        <w:trPr>
          <w:trHeight w:val="176"/>
        </w:trPr>
        <w:tc>
          <w:tcPr>
            <w:tcW w:w="3640" w:type="dxa"/>
            <w:vAlign w:val="bottom"/>
          </w:tcPr>
          <w:p>
            <w:pPr>
              <w:spacing w:after="0" w:line="176" w:lineRule="exact"/>
              <w:rPr>
                <w:sz w:val="20"/>
                <w:szCs w:val="20"/>
                <w:color w:val="auto"/>
              </w:rPr>
            </w:pPr>
            <w:r>
              <w:rPr>
                <w:rFonts w:ascii="Arial" w:cs="Arial" w:eastAsia="Arial" w:hAnsi="Arial"/>
                <w:sz w:val="18"/>
                <w:szCs w:val="18"/>
                <w:color w:val="auto"/>
              </w:rPr>
              <w:t>Current portion of operating lease liability</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1,892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1,892</w:t>
            </w:r>
          </w:p>
        </w:tc>
      </w:tr>
      <w:tr>
        <w:trPr>
          <w:trHeight w:val="176"/>
        </w:trPr>
        <w:tc>
          <w:tcPr>
            <w:tcW w:w="36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Operating lease liability, net of current portion</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4,684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4,684</w:t>
            </w:r>
          </w:p>
        </w:tc>
      </w:tr>
      <w:tr>
        <w:trPr>
          <w:trHeight w:val="176"/>
        </w:trPr>
        <w:tc>
          <w:tcPr>
            <w:tcW w:w="3640" w:type="dxa"/>
            <w:vAlign w:val="bottom"/>
          </w:tcPr>
          <w:p>
            <w:pPr>
              <w:spacing w:after="0" w:line="176" w:lineRule="exact"/>
              <w:rPr>
                <w:sz w:val="20"/>
                <w:szCs w:val="20"/>
                <w:color w:val="auto"/>
              </w:rPr>
            </w:pPr>
            <w:r>
              <w:rPr>
                <w:rFonts w:ascii="Arial" w:cs="Arial" w:eastAsia="Arial" w:hAnsi="Arial"/>
                <w:sz w:val="18"/>
                <w:szCs w:val="18"/>
                <w:color w:val="auto"/>
              </w:rPr>
              <w:t>Accrued and other liabilities</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12,857</w:t>
            </w:r>
          </w:p>
        </w:tc>
        <w:tc>
          <w:tcPr>
            <w:tcW w:w="16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(184)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12,673</w:t>
            </w:r>
          </w:p>
        </w:tc>
      </w:tr>
      <w:tr>
        <w:trPr>
          <w:trHeight w:val="176"/>
        </w:trPr>
        <w:tc>
          <w:tcPr>
            <w:tcW w:w="36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long-term liabilities</w:t>
            </w:r>
          </w:p>
        </w:tc>
        <w:tc>
          <w:tcPr>
            <w:tcW w:w="500" w:type="dxa"/>
            <w:vAlign w:val="bottom"/>
            <w:gridSpan w:val="2"/>
            <w:shd w:val="clear" w:color="auto" w:fill="CCEEFF"/>
          </w:tcPr>
          <w:p>
            <w:pPr>
              <w:jc w:val="right"/>
              <w:ind w:right="47"/>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(582)</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As a result of adopting Topic 842 on January 1, 2019, the following financial statement line items in the Company’s condensed balance sheet at March 31, 2019 and the condensed consolidated statement of income for the three months ended March 31, 2019 were affected (in thousands):</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March 31, 2019</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As Reported</w:t>
            </w:r>
          </w:p>
        </w:tc>
        <w:tc>
          <w:tcPr>
            <w:tcW w:w="160" w:type="dxa"/>
            <w:vAlign w:val="bottom"/>
          </w:tcPr>
          <w:p>
            <w:pPr>
              <w:spacing w:after="0"/>
              <w:rPr>
                <w:sz w:val="8"/>
                <w:szCs w:val="8"/>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Under Topic 840</w:t>
            </w:r>
          </w:p>
        </w:tc>
        <w:tc>
          <w:tcPr>
            <w:tcW w:w="160" w:type="dxa"/>
            <w:vAlign w:val="bottom"/>
          </w:tcPr>
          <w:p>
            <w:pPr>
              <w:spacing w:after="0"/>
              <w:rPr>
                <w:sz w:val="8"/>
                <w:szCs w:val="8"/>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3"/>
              </w:rPr>
              <w:t>Effect of Change</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under Topic</w:t>
            </w: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842</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Right-of-use assets</w:t>
            </w:r>
          </w:p>
        </w:tc>
        <w:tc>
          <w:tcPr>
            <w:tcW w:w="2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5,371</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5"/>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5,371</w:t>
            </w:r>
          </w:p>
        </w:tc>
        <w:tc>
          <w:tcPr>
            <w:tcW w:w="0" w:type="dxa"/>
            <w:vAlign w:val="bottom"/>
          </w:tcPr>
          <w:p>
            <w:pPr>
              <w:spacing w:after="0"/>
              <w:rPr>
                <w:sz w:val="1"/>
                <w:szCs w:val="1"/>
                <w:color w:val="auto"/>
              </w:rPr>
            </w:pPr>
          </w:p>
        </w:tc>
      </w:tr>
      <w:tr>
        <w:trPr>
          <w:trHeight w:val="176"/>
        </w:trPr>
        <w:tc>
          <w:tcPr>
            <w:tcW w:w="3580" w:type="dxa"/>
            <w:vAlign w:val="bottom"/>
          </w:tcPr>
          <w:p>
            <w:pPr>
              <w:spacing w:after="0" w:line="176" w:lineRule="exact"/>
              <w:rPr>
                <w:sz w:val="20"/>
                <w:szCs w:val="20"/>
                <w:color w:val="auto"/>
              </w:rPr>
            </w:pPr>
            <w:r>
              <w:rPr>
                <w:rFonts w:ascii="Arial" w:cs="Arial" w:eastAsia="Arial" w:hAnsi="Arial"/>
                <w:sz w:val="18"/>
                <w:szCs w:val="18"/>
                <w:color w:val="auto"/>
              </w:rPr>
              <w:t>Current portion of operating lease liability</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2,102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w w:val="93"/>
              </w:rPr>
              <w:t>2,102</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Operating lease liability, net of current portion</w:t>
            </w: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4,069</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4,069</w:t>
            </w:r>
          </w:p>
        </w:tc>
        <w:tc>
          <w:tcPr>
            <w:tcW w:w="0" w:type="dxa"/>
            <w:vAlign w:val="bottom"/>
          </w:tcPr>
          <w:p>
            <w:pPr>
              <w:spacing w:after="0"/>
              <w:rPr>
                <w:sz w:val="1"/>
                <w:szCs w:val="1"/>
                <w:color w:val="auto"/>
              </w:rPr>
            </w:pPr>
          </w:p>
        </w:tc>
      </w:tr>
      <w:tr>
        <w:trPr>
          <w:trHeight w:val="176"/>
        </w:trPr>
        <w:tc>
          <w:tcPr>
            <w:tcW w:w="3580" w:type="dxa"/>
            <w:vAlign w:val="bottom"/>
          </w:tcPr>
          <w:p>
            <w:pPr>
              <w:spacing w:after="0" w:line="176" w:lineRule="exact"/>
              <w:rPr>
                <w:sz w:val="20"/>
                <w:szCs w:val="20"/>
                <w:color w:val="auto"/>
              </w:rPr>
            </w:pPr>
            <w:r>
              <w:rPr>
                <w:rFonts w:ascii="Arial" w:cs="Arial" w:eastAsia="Arial" w:hAnsi="Arial"/>
                <w:sz w:val="18"/>
                <w:szCs w:val="18"/>
                <w:color w:val="auto"/>
              </w:rPr>
              <w:t>Accrued and other liabilities</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14,165</w:t>
            </w:r>
          </w:p>
        </w:tc>
        <w:tc>
          <w:tcPr>
            <w:tcW w:w="122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14,392</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long-term liabilities</w:t>
            </w:r>
          </w:p>
        </w:tc>
        <w:tc>
          <w:tcPr>
            <w:tcW w:w="38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507</w:t>
            </w:r>
          </w:p>
        </w:tc>
        <w:tc>
          <w:tcPr>
            <w:tcW w:w="720" w:type="dxa"/>
            <w:vAlign w:val="bottom"/>
            <w:gridSpan w:val="3"/>
            <w:shd w:val="clear" w:color="auto" w:fill="CCEEFF"/>
          </w:tcPr>
          <w:p>
            <w:pPr>
              <w:jc w:val="right"/>
              <w:ind w:right="365"/>
              <w:spacing w:after="0" w:line="17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324"/>
        </w:trPr>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March 31, 2019</w:t>
            </w: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As Reported</w:t>
            </w:r>
          </w:p>
        </w:tc>
        <w:tc>
          <w:tcPr>
            <w:tcW w:w="160" w:type="dxa"/>
            <w:vAlign w:val="bottom"/>
          </w:tcPr>
          <w:p>
            <w:pPr>
              <w:spacing w:after="0"/>
              <w:rPr>
                <w:sz w:val="8"/>
                <w:szCs w:val="8"/>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Under Topic 840</w:t>
            </w:r>
          </w:p>
        </w:tc>
        <w:tc>
          <w:tcPr>
            <w:tcW w:w="160" w:type="dxa"/>
            <w:vAlign w:val="bottom"/>
          </w:tcPr>
          <w:p>
            <w:pPr>
              <w:spacing w:after="0"/>
              <w:rPr>
                <w:sz w:val="8"/>
                <w:szCs w:val="8"/>
                <w:color w:val="auto"/>
              </w:rPr>
            </w:pPr>
          </w:p>
        </w:tc>
        <w:tc>
          <w:tcPr>
            <w:tcW w:w="10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1"/>
              </w:rPr>
              <w:t>Effect of Change</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4"/>
                <w:szCs w:val="14"/>
                <w:b w:val="1"/>
                <w:bCs w:val="1"/>
                <w:color w:val="auto"/>
                <w:w w:val="92"/>
              </w:rPr>
              <w:t>under Topic</w:t>
            </w: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842</w:t>
            </w: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8"/>
              </w:rPr>
              <w:t>General and administrative related to leases</w:t>
            </w:r>
          </w:p>
        </w:tc>
        <w:tc>
          <w:tcPr>
            <w:tcW w:w="38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648</w:t>
            </w:r>
          </w:p>
        </w:tc>
        <w:tc>
          <w:tcPr>
            <w:tcW w:w="12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582</w:t>
            </w:r>
          </w:p>
        </w:tc>
        <w:tc>
          <w:tcPr>
            <w:tcW w:w="720" w:type="dxa"/>
            <w:vAlign w:val="bottom"/>
            <w:gridSpan w:val="3"/>
            <w:shd w:val="clear" w:color="auto" w:fill="CCEEFF"/>
          </w:tcPr>
          <w:p>
            <w:pPr>
              <w:jc w:val="right"/>
              <w:ind w:right="405"/>
              <w:spacing w:after="0" w:line="17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Stock Compensation (Topic 718): Improvements to Nonemployee</w:t>
      </w:r>
      <w:r>
        <w:rPr>
          <w:rFonts w:ascii="Arial" w:cs="Arial" w:eastAsia="Arial" w:hAnsi="Arial"/>
          <w:sz w:val="16"/>
          <w:szCs w:val="16"/>
          <w:color w:val="auto"/>
        </w:rPr>
        <w:t xml:space="preserve"> </w:t>
      </w:r>
      <w:r>
        <w:rPr>
          <w:rFonts w:ascii="Arial" w:cs="Arial" w:eastAsia="Arial" w:hAnsi="Arial"/>
          <w:sz w:val="16"/>
          <w:szCs w:val="16"/>
          <w:i w:val="1"/>
          <w:iCs w:val="1"/>
          <w:color w:val="auto"/>
        </w:rPr>
        <w:t>Share-Based Payment Accounting</w:t>
      </w:r>
      <w:r>
        <w:rPr>
          <w:rFonts w:ascii="Arial" w:cs="Arial" w:eastAsia="Arial" w:hAnsi="Arial"/>
          <w:sz w:val="16"/>
          <w:szCs w:val="16"/>
          <w:color w:val="auto"/>
        </w:rPr>
        <w:t>. ASU 2018-07 is intended to reduce the cost and complexity and to improve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for nonemployee share-based payments. ASU 2018-07 expands the scope of Topic 718, Compensation-Stock Compensation (which currently only includes share-based payments to employees) to include share-based payments issued to nonemployees for goods or services. Consequently, the accounting for share-based payments to nonemployees and employees will be substantially aligned. ASU 2018-07 supersedes Subtopic 505-50, Equity-Based Payments to Non-Employees. ASU 2018-07 is effective for the Company for fiscal years beginning after December 15, 2018, including interim periods within that fiscal year and early adoption is permitted. On January 1, 2019, we adopted ASU 2018-07 and the adoption of this standard did not have a material impact on the Company’s condensed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8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Changes to the Disclosure Requirements for Fair Value Measurement</w:t>
      </w:r>
      <w:r>
        <w:rPr>
          <w:rFonts w:ascii="Arial" w:cs="Arial" w:eastAsia="Arial" w:hAnsi="Arial"/>
          <w:sz w:val="16"/>
          <w:szCs w:val="16"/>
          <w:color w:val="auto"/>
        </w:rPr>
        <w:t>. ASU 2018-13 considers cost and benefits, and</w:t>
      </w:r>
      <w:r>
        <w:rPr>
          <w:rFonts w:ascii="Arial" w:cs="Arial" w:eastAsia="Arial" w:hAnsi="Arial"/>
          <w:sz w:val="16"/>
          <w:szCs w:val="16"/>
          <w:i w:val="1"/>
          <w:iCs w:val="1"/>
          <w:color w:val="auto"/>
        </w:rPr>
        <w:t xml:space="preserve"> </w:t>
      </w:r>
      <w:r>
        <w:rPr>
          <w:rFonts w:ascii="Arial" w:cs="Arial" w:eastAsia="Arial" w:hAnsi="Arial"/>
          <w:sz w:val="16"/>
          <w:szCs w:val="16"/>
          <w:color w:val="auto"/>
        </w:rPr>
        <w:t>removes, modifies and adds disclosure requirements in Topic 820. The amendments on changes in unrealized gains and losses, the range and weighted average of significant unobservable inputs used to develop Level 3 fair value measurements, and the narrative description of measurement uncertainty is to be applied prospectively for only the most recent interim or annual period presented in the initial fiscal year of adoption. All other amendments are to be applied retrospectively to all periods presented. ASU 2018-13 is effective for the Company for fiscal years beginning after December 15, 2019,</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including interim periods within that fiscal year and early adoption is permitted. The Company is currently assessing the impact of this standard on its consolidated financial statements.</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Company has reviewed all other significant newly-issued accounting pronouncements and concluded that they either are not applicable to the Company’s operations or no material effect is expected on its condensed consolidated financial statements as a result of future adoption.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CASH EQUIVALENTS AND INVESTMENTS</w:t>
      </w:r>
    </w:p>
    <w:p>
      <w:pPr>
        <w:spacing w:after="0" w:line="18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Securities classified as cash, cash equivalents and short-term investments as of March 31, 2019 and December 31, 2018, are summarized below (in thousands). Estimated fair value is based on quoted market prices for these investments.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March 31, 2019</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5"/>
          </w:tcPr>
          <w:p>
            <w:pPr>
              <w:jc w:val="center"/>
              <w:spacing w:after="0" w:line="129" w:lineRule="exact"/>
              <w:rPr>
                <w:sz w:val="20"/>
                <w:szCs w:val="20"/>
                <w:color w:val="auto"/>
              </w:rPr>
            </w:pPr>
            <w:r>
              <w:rPr>
                <w:rFonts w:ascii="Arial" w:cs="Arial" w:eastAsia="Arial" w:hAnsi="Arial"/>
                <w:sz w:val="14"/>
                <w:szCs w:val="14"/>
                <w:b w:val="1"/>
                <w:bCs w:val="1"/>
                <w:color w:val="auto"/>
                <w:w w:val="92"/>
              </w:rPr>
              <w:t>Gross Unrealized</w:t>
            </w:r>
          </w:p>
        </w:tc>
        <w:tc>
          <w:tcPr>
            <w:tcW w:w="2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46"/>
              <w:spacing w:after="0" w:line="129" w:lineRule="exact"/>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220"/>
              <w:spacing w:after="0" w:line="176" w:lineRule="exact"/>
              <w:rPr>
                <w:sz w:val="20"/>
                <w:szCs w:val="20"/>
                <w:color w:val="auto"/>
              </w:rPr>
            </w:pPr>
            <w:r>
              <w:rPr>
                <w:rFonts w:ascii="Arial" w:cs="Arial" w:eastAsia="Arial" w:hAnsi="Arial"/>
                <w:sz w:val="18"/>
                <w:szCs w:val="18"/>
                <w:color w:val="auto"/>
              </w:rPr>
              <w:t>Cash</w:t>
            </w:r>
          </w:p>
        </w:tc>
        <w:tc>
          <w:tcPr>
            <w:tcW w:w="4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7,019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62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7,019</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83,521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2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83,521</w:t>
            </w:r>
          </w:p>
        </w:tc>
        <w:tc>
          <w:tcPr>
            <w:tcW w:w="0" w:type="dxa"/>
            <w:vAlign w:val="bottom"/>
          </w:tcPr>
          <w:p>
            <w:pPr>
              <w:spacing w:after="0"/>
              <w:rPr>
                <w:sz w:val="1"/>
                <w:szCs w:val="1"/>
                <w:color w:val="auto"/>
              </w:rPr>
            </w:pPr>
          </w:p>
        </w:tc>
      </w:tr>
      <w:tr>
        <w:trPr>
          <w:trHeight w:val="176"/>
        </w:trPr>
        <w:tc>
          <w:tcPr>
            <w:tcW w:w="3280" w:type="dxa"/>
            <w:vAlign w:val="bottom"/>
          </w:tcPr>
          <w:p>
            <w:pPr>
              <w:ind w:left="220"/>
              <w:spacing w:after="0" w:line="176" w:lineRule="exact"/>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1,496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62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cash and cash equivalents</w:t>
            </w: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92,036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ind w:left="620"/>
              <w:spacing w:after="0" w:line="170"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ind w:left="40"/>
              <w:spacing w:after="0" w:line="170"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gridSpan w:val="3"/>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92,036</w:t>
            </w:r>
          </w:p>
        </w:tc>
        <w:tc>
          <w:tcPr>
            <w:tcW w:w="0" w:type="dxa"/>
            <w:vAlign w:val="bottom"/>
          </w:tcPr>
          <w:p>
            <w:pPr>
              <w:spacing w:after="0"/>
              <w:rPr>
                <w:sz w:val="1"/>
                <w:szCs w:val="1"/>
                <w:color w:val="auto"/>
              </w:rPr>
            </w:pPr>
          </w:p>
        </w:tc>
      </w:tr>
      <w:tr>
        <w:trPr>
          <w:trHeight w:val="176"/>
        </w:trPr>
        <w:tc>
          <w:tcPr>
            <w:tcW w:w="3280" w:type="dxa"/>
            <w:vAlign w:val="bottom"/>
          </w:tcPr>
          <w:p>
            <w:pPr>
              <w:spacing w:after="0" w:line="176" w:lineRule="exact"/>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U.S. treasury notes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62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176"/>
        </w:trPr>
        <w:tc>
          <w:tcPr>
            <w:tcW w:w="3280" w:type="dxa"/>
            <w:vAlign w:val="bottom"/>
          </w:tcPr>
          <w:p>
            <w:pPr>
              <w:ind w:left="320"/>
              <w:spacing w:after="0" w:line="176" w:lineRule="exact"/>
              <w:rPr>
                <w:sz w:val="20"/>
                <w:szCs w:val="20"/>
                <w:color w:val="auto"/>
              </w:rPr>
            </w:pPr>
            <w:r>
              <w:rPr>
                <w:rFonts w:ascii="Arial" w:cs="Arial" w:eastAsia="Arial" w:hAnsi="Arial"/>
                <w:sz w:val="18"/>
                <w:szCs w:val="18"/>
                <w:color w:val="auto"/>
              </w:rPr>
              <w:t>U.S. treasury securities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2,279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720"/>
              <w:spacing w:after="0" w:line="176"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Corporate bonds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20,110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ind w:left="720"/>
              <w:spacing w:after="0" w:line="176" w:lineRule="exact"/>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20,112</w:t>
            </w:r>
          </w:p>
        </w:tc>
        <w:tc>
          <w:tcPr>
            <w:tcW w:w="0" w:type="dxa"/>
            <w:vAlign w:val="bottom"/>
          </w:tcPr>
          <w:p>
            <w:pPr>
              <w:spacing w:after="0"/>
              <w:rPr>
                <w:sz w:val="1"/>
                <w:szCs w:val="1"/>
                <w:color w:val="auto"/>
              </w:rPr>
            </w:pPr>
          </w:p>
        </w:tc>
      </w:tr>
      <w:tr>
        <w:trPr>
          <w:trHeight w:val="176"/>
        </w:trPr>
        <w:tc>
          <w:tcPr>
            <w:tcW w:w="3280" w:type="dxa"/>
            <w:vAlign w:val="bottom"/>
          </w:tcPr>
          <w:p>
            <w:pPr>
              <w:ind w:left="320"/>
              <w:spacing w:after="0" w:line="176" w:lineRule="exact"/>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line="176" w:lineRule="exact"/>
              <w:rPr>
                <w:sz w:val="20"/>
                <w:szCs w:val="20"/>
                <w:color w:val="auto"/>
              </w:rPr>
            </w:pPr>
            <w:r>
              <w:rPr>
                <w:rFonts w:ascii="Arial" w:cs="Arial" w:eastAsia="Arial" w:hAnsi="Arial"/>
                <w:sz w:val="18"/>
                <w:szCs w:val="18"/>
                <w:color w:val="auto"/>
              </w:rPr>
              <w:t>30,559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720"/>
              <w:spacing w:after="0" w:line="176"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30,564</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Asset-backed securities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ind w:left="720"/>
              <w:spacing w:after="0" w:line="176" w:lineRule="exact"/>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169"/>
        </w:trPr>
        <w:tc>
          <w:tcPr>
            <w:tcW w:w="3280" w:type="dxa"/>
            <w:vAlign w:val="bottom"/>
            <w:tcBorders>
              <w:bottom w:val="single" w:sz="8" w:color="CCEEFF"/>
            </w:tcBorders>
          </w:tcPr>
          <w:p>
            <w:pPr>
              <w:ind w:left="120"/>
              <w:spacing w:after="0" w:line="170" w:lineRule="exact"/>
              <w:rPr>
                <w:sz w:val="20"/>
                <w:szCs w:val="20"/>
                <w:color w:val="auto"/>
              </w:rPr>
            </w:pPr>
            <w:r>
              <w:rPr>
                <w:rFonts w:ascii="Arial" w:cs="Arial" w:eastAsia="Arial" w:hAnsi="Arial"/>
                <w:sz w:val="18"/>
                <w:szCs w:val="18"/>
                <w:color w:val="auto"/>
              </w:rPr>
              <w:t>Total short-term investments</w:t>
            </w:r>
          </w:p>
        </w:tc>
        <w:tc>
          <w:tcPr>
            <w:tcW w:w="3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59,512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ind w:left="620"/>
              <w:spacing w:after="0" w:line="170" w:lineRule="exact"/>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ind w:left="40"/>
              <w:spacing w:after="0" w:line="170"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gridSpan w:val="3"/>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59,524</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w w:val="99"/>
              </w:rPr>
              <w:t>Total cash equivalents and investments</w:t>
            </w:r>
          </w:p>
        </w:tc>
        <w:tc>
          <w:tcPr>
            <w:tcW w:w="3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151,548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ind w:left="620"/>
              <w:spacing w:after="0" w:line="170" w:lineRule="exact"/>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ind w:left="40"/>
              <w:spacing w:after="0" w:line="170"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gridSpan w:val="3"/>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151,560</w:t>
            </w:r>
          </w:p>
        </w:tc>
        <w:tc>
          <w:tcPr>
            <w:tcW w:w="0" w:type="dxa"/>
            <w:vAlign w:val="bottom"/>
          </w:tcPr>
          <w:p>
            <w:pPr>
              <w:spacing w:after="0"/>
              <w:rPr>
                <w:sz w:val="1"/>
                <w:szCs w:val="1"/>
                <w:color w:val="auto"/>
              </w:rPr>
            </w:pPr>
          </w:p>
        </w:tc>
      </w:tr>
      <w:tr>
        <w:trPr>
          <w:trHeight w:val="324"/>
        </w:trPr>
        <w:tc>
          <w:tcPr>
            <w:tcW w:w="3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5"/>
          </w:tcPr>
          <w:p>
            <w:pPr>
              <w:ind w:left="540"/>
              <w:spacing w:after="0" w:line="129" w:lineRule="exact"/>
              <w:rPr>
                <w:sz w:val="20"/>
                <w:szCs w:val="20"/>
                <w:color w:val="auto"/>
              </w:rPr>
            </w:pPr>
            <w:r>
              <w:rPr>
                <w:rFonts w:ascii="Arial" w:cs="Arial" w:eastAsia="Arial" w:hAnsi="Arial"/>
                <w:sz w:val="14"/>
                <w:szCs w:val="14"/>
                <w:b w:val="1"/>
                <w:bCs w:val="1"/>
                <w:color w:val="auto"/>
              </w:rPr>
              <w:t>Gross Unrealized</w:t>
            </w:r>
          </w:p>
        </w:tc>
        <w:tc>
          <w:tcPr>
            <w:tcW w:w="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3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ind w:left="200"/>
              <w:spacing w:after="0" w:line="129" w:lineRule="exact"/>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Losses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220"/>
              <w:spacing w:after="0" w:line="176" w:lineRule="exact"/>
              <w:rPr>
                <w:sz w:val="20"/>
                <w:szCs w:val="20"/>
                <w:color w:val="auto"/>
              </w:rPr>
            </w:pPr>
            <w:r>
              <w:rPr>
                <w:rFonts w:ascii="Arial" w:cs="Arial" w:eastAsia="Arial" w:hAnsi="Arial"/>
                <w:sz w:val="18"/>
                <w:szCs w:val="18"/>
                <w:color w:val="auto"/>
              </w:rPr>
              <w:t>Cash</w:t>
            </w:r>
          </w:p>
        </w:tc>
        <w:tc>
          <w:tcPr>
            <w:tcW w:w="4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3,733</w:t>
            </w:r>
          </w:p>
        </w:tc>
        <w:tc>
          <w:tcPr>
            <w:tcW w:w="140" w:type="dxa"/>
            <w:vAlign w:val="bottom"/>
          </w:tcPr>
          <w:p>
            <w:pPr>
              <w:spacing w:after="0"/>
              <w:rPr>
                <w:sz w:val="15"/>
                <w:szCs w:val="15"/>
                <w:color w:val="auto"/>
              </w:rPr>
            </w:pPr>
          </w:p>
        </w:tc>
        <w:tc>
          <w:tcPr>
            <w:tcW w:w="30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w:t>
            </w:r>
          </w:p>
        </w:tc>
        <w:tc>
          <w:tcPr>
            <w:tcW w:w="940" w:type="dxa"/>
            <w:vAlign w:val="bottom"/>
            <w:gridSpan w:val="2"/>
          </w:tcPr>
          <w:p>
            <w:pPr>
              <w:ind w:left="720"/>
              <w:spacing w:after="0" w:line="176" w:lineRule="exact"/>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46"/>
              <w:spacing w:after="0" w:line="176" w:lineRule="exact"/>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20" w:type="dxa"/>
            <w:vAlign w:val="bottom"/>
            <w:gridSpan w:val="3"/>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73,238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2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73,238</w:t>
            </w:r>
          </w:p>
        </w:tc>
        <w:tc>
          <w:tcPr>
            <w:tcW w:w="0" w:type="dxa"/>
            <w:vAlign w:val="bottom"/>
          </w:tcPr>
          <w:p>
            <w:pPr>
              <w:spacing w:after="0"/>
              <w:rPr>
                <w:sz w:val="1"/>
                <w:szCs w:val="1"/>
                <w:color w:val="auto"/>
              </w:rPr>
            </w:pPr>
          </w:p>
        </w:tc>
      </w:tr>
      <w:tr>
        <w:trPr>
          <w:trHeight w:val="176"/>
        </w:trPr>
        <w:tc>
          <w:tcPr>
            <w:tcW w:w="3280" w:type="dxa"/>
            <w:vAlign w:val="bottom"/>
          </w:tcPr>
          <w:p>
            <w:pPr>
              <w:ind w:left="220"/>
              <w:spacing w:after="0" w:line="176" w:lineRule="exact"/>
              <w:rPr>
                <w:sz w:val="20"/>
                <w:szCs w:val="20"/>
                <w:color w:val="auto"/>
              </w:rPr>
            </w:pPr>
            <w:r>
              <w:rPr>
                <w:rFonts w:ascii="Arial" w:cs="Arial" w:eastAsia="Arial" w:hAnsi="Arial"/>
                <w:sz w:val="18"/>
                <w:szCs w:val="18"/>
                <w:color w:val="auto"/>
              </w:rPr>
              <w:t>Commercial paper</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1,797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72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gridSpan w:val="3"/>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w w:val="99"/>
              </w:rPr>
              <w:t>Total cash equivalents and investments</w:t>
            </w: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78,768</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CEEFF"/>
          </w:tcPr>
          <w:p>
            <w:pPr>
              <w:ind w:left="720"/>
              <w:spacing w:after="0" w:line="170"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gridSpan w:val="2"/>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646"/>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78,768</w:t>
            </w:r>
          </w:p>
        </w:tc>
        <w:tc>
          <w:tcPr>
            <w:tcW w:w="0" w:type="dxa"/>
            <w:vAlign w:val="bottom"/>
          </w:tcPr>
          <w:p>
            <w:pPr>
              <w:spacing w:after="0"/>
              <w:rPr>
                <w:sz w:val="1"/>
                <w:szCs w:val="1"/>
                <w:color w:val="auto"/>
              </w:rPr>
            </w:pPr>
          </w:p>
        </w:tc>
      </w:tr>
      <w:tr>
        <w:trPr>
          <w:trHeight w:val="176"/>
        </w:trPr>
        <w:tc>
          <w:tcPr>
            <w:tcW w:w="3280" w:type="dxa"/>
            <w:vAlign w:val="bottom"/>
          </w:tcPr>
          <w:p>
            <w:pPr>
              <w:spacing w:after="0" w:line="176" w:lineRule="exact"/>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securities</w:t>
            </w:r>
          </w:p>
        </w:tc>
        <w:tc>
          <w:tcPr>
            <w:tcW w:w="4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3,996</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2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2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3,996</w:t>
            </w:r>
          </w:p>
        </w:tc>
        <w:tc>
          <w:tcPr>
            <w:tcW w:w="0" w:type="dxa"/>
            <w:vAlign w:val="bottom"/>
          </w:tcPr>
          <w:p>
            <w:pPr>
              <w:spacing w:after="0"/>
              <w:rPr>
                <w:sz w:val="1"/>
                <w:szCs w:val="1"/>
                <w:color w:val="auto"/>
              </w:rPr>
            </w:pPr>
          </w:p>
        </w:tc>
      </w:tr>
      <w:tr>
        <w:trPr>
          <w:trHeight w:val="176"/>
        </w:trPr>
        <w:tc>
          <w:tcPr>
            <w:tcW w:w="3280" w:type="dxa"/>
            <w:vAlign w:val="bottom"/>
          </w:tcPr>
          <w:p>
            <w:pPr>
              <w:ind w:left="220"/>
              <w:spacing w:after="0" w:line="176" w:lineRule="exact"/>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34,611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72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gridSpan w:val="3"/>
          </w:tcPr>
          <w:p>
            <w:pPr>
              <w:ind w:left="40"/>
              <w:spacing w:after="0" w:line="176" w:lineRule="exact"/>
              <w:rPr>
                <w:sz w:val="20"/>
                <w:szCs w:val="20"/>
                <w:color w:val="auto"/>
              </w:rPr>
            </w:pPr>
            <w:r>
              <w:rPr>
                <w:rFonts w:ascii="Arial" w:cs="Arial" w:eastAsia="Arial" w:hAnsi="Arial"/>
                <w:sz w:val="18"/>
                <w:szCs w:val="18"/>
                <w:color w:val="auto"/>
              </w:rPr>
              <w:t>(21)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34,590</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Commercial paper</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41,371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ind w:left="72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gridSpan w:val="3"/>
            <w:shd w:val="clear" w:color="auto" w:fill="CCEEFF"/>
          </w:tcPr>
          <w:p>
            <w:pPr>
              <w:ind w:left="40"/>
              <w:spacing w:after="0" w:line="176" w:lineRule="exact"/>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41,357</w:t>
            </w:r>
          </w:p>
        </w:tc>
        <w:tc>
          <w:tcPr>
            <w:tcW w:w="0" w:type="dxa"/>
            <w:vAlign w:val="bottom"/>
          </w:tcPr>
          <w:p>
            <w:pPr>
              <w:spacing w:after="0"/>
              <w:rPr>
                <w:sz w:val="1"/>
                <w:szCs w:val="1"/>
                <w:color w:val="auto"/>
              </w:rPr>
            </w:pPr>
          </w:p>
        </w:tc>
      </w:tr>
      <w:tr>
        <w:trPr>
          <w:trHeight w:val="176"/>
        </w:trPr>
        <w:tc>
          <w:tcPr>
            <w:tcW w:w="3280" w:type="dxa"/>
            <w:vAlign w:val="bottom"/>
          </w:tcPr>
          <w:p>
            <w:pPr>
              <w:ind w:left="220"/>
              <w:spacing w:after="0" w:line="176" w:lineRule="exact"/>
              <w:rPr>
                <w:sz w:val="20"/>
                <w:szCs w:val="20"/>
                <w:color w:val="auto"/>
              </w:rPr>
            </w:pPr>
            <w:r>
              <w:rPr>
                <w:rFonts w:ascii="Arial" w:cs="Arial" w:eastAsia="Arial" w:hAnsi="Arial"/>
                <w:sz w:val="18"/>
                <w:szCs w:val="18"/>
                <w:color w:val="auto"/>
              </w:rPr>
              <w:t>Asset-backed securities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9,381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tcPr>
          <w:p>
            <w:pPr>
              <w:ind w:left="72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gridSpan w:val="3"/>
          </w:tcPr>
          <w:p>
            <w:pPr>
              <w:jc w:val="right"/>
              <w:ind w:right="180"/>
              <w:spacing w:after="0" w:line="176"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9,378</w:t>
            </w:r>
          </w:p>
        </w:tc>
        <w:tc>
          <w:tcPr>
            <w:tcW w:w="0" w:type="dxa"/>
            <w:vAlign w:val="bottom"/>
          </w:tcPr>
          <w:p>
            <w:pPr>
              <w:spacing w:after="0"/>
              <w:rPr>
                <w:sz w:val="1"/>
                <w:szCs w:val="1"/>
                <w:color w:val="auto"/>
              </w:rPr>
            </w:pPr>
          </w:p>
        </w:tc>
      </w:tr>
      <w:tr>
        <w:trPr>
          <w:trHeight w:val="169"/>
        </w:trPr>
        <w:tc>
          <w:tcPr>
            <w:tcW w:w="3280" w:type="dxa"/>
            <w:vAlign w:val="bottom"/>
            <w:tcBorders>
              <w:top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rPr>
              <w:t>Total short-term investments</w:t>
            </w: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89,359</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CEEFF"/>
          </w:tcPr>
          <w:p>
            <w:pPr>
              <w:ind w:left="720"/>
              <w:spacing w:after="0" w:line="170"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gridSpan w:val="2"/>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46"/>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gridSpan w:val="2"/>
            <w:shd w:val="clear" w:color="auto" w:fill="CCEEFF"/>
          </w:tcPr>
          <w:p>
            <w:pPr>
              <w:ind w:left="40"/>
              <w:spacing w:after="0" w:line="170" w:lineRule="exact"/>
              <w:rPr>
                <w:sz w:val="20"/>
                <w:szCs w:val="20"/>
                <w:color w:val="auto"/>
              </w:rPr>
            </w:pPr>
            <w:r>
              <w:rPr>
                <w:rFonts w:ascii="Arial" w:cs="Arial" w:eastAsia="Arial" w:hAnsi="Arial"/>
                <w:sz w:val="18"/>
                <w:szCs w:val="18"/>
                <w:color w:val="auto"/>
                <w:w w:val="87"/>
              </w:rPr>
              <w:t>(38)</w:t>
            </w: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89,321</w:t>
            </w:r>
          </w:p>
        </w:tc>
        <w:tc>
          <w:tcPr>
            <w:tcW w:w="0" w:type="dxa"/>
            <w:vAlign w:val="bottom"/>
          </w:tcPr>
          <w:p>
            <w:pPr>
              <w:spacing w:after="0"/>
              <w:rPr>
                <w:sz w:val="1"/>
                <w:szCs w:val="1"/>
                <w:color w:val="auto"/>
              </w:rPr>
            </w:pPr>
          </w:p>
        </w:tc>
      </w:tr>
      <w:tr>
        <w:trPr>
          <w:trHeight w:val="176"/>
        </w:trPr>
        <w:tc>
          <w:tcPr>
            <w:tcW w:w="3280" w:type="dxa"/>
            <w:vAlign w:val="bottom"/>
          </w:tcPr>
          <w:p>
            <w:pPr>
              <w:ind w:left="120"/>
              <w:spacing w:after="0" w:line="170" w:lineRule="exact"/>
              <w:rPr>
                <w:sz w:val="20"/>
                <w:szCs w:val="20"/>
                <w:color w:val="auto"/>
              </w:rPr>
            </w:pPr>
            <w:r>
              <w:rPr>
                <w:rFonts w:ascii="Arial" w:cs="Arial" w:eastAsia="Arial" w:hAnsi="Arial"/>
                <w:sz w:val="18"/>
                <w:szCs w:val="18"/>
                <w:color w:val="auto"/>
                <w:w w:val="99"/>
              </w:rPr>
              <w:t>Total cash equivalents and investments</w:t>
            </w:r>
          </w:p>
        </w:tc>
        <w:tc>
          <w:tcPr>
            <w:tcW w:w="36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60"/>
              <w:spacing w:after="0" w:line="170" w:lineRule="exact"/>
              <w:rPr>
                <w:sz w:val="20"/>
                <w:szCs w:val="20"/>
                <w:color w:val="auto"/>
              </w:rPr>
            </w:pPr>
            <w:r>
              <w:rPr>
                <w:rFonts w:ascii="Arial" w:cs="Arial" w:eastAsia="Arial" w:hAnsi="Arial"/>
                <w:sz w:val="18"/>
                <w:szCs w:val="18"/>
                <w:color w:val="auto"/>
              </w:rPr>
              <w:t>168,127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ind w:left="720"/>
              <w:spacing w:after="0" w:line="170" w:lineRule="exact"/>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5"/>
                <w:szCs w:val="15"/>
                <w:color w:val="auto"/>
              </w:rPr>
            </w:pPr>
          </w:p>
        </w:tc>
        <w:tc>
          <w:tcPr>
            <w:tcW w:w="800" w:type="dxa"/>
            <w:vAlign w:val="bottom"/>
            <w:tcBorders>
              <w:bottom w:val="single" w:sz="8" w:color="auto"/>
            </w:tcBorders>
          </w:tcPr>
          <w:p>
            <w:pPr>
              <w:jc w:val="right"/>
              <w:ind w:right="646"/>
              <w:spacing w:after="0" w:line="169" w:lineRule="exact"/>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gridSpan w:val="2"/>
          </w:tcPr>
          <w:p>
            <w:pPr>
              <w:ind w:left="40"/>
              <w:spacing w:after="0" w:line="170" w:lineRule="exact"/>
              <w:rPr>
                <w:sz w:val="20"/>
                <w:szCs w:val="20"/>
                <w:color w:val="auto"/>
              </w:rPr>
            </w:pPr>
            <w:r>
              <w:rPr>
                <w:rFonts w:ascii="Arial" w:cs="Arial" w:eastAsia="Arial" w:hAnsi="Arial"/>
                <w:sz w:val="18"/>
                <w:szCs w:val="18"/>
                <w:color w:val="auto"/>
                <w:w w:val="87"/>
              </w:rPr>
              <w:t>(38)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168,089</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Cash equivalents consist of money market funds and other debt securities with original maturities of three months or less at the time of purchase, and the carrying amount is a reasonable approximation of fair value. The Company invests its cash in high quality securities of financial and commercial institutions. These securities are carried at fair value, which is based on readily available market information, with unrealized gains and losses included in “accumulated other comprehensive loss” within stockholders’ equity on the Company’s condensed balance sheets. The Company uses the specific identification method to determine the amount of realized gains or losses on sales of marketable securities. Realized gains or losses have been insignificant and are included in other income (expense), net, in the consolidated condensed statement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All available-for-sale securities held as of March 31, 2019, had contractual maturities of less than one year. The Company’s available-for-sale securities are subject to a periodic impairment review. The Company considers a debt security to be impaired when its fair value is less than its carrying cost, in which case the Company would further review the investment to determine whether it is other-than-temporarily impaired. When the Company evaluates an investment for other-than-temporary impairment, the Company reviews factors such as the length of time and extent to which fair value has been below cost basis, the financial condition of the issuer and any changes thereto, intent to sell, and whether it is more likely than not the Company will be required to sell the investment before the recovery of its cost basis. If an investment is other-than-temporarily impaired, the Company writes it down through the statement of operations to its fair value and establishes that value as a new cost basis for the investment. The Company did not identify any of its available-for-sale securities as other-than-temporarily impaired in any of the periods presented. As of March 31, 2019, no investment was in a continuous unrealized loss position for more than one year and the Company believes that it is more likely than not that the investments will be held until maturity or a forecasted recovery of fair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89"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ectPr>
          <w:pgSz w:w="11900" w:h="16838" w:orient="portrait"/>
          <w:cols w:equalWidth="0" w:num="1">
            <w:col w:w="9060"/>
          </w:cols>
          <w:pgMar w:left="1420" w:top="112" w:right="1419" w:bottom="1440" w:gutter="0" w:footer="0" w:header="0"/>
        </w:sectPr>
      </w:pPr>
    </w:p>
    <w:p>
      <w:pPr>
        <w:spacing w:after="0" w:line="18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Level 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ind w:hanging="179"/>
        <w:spacing w:after="0" w:line="219"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Valuations are based on quoted prices in active markets for identical assets or liabilities and readily accessible by the Company at the reporting date. Examples of assets and liabilities utilizing Level 1 inputs are certain money market funds, U.S. Treasuries and trading securities with quoted prices on active markets.</w:t>
      </w:r>
    </w:p>
    <w:p>
      <w:pPr>
        <w:spacing w:after="0" w:line="163" w:lineRule="exact"/>
        <w:rPr>
          <w:sz w:val="20"/>
          <w:szCs w:val="20"/>
          <w:color w:val="auto"/>
        </w:rPr>
      </w:pPr>
    </w:p>
    <w:p>
      <w:pPr>
        <w:sectPr>
          <w:pgSz w:w="11900" w:h="16838" w:orient="portrait"/>
          <w:cols w:equalWidth="0" w:num="2">
            <w:col w:w="900" w:space="400"/>
            <w:col w:w="7760"/>
          </w:cols>
          <w:pgMar w:left="1420" w:top="112" w:right="141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Level 2</w:t>
      </w:r>
    </w:p>
    <w:p>
      <w:pPr>
        <w:spacing w:after="0" w:line="20" w:lineRule="exact"/>
        <w:rPr>
          <w:sz w:val="20"/>
          <w:szCs w:val="20"/>
          <w:color w:val="auto"/>
        </w:rPr>
      </w:pPr>
      <w:r>
        <w:rPr>
          <w:sz w:val="20"/>
          <w:szCs w:val="20"/>
          <w:color w:val="auto"/>
        </w:rPr>
        <w:br w:type="column"/>
      </w:r>
    </w:p>
    <w:p>
      <w:pPr>
        <w:jc w:val="both"/>
        <w:ind w:hanging="213"/>
        <w:spacing w:after="0" w:line="229"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7"/>
          <w:szCs w:val="17"/>
          <w:color w:val="auto"/>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Examples of assets and liabilities utilizing Level 2 inputs are corporate bonds, commercial paper, certificates of deposit and over-the-counter derivatives.</w:t>
      </w:r>
    </w:p>
    <w:p>
      <w:pPr>
        <w:spacing w:after="0" w:line="161" w:lineRule="exact"/>
        <w:rPr>
          <w:sz w:val="20"/>
          <w:szCs w:val="20"/>
          <w:color w:val="auto"/>
        </w:rPr>
      </w:pPr>
    </w:p>
    <w:p>
      <w:pPr>
        <w:sectPr>
          <w:pgSz w:w="11900" w:h="16838" w:orient="portrait"/>
          <w:cols w:equalWidth="0" w:num="2">
            <w:col w:w="900" w:space="400"/>
            <w:col w:w="7760"/>
          </w:cols>
          <w:pgMar w:left="1420" w:top="112" w:right="1419"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Level 3</w:t>
      </w:r>
    </w:p>
    <w:p>
      <w:pPr>
        <w:spacing w:after="0" w:line="20" w:lineRule="exact"/>
        <w:rPr>
          <w:sz w:val="20"/>
          <w:szCs w:val="20"/>
          <w:color w:val="auto"/>
        </w:rPr>
      </w:pPr>
      <w:r>
        <w:rPr>
          <w:sz w:val="20"/>
          <w:szCs w:val="20"/>
          <w:color w:val="auto"/>
        </w:rPr>
        <w:br w:type="column"/>
      </w:r>
    </w:p>
    <w:p>
      <w:pPr>
        <w:ind w:hanging="195"/>
        <w:spacing w:after="0" w:line="235"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Valuations based on unobservable inputs in which there is little or no market data, which require the Company to develop its own assumptions.</w:t>
      </w:r>
    </w:p>
    <w:p>
      <w:pPr>
        <w:spacing w:after="0" w:line="162" w:lineRule="exact"/>
        <w:rPr>
          <w:sz w:val="20"/>
          <w:szCs w:val="20"/>
          <w:color w:val="auto"/>
        </w:rPr>
      </w:pPr>
    </w:p>
    <w:p>
      <w:pPr>
        <w:sectPr>
          <w:pgSz w:w="11900" w:h="16838" w:orient="portrait"/>
          <w:cols w:equalWidth="0" w:num="2">
            <w:col w:w="900" w:space="400"/>
            <w:col w:w="7760"/>
          </w:cols>
          <w:pgMar w:left="1420" w:top="112" w:right="1419" w:bottom="1440" w:gutter="0" w:footer="0" w:header="0"/>
          <w:type w:val="continuous"/>
        </w:sectPr>
      </w:pPr>
    </w:p>
    <w:p>
      <w:pPr>
        <w:ind w:firstLine="324"/>
        <w:spacing w:after="0" w:line="235"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on a recurring basis by level within the fair value hierarchy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29"/>
        </w:trPr>
        <w:tc>
          <w:tcPr>
            <w:tcW w:w="3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9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1"/>
                <w:szCs w:val="11"/>
                <w:color w:val="auto"/>
              </w:rPr>
            </w:pPr>
          </w:p>
        </w:tc>
        <w:tc>
          <w:tcPr>
            <w:tcW w:w="9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76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Level 3</w:t>
            </w:r>
          </w:p>
        </w:tc>
      </w:tr>
      <w:tr>
        <w:trPr>
          <w:trHeight w:val="169"/>
        </w:trPr>
        <w:tc>
          <w:tcPr>
            <w:tcW w:w="33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Assets:</w:t>
            </w:r>
          </w:p>
        </w:tc>
        <w:tc>
          <w:tcPr>
            <w:tcW w:w="12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r>
      <w:tr>
        <w:trPr>
          <w:trHeight w:val="176"/>
        </w:trPr>
        <w:tc>
          <w:tcPr>
            <w:tcW w:w="3380" w:type="dxa"/>
            <w:vAlign w:val="bottom"/>
          </w:tcPr>
          <w:p>
            <w:pPr>
              <w:ind w:left="120"/>
              <w:spacing w:after="0" w:line="176" w:lineRule="exact"/>
              <w:rPr>
                <w:sz w:val="20"/>
                <w:szCs w:val="20"/>
                <w:color w:val="auto"/>
              </w:rPr>
            </w:pPr>
            <w:r>
              <w:rPr>
                <w:rFonts w:ascii="Arial" w:cs="Arial" w:eastAsia="Arial" w:hAnsi="Arial"/>
                <w:sz w:val="18"/>
                <w:szCs w:val="18"/>
                <w:color w:val="auto"/>
              </w:rPr>
              <w:t>Money market funds</w:t>
            </w:r>
          </w:p>
        </w:tc>
        <w:tc>
          <w:tcPr>
            <w:tcW w:w="146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83,521</w:t>
            </w:r>
          </w:p>
        </w:tc>
        <w:tc>
          <w:tcPr>
            <w:tcW w:w="22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83,521</w:t>
            </w:r>
          </w:p>
        </w:tc>
        <w:tc>
          <w:tcPr>
            <w:tcW w:w="22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3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U.S. treasury notes</w:t>
            </w: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2,283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2,283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380" w:type="dxa"/>
            <w:vAlign w:val="bottom"/>
          </w:tcPr>
          <w:p>
            <w:pPr>
              <w:ind w:left="120"/>
              <w:spacing w:after="0" w:line="176" w:lineRule="exact"/>
              <w:rPr>
                <w:sz w:val="20"/>
                <w:szCs w:val="20"/>
                <w:color w:val="auto"/>
              </w:rPr>
            </w:pPr>
            <w:r>
              <w:rPr>
                <w:rFonts w:ascii="Arial" w:cs="Arial" w:eastAsia="Arial" w:hAnsi="Arial"/>
                <w:sz w:val="18"/>
                <w:szCs w:val="18"/>
                <w:color w:val="auto"/>
              </w:rPr>
              <w:t>U.S. treasury securities</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2,280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2,280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3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Corporate bonds</w:t>
            </w: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20,112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20,112</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380" w:type="dxa"/>
            <w:vAlign w:val="bottom"/>
          </w:tcPr>
          <w:p>
            <w:pPr>
              <w:ind w:left="120"/>
              <w:spacing w:after="0" w:line="176" w:lineRule="exact"/>
              <w:rPr>
                <w:sz w:val="20"/>
                <w:szCs w:val="20"/>
                <w:color w:val="auto"/>
              </w:rPr>
            </w:pPr>
            <w:r>
              <w:rPr>
                <w:rFonts w:ascii="Arial" w:cs="Arial" w:eastAsia="Arial" w:hAnsi="Arial"/>
                <w:sz w:val="18"/>
                <w:szCs w:val="18"/>
                <w:color w:val="auto"/>
              </w:rPr>
              <w:t>Commercial paper</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32,060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32,060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3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Asset-backed securities</w:t>
            </w: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4,285</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4,285</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380" w:type="dxa"/>
            <w:vAlign w:val="bottom"/>
            <w:tcBorders>
              <w:bottom w:val="single" w:sz="8" w:color="CCEEFF"/>
            </w:tcBorders>
          </w:tcPr>
          <w:p>
            <w:pPr>
              <w:jc w:val="center"/>
              <w:ind w:right="2490"/>
              <w:spacing w:after="0" w:line="170" w:lineRule="exact"/>
              <w:rPr>
                <w:sz w:val="20"/>
                <w:szCs w:val="20"/>
                <w:color w:val="auto"/>
              </w:rPr>
            </w:pPr>
            <w:r>
              <w:rPr>
                <w:rFonts w:ascii="Arial" w:cs="Arial" w:eastAsia="Arial" w:hAnsi="Arial"/>
                <w:sz w:val="18"/>
                <w:szCs w:val="18"/>
                <w:color w:val="auto"/>
                <w:w w:val="89"/>
              </w:rPr>
              <w:t>Total</w:t>
            </w:r>
          </w:p>
        </w:tc>
        <w:tc>
          <w:tcPr>
            <w:tcW w:w="126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144,541</w:t>
            </w:r>
          </w:p>
        </w:tc>
        <w:tc>
          <w:tcPr>
            <w:tcW w:w="2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88,084</w:t>
            </w:r>
          </w:p>
        </w:tc>
        <w:tc>
          <w:tcPr>
            <w:tcW w:w="2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56,457</w:t>
            </w:r>
          </w:p>
        </w:tc>
        <w:tc>
          <w:tcPr>
            <w:tcW w:w="2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r>
      <w:tr>
        <w:trPr>
          <w:trHeight w:val="176"/>
        </w:trPr>
        <w:tc>
          <w:tcPr>
            <w:tcW w:w="3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76"/>
        </w:trPr>
        <w:tc>
          <w:tcPr>
            <w:tcW w:w="3380" w:type="dxa"/>
            <w:vAlign w:val="bottom"/>
          </w:tcPr>
          <w:p>
            <w:pPr>
              <w:jc w:val="center"/>
              <w:ind w:right="2510"/>
              <w:spacing w:after="0" w:line="176" w:lineRule="exact"/>
              <w:rPr>
                <w:sz w:val="20"/>
                <w:szCs w:val="20"/>
                <w:color w:val="auto"/>
              </w:rPr>
            </w:pPr>
            <w:r>
              <w:rPr>
                <w:rFonts w:ascii="Arial" w:cs="Arial" w:eastAsia="Arial" w:hAnsi="Arial"/>
                <w:sz w:val="18"/>
                <w:szCs w:val="18"/>
                <w:color w:val="auto"/>
                <w:w w:val="98"/>
              </w:rPr>
              <w:t>Liabilities:</w:t>
            </w: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6"/>
        </w:trPr>
        <w:tc>
          <w:tcPr>
            <w:tcW w:w="33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Derivative liability for exit fee</w:t>
            </w:r>
          </w:p>
        </w:tc>
        <w:tc>
          <w:tcPr>
            <w:tcW w:w="146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570</w:t>
            </w:r>
          </w:p>
        </w:tc>
      </w:tr>
      <w:tr>
        <w:trPr>
          <w:trHeight w:val="176"/>
        </w:trPr>
        <w:tc>
          <w:tcPr>
            <w:tcW w:w="3380" w:type="dxa"/>
            <w:vAlign w:val="bottom"/>
          </w:tcPr>
          <w:p>
            <w:pPr>
              <w:jc w:val="center"/>
              <w:ind w:right="2490"/>
              <w:spacing w:after="0" w:line="170" w:lineRule="exact"/>
              <w:rPr>
                <w:sz w:val="20"/>
                <w:szCs w:val="20"/>
                <w:color w:val="auto"/>
              </w:rPr>
            </w:pPr>
            <w:r>
              <w:rPr>
                <w:rFonts w:ascii="Arial" w:cs="Arial" w:eastAsia="Arial" w:hAnsi="Arial"/>
                <w:sz w:val="18"/>
                <w:szCs w:val="18"/>
                <w:color w:val="auto"/>
                <w:w w:val="89"/>
              </w:rPr>
              <w:t>Total</w:t>
            </w:r>
          </w:p>
        </w:tc>
        <w:tc>
          <w:tcPr>
            <w:tcW w:w="126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570</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570</w:t>
            </w:r>
          </w:p>
        </w:tc>
      </w:tr>
      <w:tr>
        <w:trPr>
          <w:trHeight w:val="810"/>
        </w:trPr>
        <w:tc>
          <w:tcPr>
            <w:tcW w:w="3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02"/>
        </w:trPr>
        <w:tc>
          <w:tcPr>
            <w:tcW w:w="33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29"/>
        </w:trPr>
        <w:tc>
          <w:tcPr>
            <w:tcW w:w="3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1"/>
                <w:szCs w:val="11"/>
                <w:color w:val="auto"/>
              </w:rPr>
            </w:pPr>
          </w:p>
        </w:tc>
        <w:tc>
          <w:tcPr>
            <w:tcW w:w="98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1"/>
                <w:szCs w:val="11"/>
                <w:color w:val="auto"/>
              </w:rPr>
            </w:pPr>
          </w:p>
        </w:tc>
        <w:tc>
          <w:tcPr>
            <w:tcW w:w="9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76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Level 3</w:t>
            </w:r>
          </w:p>
        </w:tc>
      </w:tr>
      <w:tr>
        <w:trPr>
          <w:trHeight w:val="169"/>
        </w:trPr>
        <w:tc>
          <w:tcPr>
            <w:tcW w:w="37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Assets:</w:t>
            </w:r>
          </w:p>
        </w:tc>
        <w:tc>
          <w:tcPr>
            <w:tcW w:w="9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r>
      <w:tr>
        <w:trPr>
          <w:trHeight w:val="176"/>
        </w:trPr>
        <w:tc>
          <w:tcPr>
            <w:tcW w:w="3720" w:type="dxa"/>
            <w:vAlign w:val="bottom"/>
          </w:tcPr>
          <w:p>
            <w:pPr>
              <w:ind w:left="120"/>
              <w:spacing w:after="0" w:line="176" w:lineRule="exact"/>
              <w:rPr>
                <w:sz w:val="20"/>
                <w:szCs w:val="20"/>
                <w:color w:val="auto"/>
              </w:rPr>
            </w:pPr>
            <w:r>
              <w:rPr>
                <w:rFonts w:ascii="Arial" w:cs="Arial" w:eastAsia="Arial" w:hAnsi="Arial"/>
                <w:sz w:val="18"/>
                <w:szCs w:val="18"/>
                <w:color w:val="auto"/>
              </w:rPr>
              <w:t>Money market funds</w:t>
            </w:r>
          </w:p>
        </w:tc>
        <w:tc>
          <w:tcPr>
            <w:tcW w:w="112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73,238</w:t>
            </w:r>
          </w:p>
        </w:tc>
        <w:tc>
          <w:tcPr>
            <w:tcW w:w="22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73,238</w:t>
            </w:r>
          </w:p>
        </w:tc>
        <w:tc>
          <w:tcPr>
            <w:tcW w:w="22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U.S. treasury securities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3,996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tcPr>
          <w:p>
            <w:pPr>
              <w:ind w:left="120"/>
              <w:spacing w:after="0" w:line="176" w:lineRule="exact"/>
              <w:rPr>
                <w:sz w:val="20"/>
                <w:szCs w:val="20"/>
                <w:color w:val="auto"/>
              </w:rPr>
            </w:pPr>
            <w:r>
              <w:rPr>
                <w:rFonts w:ascii="Arial" w:cs="Arial" w:eastAsia="Arial" w:hAnsi="Arial"/>
                <w:sz w:val="18"/>
                <w:szCs w:val="18"/>
                <w:color w:val="auto"/>
              </w:rPr>
              <w:t>Corporate bonds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34,590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34,590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Commercial paper</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43,154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43,154</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tcPr>
          <w:p>
            <w:pPr>
              <w:ind w:left="120"/>
              <w:spacing w:after="0" w:line="176" w:lineRule="exact"/>
              <w:rPr>
                <w:sz w:val="20"/>
                <w:szCs w:val="20"/>
                <w:color w:val="auto"/>
              </w:rPr>
            </w:pPr>
            <w:r>
              <w:rPr>
                <w:rFonts w:ascii="Arial" w:cs="Arial" w:eastAsia="Arial" w:hAnsi="Arial"/>
                <w:sz w:val="18"/>
                <w:szCs w:val="18"/>
                <w:color w:val="auto"/>
              </w:rPr>
              <w:t>Asset-backed securities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9,378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9,378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tcBorders>
              <w:top w:val="single" w:sz="8" w:color="CCEEFF"/>
              <w:bottom w:val="single" w:sz="8" w:color="CCEEFF"/>
            </w:tcBorders>
            <w:shd w:val="clear" w:color="auto" w:fill="CCEEFF"/>
          </w:tcPr>
          <w:p>
            <w:pPr>
              <w:jc w:val="center"/>
              <w:ind w:right="2830"/>
              <w:spacing w:after="0" w:line="170" w:lineRule="exact"/>
              <w:rPr>
                <w:sz w:val="20"/>
                <w:szCs w:val="20"/>
                <w:color w:val="auto"/>
              </w:rPr>
            </w:pPr>
            <w:r>
              <w:rPr>
                <w:rFonts w:ascii="Arial" w:cs="Arial" w:eastAsia="Arial" w:hAnsi="Arial"/>
                <w:sz w:val="18"/>
                <w:szCs w:val="18"/>
                <w:color w:val="auto"/>
                <w:w w:val="89"/>
              </w:rPr>
              <w:t>Total</w:t>
            </w:r>
          </w:p>
        </w:tc>
        <w:tc>
          <w:tcPr>
            <w:tcW w:w="9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164,356</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77,234</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87,122</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r>
      <w:tr>
        <w:trPr>
          <w:trHeight w:val="189"/>
        </w:trPr>
        <w:tc>
          <w:tcPr>
            <w:tcW w:w="3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6"/>
        </w:trPr>
        <w:tc>
          <w:tcPr>
            <w:tcW w:w="3720" w:type="dxa"/>
            <w:vAlign w:val="bottom"/>
            <w:shd w:val="clear" w:color="auto" w:fill="CCEEFF"/>
          </w:tcPr>
          <w:p>
            <w:pPr>
              <w:jc w:val="center"/>
              <w:ind w:right="2850"/>
              <w:spacing w:after="0" w:line="176" w:lineRule="exact"/>
              <w:rPr>
                <w:sz w:val="20"/>
                <w:szCs w:val="20"/>
                <w:color w:val="auto"/>
              </w:rPr>
            </w:pPr>
            <w:r>
              <w:rPr>
                <w:rFonts w:ascii="Arial" w:cs="Arial" w:eastAsia="Arial" w:hAnsi="Arial"/>
                <w:sz w:val="18"/>
                <w:szCs w:val="18"/>
                <w:color w:val="auto"/>
                <w:w w:val="98"/>
              </w:rPr>
              <w:t>Liabilities: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76"/>
        </w:trPr>
        <w:tc>
          <w:tcPr>
            <w:tcW w:w="3720" w:type="dxa"/>
            <w:vAlign w:val="bottom"/>
          </w:tcPr>
          <w:p>
            <w:pPr>
              <w:ind w:left="120"/>
              <w:spacing w:after="0" w:line="176" w:lineRule="exact"/>
              <w:rPr>
                <w:sz w:val="20"/>
                <w:szCs w:val="20"/>
                <w:color w:val="auto"/>
              </w:rPr>
            </w:pPr>
            <w:r>
              <w:rPr>
                <w:rFonts w:ascii="Arial" w:cs="Arial" w:eastAsia="Arial" w:hAnsi="Arial"/>
                <w:sz w:val="18"/>
                <w:szCs w:val="18"/>
                <w:color w:val="auto"/>
              </w:rPr>
              <w:t>Derivative liability for exit fee</w:t>
            </w:r>
          </w:p>
        </w:tc>
        <w:tc>
          <w:tcPr>
            <w:tcW w:w="1120" w:type="dxa"/>
            <w:vAlign w:val="bottom"/>
            <w:gridSpan w:val="2"/>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533</w:t>
            </w:r>
          </w:p>
        </w:tc>
        <w:tc>
          <w:tcPr>
            <w:tcW w:w="220" w:type="dxa"/>
            <w:vAlign w:val="bottom"/>
          </w:tcPr>
          <w:p>
            <w:pPr>
              <w:spacing w:after="0"/>
              <w:rPr>
                <w:sz w:val="15"/>
                <w:szCs w:val="15"/>
                <w:color w:val="auto"/>
              </w:rPr>
            </w:pP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533</w:t>
            </w:r>
          </w:p>
        </w:tc>
      </w:tr>
      <w:tr>
        <w:trPr>
          <w:trHeight w:val="176"/>
        </w:trPr>
        <w:tc>
          <w:tcPr>
            <w:tcW w:w="37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Foreign currency derivative contracts</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3720" w:type="dxa"/>
            <w:vAlign w:val="bottom"/>
          </w:tcPr>
          <w:p>
            <w:pPr>
              <w:jc w:val="center"/>
              <w:ind w:right="2830"/>
              <w:spacing w:after="0" w:line="170" w:lineRule="exact"/>
              <w:rPr>
                <w:sz w:val="20"/>
                <w:szCs w:val="20"/>
                <w:color w:val="auto"/>
              </w:rPr>
            </w:pPr>
            <w:r>
              <w:rPr>
                <w:rFonts w:ascii="Arial" w:cs="Arial" w:eastAsia="Arial" w:hAnsi="Arial"/>
                <w:sz w:val="18"/>
                <w:szCs w:val="18"/>
                <w:color w:val="auto"/>
                <w:w w:val="89"/>
              </w:rPr>
              <w:t>Total</w:t>
            </w:r>
          </w:p>
        </w:tc>
        <w:tc>
          <w:tcPr>
            <w:tcW w:w="9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585</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52</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533</w:t>
            </w:r>
          </w:p>
        </w:tc>
      </w:tr>
    </w:tbl>
    <w:p>
      <w:pPr>
        <w:spacing w:after="0" w:line="148"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Where quoted prices are available in an active market, securities are classified as Level 1. The Company classifies money market funds, U.S. treasury securities and U.S. treasury notes as Level 1. When quoted market prices are not available for the specific security, the Company estimates fair value by using benchmark yields, reported trades, broker/dealer quotes and issuer spreads. The Company classifies corporate bonds, commercial paper, asset-backed securities and foreign currency derivative contracts as Level 2. In certain cases, where there is limited activity or less transparency around inputs to valuation, securities are classified as Level 3. There were no transfers between Level 1 and Level 2 during the periods presented.</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May 2018, pursuant to the loan and security agreement with Solar Capital Ltd. and Western Alliance Bank (see “Note</w:t>
      </w:r>
    </w:p>
    <w:p>
      <w:pPr>
        <w:spacing w:after="0" w:line="8" w:lineRule="exact"/>
        <w:rPr>
          <w:sz w:val="20"/>
          <w:szCs w:val="20"/>
          <w:color w:val="auto"/>
        </w:rPr>
      </w:pPr>
    </w:p>
    <w:p>
      <w:pPr>
        <w:jc w:val="both"/>
        <w:ind w:firstLine="3"/>
        <w:spacing w:after="0" w:line="233" w:lineRule="auto"/>
        <w:tabs>
          <w:tab w:leader="none" w:pos="188" w:val="left"/>
        </w:tabs>
        <w:numPr>
          <w:ilvl w:val="0"/>
          <w:numId w:val="7"/>
        </w:numPr>
        <w:rPr>
          <w:rFonts w:ascii="Arial" w:cs="Arial" w:eastAsia="Arial" w:hAnsi="Arial"/>
          <w:sz w:val="16"/>
          <w:szCs w:val="16"/>
          <w:color w:val="auto"/>
        </w:rPr>
      </w:pPr>
      <w:r>
        <w:rPr>
          <w:rFonts w:ascii="Arial" w:cs="Arial" w:eastAsia="Arial" w:hAnsi="Arial"/>
          <w:sz w:val="16"/>
          <w:szCs w:val="16"/>
          <w:color w:val="auto"/>
        </w:rPr>
        <w:t>Borrowings”), the Company entered into an Exit Fee Agreement under which the Company agreed to pay $1.5 million in cash, or the Exit Fee, upon any change of control transaction in respect of the Company or if the Company obtains both (i) FDA approval of tenapanor in the treatment of hyperphosphatemia in ESRD patients on dialysis and (ii) FDA approval of tenapanor for the treatment of patients with IBS-C. Notwithstanding the prepayment or termination of the Term Loan, the Company’s obligation to pay the Exit Fee will expire May 16, 2028. The Company evaluated that the Exit Fee is a freestanding derivative which should be accounted for at fair value on a recurring basis. The estimated fair value of the Exit Fee is recorded as a derivative liability and included in accrued and other liabilities on the accompanying condensed balance sheet. As of March 31, 2019, the estimated fair value of the Exit Fee was determined to be $570,000, an increase of $37,000 compared with $533,000, the estimated fair value as of December 31, 2018, primarily as a result of changes to the inputs in the calculation including the estimated timing of payment and the time value of money, which are presented as a component of change in derivative liabilities in the Company’s condensed consolidated statements of operations.</w:t>
      </w:r>
    </w:p>
    <w:p>
      <w:pPr>
        <w:spacing w:after="0" w:line="167"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The fair value of the derivative liability was determined using a discounted cash flow analysis and is classified as a Level 3 measurement within the fair value hierarchy since the Company’s valuation utilized significant unobservable inputs. Specifically, the key assumptions included in the calculation of the estimated fair value of the derivative instrument include:</w:t>
      </w:r>
    </w:p>
    <w:p>
      <w:pPr>
        <w:spacing w:after="0" w:line="2" w:lineRule="exact"/>
        <w:rPr>
          <w:sz w:val="20"/>
          <w:szCs w:val="20"/>
          <w:color w:val="auto"/>
        </w:rPr>
      </w:pPr>
    </w:p>
    <w:p>
      <w:pPr>
        <w:jc w:val="both"/>
        <w:ind w:firstLine="3"/>
        <w:spacing w:after="0" w:line="225" w:lineRule="auto"/>
        <w:tabs>
          <w:tab w:leader="none" w:pos="166"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estimates of both the probability and timing of a potential $1.5 million payment to Solar Capital Ltd. and Western Alliance Bank as a result of the FDA approvals, and ii) a discount rate which was derived from the Company's estimated cost of debt. Generally, increases or decreases in the probability of occurrence would result in a directionally similar impact in the fair value measurement of the derivative instrument and it is estimated that a 10% increase (decrease) in the probability of occurrence would result in a fair value fluctuation of approximately $0.1 million.</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Changes in the fair value of recurring measurements included in Level 3 of the fair value hierarchy are presented as other income (expense), net, in the Company's condensed consolidated statements of operations and were as follows for the three months ended March 31, 2019 (in thousands):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8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Estimated Fair Value</w:t>
            </w:r>
          </w:p>
        </w:tc>
      </w:tr>
      <w:tr>
        <w:trPr>
          <w:trHeight w:val="171"/>
        </w:trPr>
        <w:tc>
          <w:tcPr>
            <w:tcW w:w="13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6"/>
              </w:rPr>
              <w:t>of Derivative Liability</w:t>
            </w:r>
          </w:p>
        </w:tc>
      </w:tr>
      <w:tr>
        <w:trPr>
          <w:trHeight w:val="169"/>
        </w:trPr>
        <w:tc>
          <w:tcPr>
            <w:tcW w:w="13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1"/>
              </w:rPr>
              <w:t>Balance of Level 3</w:t>
            </w:r>
          </w:p>
        </w:tc>
        <w:tc>
          <w:tcPr>
            <w:tcW w:w="5080" w:type="dxa"/>
            <w:vAlign w:val="bottom"/>
            <w:tcBorders>
              <w:top w:val="single" w:sz="8" w:color="CCEEFF"/>
            </w:tcBorders>
            <w:shd w:val="clear" w:color="auto" w:fill="CCEEFF"/>
          </w:tcPr>
          <w:p>
            <w:pPr>
              <w:ind w:left="40"/>
              <w:spacing w:after="0" w:line="170" w:lineRule="exact"/>
              <w:rPr>
                <w:sz w:val="20"/>
                <w:szCs w:val="20"/>
                <w:color w:val="auto"/>
              </w:rPr>
            </w:pPr>
            <w:r>
              <w:rPr>
                <w:rFonts w:ascii="Arial" w:cs="Arial" w:eastAsia="Arial" w:hAnsi="Arial"/>
                <w:sz w:val="18"/>
                <w:szCs w:val="18"/>
                <w:color w:val="auto"/>
              </w:rPr>
              <w:t>Liabilities at December 31, 2018</w:t>
            </w:r>
          </w:p>
        </w:tc>
        <w:tc>
          <w:tcPr>
            <w:tcW w:w="300" w:type="dxa"/>
            <w:vAlign w:val="bottom"/>
            <w:tcBorders>
              <w:top w:val="single" w:sz="8" w:color="auto"/>
            </w:tcBorders>
            <w:shd w:val="clear" w:color="auto" w:fill="CCEEFF"/>
          </w:tcPr>
          <w:p>
            <w:pPr>
              <w:jc w:val="right"/>
              <w:ind w:right="145"/>
              <w:spacing w:after="0" w:line="169" w:lineRule="exact"/>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533</w:t>
            </w:r>
          </w:p>
        </w:tc>
        <w:tc>
          <w:tcPr>
            <w:tcW w:w="220" w:type="dxa"/>
            <w:vAlign w:val="bottom"/>
            <w:tcBorders>
              <w:top w:val="single" w:sz="8" w:color="CCEEFF"/>
            </w:tcBorders>
            <w:shd w:val="clear" w:color="auto" w:fill="CCEEFF"/>
          </w:tcPr>
          <w:p>
            <w:pPr>
              <w:spacing w:after="0"/>
              <w:rPr>
                <w:sz w:val="14"/>
                <w:szCs w:val="14"/>
                <w:color w:val="auto"/>
              </w:rPr>
            </w:pPr>
          </w:p>
        </w:tc>
      </w:tr>
      <w:tr>
        <w:trPr>
          <w:trHeight w:val="176"/>
        </w:trPr>
        <w:tc>
          <w:tcPr>
            <w:tcW w:w="6460" w:type="dxa"/>
            <w:vAlign w:val="bottom"/>
            <w:tcBorders>
              <w:bottom w:val="single" w:sz="8" w:color="CCEEFF"/>
            </w:tcBorders>
            <w:gridSpan w:val="2"/>
          </w:tcPr>
          <w:p>
            <w:pPr>
              <w:ind w:left="220"/>
              <w:spacing w:after="0" w:line="176" w:lineRule="exact"/>
              <w:rPr>
                <w:sz w:val="20"/>
                <w:szCs w:val="20"/>
                <w:color w:val="auto"/>
              </w:rPr>
            </w:pPr>
            <w:r>
              <w:rPr>
                <w:rFonts w:ascii="Arial" w:cs="Arial" w:eastAsia="Arial" w:hAnsi="Arial"/>
                <w:sz w:val="18"/>
                <w:szCs w:val="18"/>
                <w:color w:val="auto"/>
              </w:rPr>
              <w:t>Change in estimated fair value of derivative liability for exit fee</w:t>
            </w:r>
          </w:p>
        </w:tc>
        <w:tc>
          <w:tcPr>
            <w:tcW w:w="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37</w:t>
            </w:r>
          </w:p>
        </w:tc>
        <w:tc>
          <w:tcPr>
            <w:tcW w:w="220" w:type="dxa"/>
            <w:vAlign w:val="bottom"/>
            <w:tcBorders>
              <w:bottom w:val="single" w:sz="8" w:color="CCEEFF"/>
            </w:tcBorders>
          </w:tcPr>
          <w:p>
            <w:pPr>
              <w:spacing w:after="0"/>
              <w:rPr>
                <w:sz w:val="15"/>
                <w:szCs w:val="15"/>
                <w:color w:val="auto"/>
              </w:rPr>
            </w:pPr>
          </w:p>
        </w:tc>
      </w:tr>
      <w:tr>
        <w:trPr>
          <w:trHeight w:val="176"/>
        </w:trPr>
        <w:tc>
          <w:tcPr>
            <w:tcW w:w="13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1"/>
              </w:rPr>
              <w:t>Balance of Level 3</w:t>
            </w:r>
          </w:p>
        </w:tc>
        <w:tc>
          <w:tcPr>
            <w:tcW w:w="5080" w:type="dxa"/>
            <w:vAlign w:val="bottom"/>
            <w:tcBorders>
              <w:bottom w:val="single" w:sz="8" w:color="CCEEFF"/>
            </w:tcBorders>
            <w:shd w:val="clear" w:color="auto" w:fill="CCEEFF"/>
          </w:tcPr>
          <w:p>
            <w:pPr>
              <w:ind w:left="40"/>
              <w:spacing w:after="0" w:line="170" w:lineRule="exact"/>
              <w:rPr>
                <w:sz w:val="20"/>
                <w:szCs w:val="20"/>
                <w:color w:val="auto"/>
              </w:rPr>
            </w:pPr>
            <w:r>
              <w:rPr>
                <w:rFonts w:ascii="Arial" w:cs="Arial" w:eastAsia="Arial" w:hAnsi="Arial"/>
                <w:sz w:val="18"/>
                <w:szCs w:val="18"/>
                <w:color w:val="auto"/>
              </w:rPr>
              <w:t>Liabilities at March 31, 2019</w:t>
            </w:r>
          </w:p>
        </w:tc>
        <w:tc>
          <w:tcPr>
            <w:tcW w:w="300" w:type="dxa"/>
            <w:vAlign w:val="bottom"/>
            <w:tcBorders>
              <w:bottom w:val="single" w:sz="8" w:color="auto"/>
            </w:tcBorders>
            <w:shd w:val="clear" w:color="auto" w:fill="CCEEFF"/>
          </w:tcPr>
          <w:p>
            <w:pPr>
              <w:jc w:val="right"/>
              <w:ind w:right="145"/>
              <w:spacing w:after="0" w:line="169" w:lineRule="exact"/>
              <w:rPr>
                <w:sz w:val="20"/>
                <w:szCs w:val="20"/>
                <w:color w:val="auto"/>
              </w:rPr>
            </w:pPr>
            <w:r>
              <w:rPr>
                <w:rFonts w:ascii="Arial" w:cs="Arial" w:eastAsia="Arial" w:hAnsi="Arial"/>
                <w:sz w:val="15"/>
                <w:szCs w:val="15"/>
                <w:color w:val="auto"/>
                <w:w w:val="71"/>
              </w:rPr>
              <w:t>$</w:t>
            </w:r>
          </w:p>
        </w:tc>
        <w:tc>
          <w:tcPr>
            <w:tcW w:w="20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570</w:t>
            </w:r>
          </w:p>
        </w:tc>
        <w:tc>
          <w:tcPr>
            <w:tcW w:w="22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carrying amounts reflected in the balance sheets for cash equivalents, short-term investments, accounts receivable, prepaid expenses and other current assets, accounts payable and accrued expenses approximate their fair values at both March 31, 2019 and December 31, 2018, due to their short-term nature.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DERIVATIVE FINANCIAL INSTRUMENTS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Foreign Currency Exchange Rate Exposure</w:t>
      </w:r>
    </w:p>
    <w:p>
      <w:pPr>
        <w:spacing w:after="0" w:line="148"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The Company uses forward foreign currency exchange contracts to secure a foreign currency exchange rate when a contract is executed involving payment in a foreign currency in order to minimize cash flow exposure to fluctuating exchange rates. Such exposure results from portions of the Company’s forecasted cash outflows being denominated in currencies other than the U.S. dollar, primarily the Swiss franc. The derivative instruments the Company uses to hedge this exposure are not designated as cash flow hedges, and as a result, changes in their fair value are recorded in other (expense) income, net, on the Company's condensed consolidated statements of operations and comprehensive loss.</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The fair values of forward foreign currency exchange contracts are estimated using current exchange rates and interest rates and take into consideration the current creditworthiness of the counterparties. Information regarding the specific instruments used by the Company to hedge its exposure to foreign currency exchange rate fluctuations is provided below.</w:t>
      </w:r>
    </w:p>
    <w:p>
      <w:pPr>
        <w:spacing w:after="0" w:line="107"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In March 2019, the Company settled its forward foreign currency exchange contract in the aggregate notional amount of Swiss francs 3.3 million and as of March 31, 2019 has no open forward foreign currency exchange contract. The net loss associated with the Company's derivative instrument of $60,558 is recognized in other (expense) income, net, on the condensed consolidated statement of operations and comprehensive loss for three months ended March 31, 2019. There were no expenses related to such derivative instruments for three months ended March 31,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 Capital and Western Alliance Bank Loan Agreement</w:t>
      </w:r>
    </w:p>
    <w:p>
      <w:pPr>
        <w:spacing w:after="0" w:line="144"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On May 16, 2018, the Company entered into a loan and security agreement, or the Loan Agreement, with Solar Capital Ltd. and Western Alliance Bank, or collectively the Lenders. The Loan Agreement provides for a $50.0 million term loan facility with a maturity date of November 1, 2022, or the Term Loan. The full amount of the loan was funded on May 16, 2018. The Company received net proceeds from the loan of approximately $49.3 million, after deducting the closing fee, legal expenses and issuance cost.</w:t>
      </w:r>
    </w:p>
    <w:p>
      <w:pPr>
        <w:spacing w:after="0" w:line="12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Borrowings under the Term Loan bear interest at a floating per annum rate equal to 7.45% plus the one-month LIBOR. The Company is permitted to make interest-only payments on the Term Loan through December 1, 2020 if the Company achieves its primary endpoint in the Phase 3 study of tenapanor for the treatment of hyperphosphatemia in end-stage renal disease patients on dialysis, prior to June 1, 2020; otherwise, the Company is permitted to make interest-only payments on the Term Loan only through June 1, 2020. Accordingly, beginning on either June 1, 2020 or December 1, 2020, as applicable, through the maturity date, the Company will be required to make monthly payments of interest plus repayment of the Term Loan in consecutive equal monthly installments of principal. The Company paid a closing fee of 1% of the Term Loan, or $0.5 million, upon the closing of the Term Loan. The Company is obligated to pay a final fee equal to 3.95% of the Term Loan upon the earliest to occur of the maturity date, the acceleration of the Term Loan, the prepayment or repayment of the Term Loan or the termination of the Loan Agreement. The Company may voluntarily prepay the outstanding Term Loan, subject to a prepayment premium of (i) 3% of the principal amount of the Term Loan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the Company’s assets, except for our intellectual property and certain other customary exclusions. Additionally, in connection with the Term Loan, the Company entered into an Exit Fee Agreement, whereby the Company agreed to pay an exit fee in the amount of 3% of the Term Loan, or the Exit Fee, upon any change of control transaction in respect of the Company or if the Company obtains both (i) FDA approval of tenapanor in the treatment of hyperphosphatemia in ESRD patients on dialysis and (ii) FDA approval of tenapanor for the treatment of patients with IBS-C. Notwithstanding the prepayment or termination of the Term Loan, the obligation to pay the Exit Fee will expire 10 years from the Closing Date.</w:t>
      </w:r>
    </w:p>
    <w:p>
      <w:pPr>
        <w:spacing w:after="0" w:line="12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Additionally, if the Company elects to enter into an exclusive license agreement for the use of its intellectual property in the United States (other than for tenapanor for hyperphosphatemia or for our FXR and TGR5 agonist programs) and has not obtained the written consent of the Lenders to enter into such license agreement, the Company has agreed to maintain unrestricted cash and cash equivalents of at least $50.0 million, until the Company achieves its primary endpoint in the second Phase 3 study of tenapanor for the treatment of hyperphosphatemia in end-stage renal disease patients on dialysis. As of March 31, 2019, the Company was in compliance with all of the covenants set forth in the Loan Agreement.</w:t>
      </w:r>
    </w:p>
    <w:p>
      <w:pPr>
        <w:spacing w:after="0" w:line="122"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In addition, the Loan Agreement contains customary events of default that entitle the Lender to cause the Company’s indebtedness under the Loan Agreement to become immediately due and payable, and to exercise remedies against the Company and the collateral securing the Term Loan, including our cash. Upon the occurrence and for the duration of an event of default, an additional default interest rate equal to 4.0% per annum will apply to all obligations owed under the Loan Agreement. As of March 31, 2019, to the Company’s knowledge, there were no facts or circumstances in existence giving rise to an event of default.</w:t>
      </w:r>
    </w:p>
    <w:p>
      <w:pPr>
        <w:spacing w:after="0" w:line="12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As of March 31, 2019, assuming the principal payments start on December 1, 2020, the Company’s future debt payment obligations towards the principal and final fee, excluding interest payments and exit fee, for the respective fiscal years are as follows (in thousands):</w:t>
      </w:r>
    </w:p>
    <w:p>
      <w:pPr>
        <w:spacing w:after="0" w:line="133"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6440" w:type="dxa"/>
            <w:vAlign w:val="bottom"/>
          </w:tcPr>
          <w:p>
            <w:pPr>
              <w:spacing w:after="0" w:line="176" w:lineRule="exact"/>
              <w:rPr>
                <w:sz w:val="20"/>
                <w:szCs w:val="20"/>
                <w:color w:val="auto"/>
              </w:rPr>
            </w:pPr>
            <w:r>
              <w:rPr>
                <w:rFonts w:ascii="Arial" w:cs="Arial" w:eastAsia="Arial" w:hAnsi="Arial"/>
                <w:sz w:val="18"/>
                <w:szCs w:val="18"/>
                <w:color w:val="auto"/>
              </w:rPr>
              <w:t>2020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2,083</w:t>
            </w:r>
          </w:p>
        </w:tc>
      </w:tr>
      <w:tr>
        <w:trPr>
          <w:trHeight w:val="176"/>
        </w:trPr>
        <w:tc>
          <w:tcPr>
            <w:tcW w:w="6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25,000</w:t>
            </w:r>
          </w:p>
        </w:tc>
      </w:tr>
      <w:tr>
        <w:trPr>
          <w:trHeight w:val="176"/>
        </w:trPr>
        <w:tc>
          <w:tcPr>
            <w:tcW w:w="64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24,892</w:t>
            </w:r>
          </w:p>
        </w:tc>
      </w:tr>
      <w:tr>
        <w:trPr>
          <w:trHeight w:val="169"/>
        </w:trPr>
        <w:tc>
          <w:tcPr>
            <w:tcW w:w="6440" w:type="dxa"/>
            <w:vAlign w:val="bottom"/>
            <w:shd w:val="clear" w:color="auto" w:fill="CCEEFF"/>
          </w:tcPr>
          <w:p>
            <w:pPr>
              <w:ind w:left="100"/>
              <w:spacing w:after="0" w:line="170" w:lineRule="exact"/>
              <w:rPr>
                <w:sz w:val="20"/>
                <w:szCs w:val="20"/>
                <w:color w:val="auto"/>
              </w:rPr>
            </w:pPr>
            <w:r>
              <w:rPr>
                <w:rFonts w:ascii="Arial" w:cs="Arial" w:eastAsia="Arial" w:hAnsi="Arial"/>
                <w:sz w:val="18"/>
                <w:szCs w:val="18"/>
                <w:color w:val="auto"/>
              </w:rPr>
              <w:t>Total principal and final fee payments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51,975</w:t>
            </w:r>
          </w:p>
        </w:tc>
      </w:tr>
      <w:tr>
        <w:trPr>
          <w:trHeight w:val="176"/>
        </w:trPr>
        <w:tc>
          <w:tcPr>
            <w:tcW w:w="6440" w:type="dxa"/>
            <w:vAlign w:val="bottom"/>
          </w:tcPr>
          <w:p>
            <w:pPr>
              <w:spacing w:after="0" w:line="176" w:lineRule="exact"/>
              <w:rPr>
                <w:sz w:val="20"/>
                <w:szCs w:val="20"/>
                <w:color w:val="auto"/>
              </w:rPr>
            </w:pPr>
            <w:r>
              <w:rPr>
                <w:rFonts w:ascii="Arial" w:cs="Arial" w:eastAsia="Arial" w:hAnsi="Arial"/>
                <w:sz w:val="18"/>
                <w:szCs w:val="18"/>
                <w:color w:val="auto"/>
              </w:rPr>
              <w:t>Less: Unamortized discount and debt issuance costs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(991)</w:t>
            </w:r>
          </w:p>
        </w:tc>
      </w:tr>
      <w:tr>
        <w:trPr>
          <w:trHeight w:val="176"/>
        </w:trPr>
        <w:tc>
          <w:tcPr>
            <w:tcW w:w="6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Less: Unaccreted value of final fee</w:t>
            </w: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(1,585)</w:t>
            </w:r>
          </w:p>
        </w:tc>
      </w:tr>
      <w:tr>
        <w:trPr>
          <w:trHeight w:val="176"/>
        </w:trPr>
        <w:tc>
          <w:tcPr>
            <w:tcW w:w="6440" w:type="dxa"/>
            <w:vAlign w:val="bottom"/>
          </w:tcPr>
          <w:p>
            <w:pPr>
              <w:ind w:left="100"/>
              <w:spacing w:after="0" w:line="170" w:lineRule="exact"/>
              <w:rPr>
                <w:sz w:val="20"/>
                <w:szCs w:val="20"/>
                <w:color w:val="auto"/>
              </w:rPr>
            </w:pPr>
            <w:r>
              <w:rPr>
                <w:rFonts w:ascii="Arial" w:cs="Arial" w:eastAsia="Arial" w:hAnsi="Arial"/>
                <w:sz w:val="18"/>
                <w:szCs w:val="18"/>
                <w:color w:val="auto"/>
              </w:rPr>
              <w:t>Loan payable, long term</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49,399</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56"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The Company has obtained the right of use for office space assets under two operating lease agreements. The Company has evaluated its facility leases and determined that, effective upon the adoption of Topic 842, the leases evaluated are all operating leases. The Company has performed an evaluation of its other contracts with suppliers and collaborators in accordance with Topic 842 and has determined that, except for the facility leases described below, none of the Company’s contracts contain a lease.</w:t>
      </w:r>
    </w:p>
    <w:p>
      <w:pPr>
        <w:spacing w:after="0" w:line="54"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The Company obtained the right of use of office space located in Fremont, CA under a lease agreement entered into in September 2008, which was most recently amended in April 2016. The office space consists of 61,784 square feet, plus a further 10,716 square feet beginning in September 2019, and the entire lease terminating on September 10, 2021. The Company has an option to extend the term by five years as to the entire premises, by giving written notice of its election to exercise such option at least twelve months but not more than eighteen months prior to the end of the expiration of the lease term. This option to extend the lease term by five years has not been included in the calculation since currently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exercise of the option is highly uncertain and therefore deemed not probable. The Company also obtained the right of use of 3,250 square feet of office space located in Boston, MA in October 2018 that terminates on September 30, 2021.</w:t>
      </w:r>
    </w:p>
    <w:p>
      <w:pPr>
        <w:spacing w:after="0" w:line="39"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All of the Company’s leases are operating leases. Certain of the leases have both lease and non-lease components. The Company has elected to account for each separate lease component and the non-lease components associated with that lease component as a single lease component for all classes of underlying assets. As of March 31, 2019, the weighted average discount rate used for the calculations was 12.99% and the weighted average remaining lease term was 2.5 years.</w:t>
      </w:r>
    </w:p>
    <w:p>
      <w:pPr>
        <w:spacing w:after="0" w:line="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additional details of the leases presented in the balance sheets: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r>
      <w:tr>
        <w:trPr>
          <w:trHeight w:val="169"/>
        </w:trPr>
        <w:tc>
          <w:tcPr>
            <w:tcW w:w="43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Facilities</w:t>
            </w:r>
          </w:p>
        </w:tc>
        <w:tc>
          <w:tcPr>
            <w:tcW w:w="14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r>
      <w:tr>
        <w:trPr>
          <w:trHeight w:val="176"/>
        </w:trPr>
        <w:tc>
          <w:tcPr>
            <w:tcW w:w="4380" w:type="dxa"/>
            <w:vAlign w:val="bottom"/>
          </w:tcPr>
          <w:p>
            <w:pPr>
              <w:ind w:left="220"/>
              <w:spacing w:after="0" w:line="176" w:lineRule="exact"/>
              <w:rPr>
                <w:sz w:val="20"/>
                <w:szCs w:val="20"/>
                <w:color w:val="auto"/>
              </w:rPr>
            </w:pPr>
            <w:r>
              <w:rPr>
                <w:rFonts w:ascii="Arial" w:cs="Arial" w:eastAsia="Arial" w:hAnsi="Arial"/>
                <w:sz w:val="18"/>
                <w:szCs w:val="18"/>
                <w:color w:val="auto"/>
              </w:rPr>
              <w:t>Right of use assets</w:t>
            </w:r>
          </w:p>
        </w:tc>
        <w:tc>
          <w:tcPr>
            <w:tcW w:w="1640" w:type="dxa"/>
            <w:vAlign w:val="bottom"/>
            <w:gridSpan w:val="2"/>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1480" w:type="dxa"/>
            <w:vAlign w:val="bottom"/>
          </w:tcPr>
          <w:p>
            <w:pPr>
              <w:ind w:left="1020"/>
              <w:spacing w:after="0" w:line="176" w:lineRule="exact"/>
              <w:rPr>
                <w:sz w:val="20"/>
                <w:szCs w:val="20"/>
                <w:color w:val="auto"/>
              </w:rPr>
            </w:pPr>
            <w:r>
              <w:rPr>
                <w:rFonts w:ascii="Arial" w:cs="Arial" w:eastAsia="Arial" w:hAnsi="Arial"/>
                <w:sz w:val="18"/>
                <w:szCs w:val="18"/>
                <w:color w:val="auto"/>
                <w:w w:val="97"/>
              </w:rPr>
              <w:t>5,371</w:t>
            </w:r>
          </w:p>
        </w:tc>
        <w:tc>
          <w:tcPr>
            <w:tcW w:w="640" w:type="dxa"/>
            <w:vAlign w:val="bottom"/>
          </w:tcPr>
          <w:p>
            <w:pPr>
              <w:spacing w:after="0"/>
              <w:rPr>
                <w:sz w:val="15"/>
                <w:szCs w:val="15"/>
                <w:color w:val="auto"/>
              </w:rPr>
            </w:pPr>
          </w:p>
        </w:tc>
      </w:tr>
      <w:tr>
        <w:trPr>
          <w:trHeight w:val="176"/>
        </w:trPr>
        <w:tc>
          <w:tcPr>
            <w:tcW w:w="43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76"/>
        </w:trPr>
        <w:tc>
          <w:tcPr>
            <w:tcW w:w="4380" w:type="dxa"/>
            <w:vAlign w:val="bottom"/>
          </w:tcPr>
          <w:p>
            <w:pPr>
              <w:ind w:left="220"/>
              <w:spacing w:after="0" w:line="176" w:lineRule="exact"/>
              <w:rPr>
                <w:sz w:val="20"/>
                <w:szCs w:val="20"/>
                <w:color w:val="auto"/>
              </w:rPr>
            </w:pPr>
            <w:r>
              <w:rPr>
                <w:rFonts w:ascii="Arial" w:cs="Arial" w:eastAsia="Arial" w:hAnsi="Arial"/>
                <w:sz w:val="18"/>
                <w:szCs w:val="18"/>
                <w:color w:val="auto"/>
              </w:rPr>
              <w:t>Current portion of lease liabilities</w:t>
            </w: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ind w:left="1020"/>
              <w:spacing w:after="0" w:line="176" w:lineRule="exact"/>
              <w:rPr>
                <w:sz w:val="20"/>
                <w:szCs w:val="20"/>
                <w:color w:val="auto"/>
              </w:rPr>
            </w:pPr>
            <w:r>
              <w:rPr>
                <w:rFonts w:ascii="Arial" w:cs="Arial" w:eastAsia="Arial" w:hAnsi="Arial"/>
                <w:sz w:val="18"/>
                <w:szCs w:val="18"/>
                <w:color w:val="auto"/>
                <w:w w:val="97"/>
              </w:rPr>
              <w:t>2,102</w:t>
            </w:r>
          </w:p>
        </w:tc>
        <w:tc>
          <w:tcPr>
            <w:tcW w:w="640" w:type="dxa"/>
            <w:vAlign w:val="bottom"/>
          </w:tcPr>
          <w:p>
            <w:pPr>
              <w:spacing w:after="0"/>
              <w:rPr>
                <w:sz w:val="15"/>
                <w:szCs w:val="15"/>
                <w:color w:val="auto"/>
              </w:rPr>
            </w:pPr>
          </w:p>
        </w:tc>
      </w:tr>
      <w:tr>
        <w:trPr>
          <w:trHeight w:val="176"/>
        </w:trPr>
        <w:tc>
          <w:tcPr>
            <w:tcW w:w="43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Lease liabilities, net of current portion</w:t>
            </w:r>
          </w:p>
        </w:tc>
        <w:tc>
          <w:tcPr>
            <w:tcW w:w="14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ind w:left="1020"/>
              <w:spacing w:after="0" w:line="176" w:lineRule="exact"/>
              <w:rPr>
                <w:sz w:val="20"/>
                <w:szCs w:val="20"/>
                <w:color w:val="auto"/>
              </w:rPr>
            </w:pPr>
            <w:r>
              <w:rPr>
                <w:rFonts w:ascii="Arial" w:cs="Arial" w:eastAsia="Arial" w:hAnsi="Arial"/>
                <w:sz w:val="18"/>
                <w:szCs w:val="18"/>
                <w:color w:val="auto"/>
                <w:w w:val="97"/>
              </w:rPr>
              <w:t>4,069</w:t>
            </w:r>
          </w:p>
        </w:tc>
        <w:tc>
          <w:tcPr>
            <w:tcW w:w="640" w:type="dxa"/>
            <w:vAlign w:val="bottom"/>
            <w:shd w:val="clear" w:color="auto" w:fill="CCEEFF"/>
          </w:tcPr>
          <w:p>
            <w:pPr>
              <w:spacing w:after="0"/>
              <w:rPr>
                <w:sz w:val="15"/>
                <w:szCs w:val="15"/>
                <w:color w:val="auto"/>
              </w:rPr>
            </w:pPr>
          </w:p>
        </w:tc>
      </w:tr>
      <w:tr>
        <w:trPr>
          <w:trHeight w:val="169"/>
        </w:trPr>
        <w:tc>
          <w:tcPr>
            <w:tcW w:w="4380" w:type="dxa"/>
            <w:vAlign w:val="bottom"/>
          </w:tcPr>
          <w:p>
            <w:pPr>
              <w:ind w:left="320"/>
              <w:spacing w:after="0" w:line="170" w:lineRule="exact"/>
              <w:rPr>
                <w:sz w:val="20"/>
                <w:szCs w:val="20"/>
                <w:color w:val="auto"/>
              </w:rPr>
            </w:pPr>
            <w:r>
              <w:rPr>
                <w:rFonts w:ascii="Arial" w:cs="Arial" w:eastAsia="Arial" w:hAnsi="Arial"/>
                <w:sz w:val="18"/>
                <w:szCs w:val="18"/>
                <w:color w:val="auto"/>
              </w:rPr>
              <w:t>Total liabilities</w:t>
            </w:r>
          </w:p>
        </w:tc>
        <w:tc>
          <w:tcPr>
            <w:tcW w:w="1400" w:type="dxa"/>
            <w:vAlign w:val="bottom"/>
          </w:tcPr>
          <w:p>
            <w:pPr>
              <w:spacing w:after="0"/>
              <w:rPr>
                <w:sz w:val="14"/>
                <w:szCs w:val="14"/>
                <w:color w:val="auto"/>
              </w:rPr>
            </w:pPr>
          </w:p>
        </w:tc>
        <w:tc>
          <w:tcPr>
            <w:tcW w:w="240" w:type="dxa"/>
            <w:vAlign w:val="bottom"/>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1480" w:type="dxa"/>
            <w:vAlign w:val="bottom"/>
          </w:tcPr>
          <w:p>
            <w:pPr>
              <w:ind w:left="1020"/>
              <w:spacing w:after="0" w:line="170" w:lineRule="exact"/>
              <w:rPr>
                <w:sz w:val="20"/>
                <w:szCs w:val="20"/>
                <w:color w:val="auto"/>
              </w:rPr>
            </w:pPr>
            <w:r>
              <w:rPr>
                <w:rFonts w:ascii="Arial" w:cs="Arial" w:eastAsia="Arial" w:hAnsi="Arial"/>
                <w:sz w:val="18"/>
                <w:szCs w:val="18"/>
                <w:color w:val="auto"/>
                <w:w w:val="97"/>
              </w:rPr>
              <w:t>6,171</w:t>
            </w:r>
          </w:p>
        </w:tc>
        <w:tc>
          <w:tcPr>
            <w:tcW w:w="640" w:type="dxa"/>
            <w:vAlign w:val="bottom"/>
          </w:tcPr>
          <w:p>
            <w:pPr>
              <w:spacing w:after="0"/>
              <w:rPr>
                <w:sz w:val="14"/>
                <w:szCs w:val="14"/>
                <w:color w:val="auto"/>
              </w:rPr>
            </w:pPr>
          </w:p>
        </w:tc>
      </w:tr>
      <w:tr>
        <w:trPr>
          <w:trHeight w:val="176"/>
        </w:trPr>
        <w:tc>
          <w:tcPr>
            <w:tcW w:w="43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Weighted-average remaining life</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2"/>
          </w:tcPr>
          <w:p>
            <w:pPr>
              <w:ind w:left="1200"/>
              <w:spacing w:after="0"/>
              <w:rPr>
                <w:sz w:val="20"/>
                <w:szCs w:val="20"/>
                <w:color w:val="auto"/>
              </w:rPr>
            </w:pPr>
            <w:r>
              <w:rPr>
                <w:rFonts w:ascii="Arial" w:cs="Arial" w:eastAsia="Arial" w:hAnsi="Arial"/>
                <w:sz w:val="18"/>
                <w:szCs w:val="18"/>
                <w:color w:val="auto"/>
              </w:rPr>
              <w:t>2.5 years</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12.99 %</w:t>
            </w:r>
          </w:p>
        </w:tc>
      </w:tr>
    </w:tbl>
    <w:p>
      <w:pPr>
        <w:spacing w:after="0" w:line="148" w:lineRule="exact"/>
        <w:rPr>
          <w:sz w:val="20"/>
          <w:szCs w:val="20"/>
          <w:color w:val="auto"/>
        </w:rPr>
      </w:pPr>
    </w:p>
    <w:p>
      <w:pPr>
        <w:ind w:right="120" w:firstLine="324"/>
        <w:spacing w:after="0" w:line="235" w:lineRule="auto"/>
        <w:rPr>
          <w:sz w:val="20"/>
          <w:szCs w:val="20"/>
          <w:color w:val="auto"/>
        </w:rPr>
      </w:pPr>
      <w:r>
        <w:rPr>
          <w:rFonts w:ascii="Arial" w:cs="Arial" w:eastAsia="Arial" w:hAnsi="Arial"/>
          <w:sz w:val="18"/>
          <w:szCs w:val="18"/>
          <w:color w:val="auto"/>
        </w:rPr>
        <w:t>The lease costs, which are included in operating expenses in our condensed consolidated statements of operations, were as follows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right"/>
              <w:ind w:right="219"/>
              <w:spacing w:after="0"/>
              <w:rPr>
                <w:sz w:val="20"/>
                <w:szCs w:val="20"/>
                <w:color w:val="auto"/>
              </w:rPr>
            </w:pPr>
            <w:r>
              <w:rPr>
                <w:rFonts w:ascii="Arial" w:cs="Arial" w:eastAsia="Arial" w:hAnsi="Arial"/>
                <w:sz w:val="14"/>
                <w:szCs w:val="14"/>
                <w:b w:val="1"/>
                <w:bCs w:val="1"/>
                <w:color w:val="auto"/>
                <w:w w:val="99"/>
              </w:rPr>
              <w:t>Three Months Ended</w:t>
            </w:r>
          </w:p>
        </w:tc>
      </w:tr>
      <w:tr>
        <w:trPr>
          <w:trHeight w:val="171"/>
        </w:trPr>
        <w:tc>
          <w:tcPr>
            <w:tcW w:w="384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March 31, 2019</w:t>
            </w:r>
          </w:p>
        </w:tc>
      </w:tr>
      <w:tr>
        <w:trPr>
          <w:trHeight w:val="169"/>
        </w:trPr>
        <w:tc>
          <w:tcPr>
            <w:tcW w:w="384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Facilities</w:t>
            </w:r>
          </w:p>
        </w:tc>
        <w:tc>
          <w:tcPr>
            <w:tcW w:w="1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r>
      <w:tr>
        <w:trPr>
          <w:trHeight w:val="176"/>
        </w:trPr>
        <w:tc>
          <w:tcPr>
            <w:tcW w:w="3840" w:type="dxa"/>
            <w:vAlign w:val="bottom"/>
          </w:tcPr>
          <w:p>
            <w:pPr>
              <w:ind w:left="220"/>
              <w:spacing w:after="0" w:line="176" w:lineRule="exact"/>
              <w:rPr>
                <w:sz w:val="20"/>
                <w:szCs w:val="20"/>
                <w:color w:val="auto"/>
              </w:rPr>
            </w:pPr>
            <w:r>
              <w:rPr>
                <w:rFonts w:ascii="Arial" w:cs="Arial" w:eastAsia="Arial" w:hAnsi="Arial"/>
                <w:sz w:val="18"/>
                <w:szCs w:val="18"/>
                <w:color w:val="auto"/>
              </w:rPr>
              <w:t>Operating lease cost</w:t>
            </w:r>
          </w:p>
        </w:tc>
        <w:tc>
          <w:tcPr>
            <w:tcW w:w="17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1700" w:type="dxa"/>
            <w:vAlign w:val="bottom"/>
          </w:tcPr>
          <w:p>
            <w:pPr>
              <w:jc w:val="right"/>
              <w:spacing w:after="0" w:line="176" w:lineRule="exact"/>
              <w:rPr>
                <w:sz w:val="20"/>
                <w:szCs w:val="20"/>
                <w:color w:val="auto"/>
              </w:rPr>
            </w:pPr>
            <w:r>
              <w:rPr>
                <w:rFonts w:ascii="Arial" w:cs="Arial" w:eastAsia="Arial" w:hAnsi="Arial"/>
                <w:sz w:val="18"/>
                <w:szCs w:val="18"/>
                <w:color w:val="auto"/>
              </w:rPr>
              <w:t>648</w:t>
            </w:r>
          </w:p>
        </w:tc>
      </w:tr>
      <w:tr>
        <w:trPr>
          <w:trHeight w:val="176"/>
        </w:trPr>
        <w:tc>
          <w:tcPr>
            <w:tcW w:w="3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Cash paid for operating lease</w:t>
            </w: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614</w:t>
            </w:r>
          </w:p>
        </w:tc>
      </w:tr>
    </w:tbl>
    <w:p>
      <w:pPr>
        <w:spacing w:after="0" w:line="200" w:lineRule="exact"/>
        <w:rPr>
          <w:sz w:val="20"/>
          <w:szCs w:val="20"/>
          <w:color w:val="auto"/>
        </w:rPr>
      </w:pPr>
    </w:p>
    <w:p>
      <w:pPr>
        <w:spacing w:after="0" w:line="33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 following table summarizes the Company’s undiscounted cash payment obligations for its operating lease liabilities as of March 31, 2019 (in thousands):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4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Ending March 31, 2019</w:t>
            </w:r>
          </w:p>
        </w:tc>
        <w:tc>
          <w:tcPr>
            <w:tcW w:w="9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r>
      <w:tr>
        <w:trPr>
          <w:trHeight w:val="169"/>
        </w:trPr>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2019 (remaining nine months)</w:t>
            </w:r>
          </w:p>
        </w:tc>
        <w:tc>
          <w:tcPr>
            <w:tcW w:w="900" w:type="dxa"/>
            <w:vAlign w:val="bottom"/>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2,031</w:t>
            </w:r>
          </w:p>
        </w:tc>
      </w:tr>
      <w:tr>
        <w:trPr>
          <w:trHeight w:val="176"/>
        </w:trPr>
        <w:tc>
          <w:tcPr>
            <w:tcW w:w="4980" w:type="dxa"/>
            <w:vAlign w:val="bottom"/>
          </w:tcPr>
          <w:p>
            <w:pPr>
              <w:spacing w:after="0" w:line="176" w:lineRule="exact"/>
              <w:rPr>
                <w:sz w:val="20"/>
                <w:szCs w:val="20"/>
                <w:color w:val="auto"/>
              </w:rPr>
            </w:pPr>
            <w:r>
              <w:rPr>
                <w:rFonts w:ascii="Arial" w:cs="Arial" w:eastAsia="Arial" w:hAnsi="Arial"/>
                <w:sz w:val="18"/>
                <w:szCs w:val="18"/>
                <w:color w:val="auto"/>
              </w:rPr>
              <w:t>2020</w:t>
            </w:r>
          </w:p>
        </w:tc>
        <w:tc>
          <w:tcPr>
            <w:tcW w:w="900" w:type="dxa"/>
            <w:vAlign w:val="bottom"/>
          </w:tcPr>
          <w:p>
            <w:pPr>
              <w:spacing w:after="0"/>
              <w:rPr>
                <w:sz w:val="15"/>
                <w:szCs w:val="15"/>
                <w:color w:val="auto"/>
              </w:rPr>
            </w:pPr>
          </w:p>
        </w:tc>
        <w:tc>
          <w:tcPr>
            <w:tcW w:w="1360" w:type="dxa"/>
            <w:vAlign w:val="bottom"/>
          </w:tcPr>
          <w:p>
            <w:pPr>
              <w:jc w:val="right"/>
              <w:spacing w:after="0" w:line="176" w:lineRule="exact"/>
              <w:rPr>
                <w:sz w:val="20"/>
                <w:szCs w:val="20"/>
                <w:color w:val="auto"/>
              </w:rPr>
            </w:pPr>
            <w:r>
              <w:rPr>
                <w:rFonts w:ascii="Arial" w:cs="Arial" w:eastAsia="Arial" w:hAnsi="Arial"/>
                <w:sz w:val="18"/>
                <w:szCs w:val="18"/>
                <w:color w:val="auto"/>
              </w:rPr>
              <w:t>3,065</w:t>
            </w:r>
          </w:p>
        </w:tc>
      </w:tr>
      <w:tr>
        <w:trPr>
          <w:trHeight w:val="176"/>
        </w:trPr>
        <w:tc>
          <w:tcPr>
            <w:tcW w:w="4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2021</w:t>
            </w:r>
          </w:p>
        </w:tc>
        <w:tc>
          <w:tcPr>
            <w:tcW w:w="9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2,183</w:t>
            </w:r>
          </w:p>
        </w:tc>
      </w:tr>
      <w:tr>
        <w:trPr>
          <w:trHeight w:val="176"/>
        </w:trPr>
        <w:tc>
          <w:tcPr>
            <w:tcW w:w="49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r>
      <w:tr>
        <w:trPr>
          <w:trHeight w:val="169"/>
        </w:trPr>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lease payments</w:t>
            </w:r>
          </w:p>
        </w:tc>
        <w:tc>
          <w:tcPr>
            <w:tcW w:w="90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7,279</w:t>
            </w:r>
          </w:p>
        </w:tc>
      </w:tr>
      <w:tr>
        <w:trPr>
          <w:trHeight w:val="169"/>
        </w:trPr>
        <w:tc>
          <w:tcPr>
            <w:tcW w:w="498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Imputed interest</w:t>
            </w:r>
          </w:p>
        </w:tc>
        <w:tc>
          <w:tcPr>
            <w:tcW w:w="9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(1,108)</w:t>
            </w:r>
          </w:p>
        </w:tc>
      </w:tr>
      <w:tr>
        <w:trPr>
          <w:trHeight w:val="176"/>
        </w:trPr>
        <w:tc>
          <w:tcPr>
            <w:tcW w:w="49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lease liabilities</w:t>
            </w:r>
          </w:p>
        </w:tc>
        <w:tc>
          <w:tcPr>
            <w:tcW w:w="900" w:type="dxa"/>
            <w:vAlign w:val="bottom"/>
            <w:tcBorders>
              <w:bottom w:val="single" w:sz="8" w:color="CCEEFF"/>
            </w:tcBorders>
            <w:shd w:val="clear" w:color="auto" w:fill="CCEEFF"/>
          </w:tcPr>
          <w:p>
            <w:pPr>
              <w:jc w:val="right"/>
              <w:ind w:right="130"/>
              <w:spacing w:after="0" w:line="170"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6,171</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SHAREHOLDERS EQUITY</w:t>
      </w:r>
    </w:p>
    <w:p>
      <w:pPr>
        <w:spacing w:after="0" w:line="162"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On May 22, 2018, the Company entered into an underwriting agreement with Jefferies LLC and Leerink Partners LLC, as representatives of several underwriters, or collectively the Underwriters, pursuant to which the Company agreed to issue and sell 12,500,000 shares of its common stock, par value $0.0001 per share, or Common Stock, to the Underwriters, or the Offering. The shares were sold at a public offering price of $4.00 per share, and were purchased by the Underwriters from the Company at a price of $3.76 per Share. Under the terms of the underwriting agreement,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Company granted the Underwriters the option, for 30 days, to purchase up to 1,875,000 additional shares of Common Stock at the public offering price.</w:t>
      </w:r>
    </w:p>
    <w:p>
      <w:pPr>
        <w:spacing w:after="0" w:line="121"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On May 25, 2018, the Offering closed and the Company completed the sale and issuance of 12,500,000 shares of Common Stock. The Company received net proceeds from the Offering of approximately $46.7 million, after deducting the Underwriters’ discounts and commissions and offering expenses payable by the Company. Subsequently, on June 25, 2018, the Underwriters exercised their option to purchase the full 1,875,000 shares of Common Stock at the public offering price of $4.00 per share that were purchased by the Underwriters from the Company at a price of $3.76 per Share and the Company received additional net proceeds of $7.1 million, after deducting the Underwriters’ commissions. In aggregate, the Company completed the sale and issuance of 14,375,000 shares of Common Stock and received net proceeds from the Offering of approximately $53.8 million, after deducting the Underwriters’ discounts, commissions and offering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18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following table presents stock-based compensation expense recognized for stock options, restricted stock units, or RSUs, performance-based restricted stock units, or PRSUs, and the Company’s employee stock purchase program, or ESPP, in the Company’s statements of operations (in thousands):</w:t>
      </w:r>
    </w:p>
    <w:p>
      <w:pPr>
        <w:spacing w:after="0" w:line="158"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Three Months Ended</w:t>
      </w:r>
    </w:p>
    <w:p>
      <w:pPr>
        <w:ind w:left="692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92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4"/>
              <w:spacing w:after="0" w:line="136"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4"/>
              <w:spacing w:after="0" w:line="136"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7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7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19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760</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907</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18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7"/>
              </w:rPr>
              <w:t>1,162</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7"/>
              </w:rPr>
              <w:t>1,518</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tcBorders>
              <w:bottom w:val="single" w:sz="8" w:color="CCEEFF"/>
            </w:tcBorders>
            <w:shd w:val="clear" w:color="auto" w:fill="CCEEFF"/>
          </w:tcPr>
          <w:p>
            <w:pPr>
              <w:ind w:left="80"/>
              <w:spacing w:after="0" w:line="170" w:lineRule="exact"/>
              <w:rPr>
                <w:sz w:val="20"/>
                <w:szCs w:val="20"/>
                <w:color w:val="auto"/>
              </w:rPr>
            </w:pPr>
            <w:r>
              <w:rPr>
                <w:rFonts w:ascii="Arial" w:cs="Arial" w:eastAsia="Arial" w:hAnsi="Arial"/>
                <w:sz w:val="18"/>
                <w:szCs w:val="18"/>
                <w:color w:val="auto"/>
              </w:rPr>
              <w:t>Total</w:t>
            </w:r>
          </w:p>
        </w:tc>
        <w:tc>
          <w:tcPr>
            <w:tcW w:w="18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1,922</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2,425</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In July 2018, the Company granted 903,374 PRSUs to its employees that vest upon the achievement of certain performance conditions, subject to the employees’ continued service relationship with the Company through the achievement date. At March 31, 2019, 878,289 of these PRSUs were outstanding. Based on the evaluation of the performance conditions at March 31, 2019, the Company has not recorded stock-based compensation expense for the three months ended March 31, 2019 related to these PRSUs. The Company will continue to evaluate the performance conditions for these PRSUs at each reporting period and will record compensation expense related to the PRSUs accordingly.</w:t>
      </w:r>
    </w:p>
    <w:p>
      <w:pPr>
        <w:spacing w:after="0" w:line="154" w:lineRule="exact"/>
        <w:rPr>
          <w:sz w:val="20"/>
          <w:szCs w:val="20"/>
          <w:color w:val="auto"/>
        </w:rPr>
      </w:pPr>
    </w:p>
    <w:p>
      <w:pPr>
        <w:ind w:right="260" w:firstLine="324"/>
        <w:spacing w:after="0" w:line="232" w:lineRule="auto"/>
        <w:rPr>
          <w:sz w:val="20"/>
          <w:szCs w:val="20"/>
          <w:color w:val="auto"/>
        </w:rPr>
      </w:pPr>
      <w:r>
        <w:rPr>
          <w:rFonts w:ascii="Arial" w:cs="Arial" w:eastAsia="Arial" w:hAnsi="Arial"/>
          <w:sz w:val="22"/>
          <w:szCs w:val="22"/>
          <w:color w:val="auto"/>
        </w:rPr>
        <w:t>During the three months ended March 31, 2019, the Company had total unrecognized stock-based compensation expense, net of estimated forfeitures, of the following:</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3"/>
          </w:tcPr>
          <w:p>
            <w:pPr>
              <w:jc w:val="right"/>
              <w:ind w:right="69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3"/>
          </w:tcPr>
          <w:p>
            <w:pPr>
              <w:jc w:val="right"/>
              <w:ind w:right="858"/>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02"/>
        </w:trPr>
        <w:tc>
          <w:tcPr>
            <w:tcW w:w="4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20" w:type="dxa"/>
            <w:vAlign w:val="bottom"/>
            <w:gridSpan w:val="2"/>
          </w:tcPr>
          <w:p>
            <w:pPr>
              <w:jc w:val="center"/>
              <w:ind w:right="620"/>
              <w:spacing w:after="0" w:line="102" w:lineRule="exact"/>
              <w:rPr>
                <w:sz w:val="20"/>
                <w:szCs w:val="20"/>
                <w:color w:val="auto"/>
              </w:rPr>
            </w:pPr>
            <w:r>
              <w:rPr>
                <w:rFonts w:ascii="Arial" w:cs="Arial" w:eastAsia="Arial" w:hAnsi="Arial"/>
                <w:sz w:val="11"/>
                <w:szCs w:val="11"/>
                <w:b w:val="1"/>
                <w:bCs w:val="1"/>
                <w:color w:val="auto"/>
              </w:rPr>
              <w:t>Unrecognized</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Average Vesting</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620"/>
              <w:spacing w:after="0" w:line="135" w:lineRule="exact"/>
              <w:rPr>
                <w:sz w:val="20"/>
                <w:szCs w:val="20"/>
                <w:color w:val="auto"/>
              </w:rPr>
            </w:pPr>
            <w:r>
              <w:rPr>
                <w:rFonts w:ascii="Arial" w:cs="Arial" w:eastAsia="Arial" w:hAnsi="Arial"/>
                <w:sz w:val="14"/>
                <w:szCs w:val="14"/>
                <w:b w:val="1"/>
                <w:bCs w:val="1"/>
                <w:color w:val="auto"/>
                <w:w w:val="90"/>
              </w:rPr>
              <w:t>Expense</w:t>
            </w:r>
          </w:p>
        </w:tc>
        <w:tc>
          <w:tcPr>
            <w:tcW w:w="10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62"/>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 million)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69"/>
        </w:trPr>
        <w:tc>
          <w:tcPr>
            <w:tcW w:w="4400" w:type="dxa"/>
            <w:vAlign w:val="bottom"/>
            <w:tcBorders>
              <w:top w:val="single" w:sz="8" w:color="CCEEFF"/>
            </w:tcBorders>
            <w:shd w:val="clear" w:color="auto" w:fill="CCEEFF"/>
          </w:tcPr>
          <w:p>
            <w:pPr>
              <w:ind w:left="220"/>
              <w:spacing w:after="0" w:line="170" w:lineRule="exact"/>
              <w:rPr>
                <w:sz w:val="20"/>
                <w:szCs w:val="20"/>
                <w:color w:val="auto"/>
              </w:rPr>
            </w:pPr>
            <w:r>
              <w:rPr>
                <w:rFonts w:ascii="Arial" w:cs="Arial" w:eastAsia="Arial" w:hAnsi="Arial"/>
                <w:sz w:val="18"/>
                <w:szCs w:val="18"/>
                <w:color w:val="auto"/>
              </w:rPr>
              <w:t>Stock options grants</w:t>
            </w:r>
          </w:p>
        </w:tc>
        <w:tc>
          <w:tcPr>
            <w:tcW w:w="160" w:type="dxa"/>
            <w:vAlign w:val="bottom"/>
            <w:tcBorders>
              <w:top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342"/>
              <w:spacing w:after="0" w:line="170" w:lineRule="exact"/>
              <w:rPr>
                <w:sz w:val="20"/>
                <w:szCs w:val="20"/>
                <w:color w:val="auto"/>
              </w:rPr>
            </w:pPr>
            <w:r>
              <w:rPr>
                <w:rFonts w:ascii="Arial" w:cs="Arial" w:eastAsia="Arial" w:hAnsi="Arial"/>
                <w:sz w:val="18"/>
                <w:szCs w:val="18"/>
                <w:color w:val="auto"/>
              </w:rPr>
              <w:t>11.7</w:t>
            </w:r>
          </w:p>
        </w:tc>
        <w:tc>
          <w:tcPr>
            <w:tcW w:w="4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338"/>
              <w:spacing w:after="0" w:line="170"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76"/>
        </w:trPr>
        <w:tc>
          <w:tcPr>
            <w:tcW w:w="4400" w:type="dxa"/>
            <w:vAlign w:val="bottom"/>
          </w:tcPr>
          <w:p>
            <w:pPr>
              <w:ind w:left="220"/>
              <w:spacing w:after="0" w:line="176" w:lineRule="exact"/>
              <w:rPr>
                <w:sz w:val="20"/>
                <w:szCs w:val="20"/>
                <w:color w:val="auto"/>
              </w:rPr>
            </w:pPr>
            <w:r>
              <w:rPr>
                <w:rFonts w:ascii="Arial" w:cs="Arial" w:eastAsia="Arial" w:hAnsi="Arial"/>
                <w:sz w:val="18"/>
                <w:szCs w:val="18"/>
                <w:color w:val="auto"/>
              </w:rPr>
              <w:t>RSU grants</w:t>
            </w:r>
          </w:p>
        </w:tc>
        <w:tc>
          <w:tcPr>
            <w:tcW w:w="160" w:type="dxa"/>
            <w:vAlign w:val="bottom"/>
          </w:tcPr>
          <w:p>
            <w:pPr>
              <w:spacing w:after="0"/>
              <w:rPr>
                <w:sz w:val="15"/>
                <w:szCs w:val="15"/>
                <w:color w:val="auto"/>
              </w:rPr>
            </w:pPr>
          </w:p>
        </w:tc>
        <w:tc>
          <w:tcPr>
            <w:tcW w:w="1160" w:type="dxa"/>
            <w:vAlign w:val="bottom"/>
          </w:tcPr>
          <w:p>
            <w:pPr>
              <w:jc w:val="right"/>
              <w:ind w:right="382"/>
              <w:spacing w:after="0" w:line="176" w:lineRule="exact"/>
              <w:rPr>
                <w:sz w:val="20"/>
                <w:szCs w:val="20"/>
                <w:color w:val="auto"/>
              </w:rPr>
            </w:pPr>
            <w:r>
              <w:rPr>
                <w:rFonts w:ascii="Arial" w:cs="Arial" w:eastAsia="Arial" w:hAnsi="Arial"/>
                <w:sz w:val="18"/>
                <w:szCs w:val="18"/>
                <w:color w:val="auto"/>
              </w:rPr>
              <w:t>0.1</w:t>
            </w:r>
          </w:p>
        </w:tc>
        <w:tc>
          <w:tcPr>
            <w:tcW w:w="460" w:type="dxa"/>
            <w:vAlign w:val="bottom"/>
          </w:tcPr>
          <w:p>
            <w:pPr>
              <w:spacing w:after="0"/>
              <w:rPr>
                <w:sz w:val="15"/>
                <w:szCs w:val="15"/>
                <w:color w:val="auto"/>
              </w:rPr>
            </w:pPr>
          </w:p>
        </w:tc>
        <w:tc>
          <w:tcPr>
            <w:tcW w:w="1060" w:type="dxa"/>
            <w:vAlign w:val="bottom"/>
          </w:tcPr>
          <w:p>
            <w:pPr>
              <w:jc w:val="right"/>
              <w:ind w:right="338"/>
              <w:spacing w:after="0" w:line="17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76"/>
        </w:trPr>
        <w:tc>
          <w:tcPr>
            <w:tcW w:w="44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PRSU grants</w:t>
            </w:r>
          </w:p>
        </w:tc>
        <w:tc>
          <w:tcPr>
            <w:tcW w:w="160" w:type="dxa"/>
            <w:vAlign w:val="bottom"/>
            <w:shd w:val="clear" w:color="auto" w:fill="CCEEFF"/>
          </w:tcPr>
          <w:p>
            <w:pPr>
              <w:spacing w:after="0"/>
              <w:rPr>
                <w:sz w:val="15"/>
                <w:szCs w:val="15"/>
                <w:color w:val="auto"/>
              </w:rPr>
            </w:pPr>
          </w:p>
        </w:tc>
        <w:tc>
          <w:tcPr>
            <w:tcW w:w="1620" w:type="dxa"/>
            <w:vAlign w:val="bottom"/>
            <w:gridSpan w:val="2"/>
            <w:shd w:val="clear" w:color="auto" w:fill="CCEEFF"/>
          </w:tcPr>
          <w:p>
            <w:pPr>
              <w:jc w:val="right"/>
              <w:ind w:right="920"/>
              <w:spacing w:after="0" w:line="17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8"/>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220"/>
              <w:spacing w:after="0"/>
              <w:rPr>
                <w:sz w:val="20"/>
                <w:szCs w:val="20"/>
                <w:color w:val="auto"/>
              </w:rPr>
            </w:pPr>
            <w:r>
              <w:rPr>
                <w:rFonts w:ascii="Arial" w:cs="Arial" w:eastAsia="Arial" w:hAnsi="Arial"/>
                <w:sz w:val="18"/>
                <w:szCs w:val="18"/>
                <w:color w:val="auto"/>
              </w:rPr>
              <w:t>ESPP</w:t>
            </w:r>
          </w:p>
        </w:tc>
        <w:tc>
          <w:tcPr>
            <w:tcW w:w="160" w:type="dxa"/>
            <w:vAlign w:val="bottom"/>
          </w:tcPr>
          <w:p>
            <w:pPr>
              <w:spacing w:after="0"/>
              <w:rPr>
                <w:sz w:val="20"/>
                <w:szCs w:val="20"/>
                <w:color w:val="auto"/>
              </w:rPr>
            </w:pPr>
          </w:p>
        </w:tc>
        <w:tc>
          <w:tcPr>
            <w:tcW w:w="1160" w:type="dxa"/>
            <w:vAlign w:val="bottom"/>
          </w:tcPr>
          <w:p>
            <w:pPr>
              <w:jc w:val="right"/>
              <w:ind w:right="382"/>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20"/>
                <w:szCs w:val="20"/>
                <w:color w:val="auto"/>
              </w:rPr>
            </w:pPr>
          </w:p>
        </w:tc>
        <w:tc>
          <w:tcPr>
            <w:tcW w:w="1060" w:type="dxa"/>
            <w:vAlign w:val="bottom"/>
          </w:tcPr>
          <w:p>
            <w:pPr>
              <w:jc w:val="right"/>
              <w:ind w:right="33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For each of the three months ended March 31, 2019 and 2018, options were exercised to purchase 770 and zero shares, respectively, of the Company's common stock, with insignificant net proceeds to the Company in the three months ended March 31, 2019.</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For each of the three months ended March 31, 2019 and 2018, the Company issued zero shares of its common stock upon vesting of RSUs or PRSUs to its employees.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In February 2019, the Company sold 83,046 shares of its common stock under the ESPP. The shares were purchased by employees at a purchase price of $2.39 per share with proceeds to the Company of approximately $0.2 million. In February 2018, the Company sold 68,589 shares of its common stock under the ESPP. The shares were purchased by employees at a purchase price of $4.38 per share with proceeds to the Company of approximately $0.3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SHARE</w:t>
      </w:r>
    </w:p>
    <w:p>
      <w:pPr>
        <w:spacing w:after="0" w:line="189"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Basic net loss per share is calculated by dividing net loss by the weighted-average number of common shares outstanding during the period, less shares subject to repurchase,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the Company had net losses for the three months ended March 31, 2019 and 2018, all potential common shares were determined to be anti-dilutive. The following table sets forth the computation of net loss per common share (in thousands, except share and per share amounts):</w:t>
      </w:r>
    </w:p>
    <w:p>
      <w:pPr>
        <w:spacing w:after="0" w:line="160"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Three Months Ended</w:t>
      </w:r>
    </w:p>
    <w:p>
      <w:pPr>
        <w:jc w:val="center"/>
        <w:ind w:left="650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36"/>
        </w:trPr>
        <w:tc>
          <w:tcPr>
            <w:tcW w:w="580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94"/>
              <w:spacing w:after="0" w:line="136"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4"/>
              <w:spacing w:after="0" w:line="136"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1"/>
                <w:szCs w:val="11"/>
                <w:color w:val="auto"/>
              </w:rPr>
            </w:pPr>
          </w:p>
        </w:tc>
      </w:tr>
      <w:tr>
        <w:trPr>
          <w:trHeight w:val="169"/>
        </w:trPr>
        <w:tc>
          <w:tcPr>
            <w:tcW w:w="58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Numerator:</w:t>
            </w: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3"/>
        </w:trPr>
        <w:tc>
          <w:tcPr>
            <w:tcW w:w="5800" w:type="dxa"/>
            <w:vAlign w:val="bottom"/>
          </w:tcPr>
          <w:p>
            <w:pPr>
              <w:ind w:left="120"/>
              <w:spacing w:after="0" w:line="176" w:lineRule="exact"/>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(26,144)</w:t>
            </w: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(17,019)</w:t>
            </w:r>
          </w:p>
        </w:tc>
      </w:tr>
      <w:tr>
        <w:trPr>
          <w:trHeight w:val="176"/>
        </w:trPr>
        <w:tc>
          <w:tcPr>
            <w:tcW w:w="5800" w:type="dxa"/>
            <w:vAlign w:val="bottom"/>
            <w:tcBorders>
              <w:top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b w:val="1"/>
                <w:bCs w:val="1"/>
                <w:color w:val="auto"/>
              </w:rPr>
              <w:t>Denominator:</w:t>
            </w:r>
          </w:p>
        </w:tc>
        <w:tc>
          <w:tcPr>
            <w:tcW w:w="8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176"/>
        </w:trPr>
        <w:tc>
          <w:tcPr>
            <w:tcW w:w="58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Weighted average common shares outstanding - basic and diluted</w:t>
            </w:r>
          </w:p>
        </w:tc>
        <w:tc>
          <w:tcPr>
            <w:tcW w:w="8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5"/>
              </w:rPr>
              <w:t>62,546,295</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0"/>
              </w:rPr>
              <w:t>47,559,366</w:t>
            </w:r>
          </w:p>
        </w:tc>
        <w:tc>
          <w:tcPr>
            <w:tcW w:w="120" w:type="dxa"/>
            <w:vAlign w:val="bottom"/>
            <w:tcBorders>
              <w:bottom w:val="single" w:sz="8" w:color="CCEEFF"/>
            </w:tcBorders>
          </w:tcPr>
          <w:p>
            <w:pPr>
              <w:spacing w:after="0"/>
              <w:rPr>
                <w:sz w:val="15"/>
                <w:szCs w:val="15"/>
                <w:color w:val="auto"/>
              </w:rPr>
            </w:pPr>
          </w:p>
        </w:tc>
      </w:tr>
      <w:tr>
        <w:trPr>
          <w:trHeight w:val="176"/>
        </w:trPr>
        <w:tc>
          <w:tcPr>
            <w:tcW w:w="5800" w:type="dxa"/>
            <w:vAlign w:val="bottom"/>
            <w:tcBorders>
              <w:bottom w:val="single" w:sz="8" w:color="CCEEFF"/>
            </w:tcBorders>
            <w:shd w:val="clear" w:color="auto" w:fill="CCEEFF"/>
          </w:tcPr>
          <w:p>
            <w:pPr>
              <w:ind w:left="120"/>
              <w:spacing w:after="0" w:line="170" w:lineRule="exact"/>
              <w:rPr>
                <w:sz w:val="20"/>
                <w:szCs w:val="20"/>
                <w:color w:val="auto"/>
              </w:rPr>
            </w:pPr>
            <w:r>
              <w:rPr>
                <w:rFonts w:ascii="Arial" w:cs="Arial" w:eastAsia="Arial" w:hAnsi="Arial"/>
                <w:sz w:val="18"/>
                <w:szCs w:val="18"/>
                <w:color w:val="auto"/>
              </w:rPr>
              <w:t>Net loss per share - basic and diluted</w:t>
            </w:r>
          </w:p>
        </w:tc>
        <w:tc>
          <w:tcPr>
            <w:tcW w:w="8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(0.42)</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For the three months ended March 31, 2019 and 2018 the total number of securities that could potentially dilute basic net loss per share in the future that were not included in the computation of diluted net loss per share because the effect would have been antidilutive was 9.9 million and 8.0 million, respectively.</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AND OTHER LIABILITIES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liabilities and other liabilities consist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54"/>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4"/>
                <w:szCs w:val="14"/>
                <w:color w:val="auto"/>
              </w:rPr>
            </w:pPr>
          </w:p>
        </w:tc>
      </w:tr>
      <w:tr>
        <w:trPr>
          <w:trHeight w:val="162"/>
        </w:trPr>
        <w:tc>
          <w:tcPr>
            <w:tcW w:w="920" w:type="dxa"/>
            <w:vAlign w:val="bottom"/>
          </w:tcPr>
          <w:p>
            <w:pPr>
              <w:spacing w:after="0"/>
              <w:rPr>
                <w:sz w:val="14"/>
                <w:szCs w:val="14"/>
                <w:color w:val="auto"/>
              </w:rPr>
            </w:pPr>
          </w:p>
        </w:tc>
        <w:tc>
          <w:tcPr>
            <w:tcW w:w="338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900" w:type="dxa"/>
            <w:vAlign w:val="bottom"/>
          </w:tcPr>
          <w:p>
            <w:pPr>
              <w:spacing w:after="0"/>
              <w:rPr>
                <w:sz w:val="14"/>
                <w:szCs w:val="14"/>
                <w:color w:val="auto"/>
              </w:rPr>
            </w:pPr>
          </w:p>
        </w:tc>
      </w:tr>
      <w:tr>
        <w:trPr>
          <w:trHeight w:val="169"/>
        </w:trPr>
        <w:tc>
          <w:tcPr>
            <w:tcW w:w="920" w:type="dxa"/>
            <w:vAlign w:val="bottom"/>
          </w:tcPr>
          <w:p>
            <w:pPr>
              <w:spacing w:after="0"/>
              <w:rPr>
                <w:sz w:val="14"/>
                <w:szCs w:val="14"/>
                <w:color w:val="auto"/>
              </w:rPr>
            </w:pPr>
          </w:p>
        </w:tc>
        <w:tc>
          <w:tcPr>
            <w:tcW w:w="33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w w:val="99"/>
              </w:rPr>
              <w:t>Accrued clinical and non-clinical expenses</w:t>
            </w:r>
          </w:p>
        </w:tc>
        <w:tc>
          <w:tcPr>
            <w:tcW w:w="12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8,981</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9,790</w:t>
            </w:r>
          </w:p>
        </w:tc>
        <w:tc>
          <w:tcPr>
            <w:tcW w:w="18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920" w:type="dxa"/>
            <w:vAlign w:val="bottom"/>
          </w:tcPr>
          <w:p>
            <w:pPr>
              <w:spacing w:after="0"/>
              <w:rPr>
                <w:sz w:val="15"/>
                <w:szCs w:val="15"/>
                <w:color w:val="auto"/>
              </w:rPr>
            </w:pPr>
          </w:p>
        </w:tc>
        <w:tc>
          <w:tcPr>
            <w:tcW w:w="3380" w:type="dxa"/>
            <w:vAlign w:val="bottom"/>
          </w:tcPr>
          <w:p>
            <w:pPr>
              <w:spacing w:after="0" w:line="176" w:lineRule="exact"/>
              <w:rPr>
                <w:sz w:val="20"/>
                <w:szCs w:val="20"/>
                <w:color w:val="auto"/>
              </w:rPr>
            </w:pPr>
            <w:r>
              <w:rPr>
                <w:rFonts w:ascii="Arial" w:cs="Arial" w:eastAsia="Arial" w:hAnsi="Arial"/>
                <w:sz w:val="18"/>
                <w:szCs w:val="18"/>
                <w:color w:val="auto"/>
                <w:w w:val="99"/>
              </w:rPr>
              <w:t>Accrued contract manufacturing expenses</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4,241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1,971</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Derivative liability for exit fee</w:t>
            </w: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570</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80" w:type="dxa"/>
            <w:vAlign w:val="bottom"/>
          </w:tcPr>
          <w:p>
            <w:pPr>
              <w:spacing w:after="0" w:line="176" w:lineRule="exact"/>
              <w:rPr>
                <w:sz w:val="20"/>
                <w:szCs w:val="20"/>
                <w:color w:val="auto"/>
              </w:rPr>
            </w:pPr>
            <w:r>
              <w:rPr>
                <w:rFonts w:ascii="Arial" w:cs="Arial" w:eastAsia="Arial" w:hAnsi="Arial"/>
                <w:sz w:val="18"/>
                <w:szCs w:val="18"/>
                <w:color w:val="auto"/>
                <w:w w:val="93"/>
              </w:rPr>
              <w:t>Accrued professional and consulting services</w:t>
            </w: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162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112</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Foreign currency derivative contract</w:t>
            </w: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5"/>
                <w:szCs w:val="15"/>
                <w:color w:val="auto"/>
              </w:rPr>
            </w:pPr>
          </w:p>
        </w:tc>
        <w:tc>
          <w:tcPr>
            <w:tcW w:w="900" w:type="dxa"/>
            <w:vAlign w:val="bottom"/>
          </w:tcPr>
          <w:p>
            <w:pPr>
              <w:spacing w:after="0"/>
              <w:rPr>
                <w:sz w:val="15"/>
                <w:szCs w:val="15"/>
                <w:color w:val="auto"/>
              </w:rPr>
            </w:pPr>
          </w:p>
        </w:tc>
      </w:tr>
      <w:tr>
        <w:trPr>
          <w:trHeight w:val="176"/>
        </w:trPr>
        <w:tc>
          <w:tcPr>
            <w:tcW w:w="920" w:type="dxa"/>
            <w:vAlign w:val="bottom"/>
          </w:tcPr>
          <w:p>
            <w:pPr>
              <w:spacing w:after="0"/>
              <w:rPr>
                <w:sz w:val="15"/>
                <w:szCs w:val="15"/>
                <w:color w:val="auto"/>
              </w:rPr>
            </w:pPr>
          </w:p>
        </w:tc>
        <w:tc>
          <w:tcPr>
            <w:tcW w:w="33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211</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399</w:t>
            </w:r>
          </w:p>
        </w:tc>
        <w:tc>
          <w:tcPr>
            <w:tcW w:w="180" w:type="dxa"/>
            <w:vAlign w:val="bottom"/>
            <w:tcBorders>
              <w:bottom w:val="single" w:sz="8" w:color="CCEEFF"/>
            </w:tcBorders>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920" w:type="dxa"/>
            <w:vAlign w:val="bottom"/>
          </w:tcPr>
          <w:p>
            <w:pPr>
              <w:spacing w:after="0"/>
              <w:rPr>
                <w:sz w:val="16"/>
                <w:szCs w:val="16"/>
                <w:color w:val="auto"/>
              </w:rPr>
            </w:pPr>
          </w:p>
        </w:tc>
        <w:tc>
          <w:tcPr>
            <w:tcW w:w="3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14,165</w:t>
            </w: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12,857</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Pr>
          <w:p>
            <w:pPr>
              <w:spacing w:after="0"/>
              <w:rPr>
                <w:sz w:val="16"/>
                <w:szCs w:val="16"/>
                <w:color w:val="auto"/>
              </w:rPr>
            </w:pPr>
          </w:p>
        </w:tc>
      </w:tr>
      <w:tr>
        <w:trPr>
          <w:trHeight w:val="811"/>
        </w:trPr>
        <w:tc>
          <w:tcPr>
            <w:tcW w:w="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280" w:type="dxa"/>
            <w:vAlign w:val="bottom"/>
          </w:tcPr>
          <w:p>
            <w:pPr>
              <w:jc w:val="right"/>
              <w:ind w:right="87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3800"/>
        <w:spacing w:after="0" w:line="456" w:lineRule="auto"/>
        <w:rPr>
          <w:sz w:val="20"/>
          <w:szCs w:val="20"/>
          <w:color w:val="auto"/>
        </w:rPr>
      </w:pPr>
      <w:r>
        <w:rPr>
          <w:rFonts w:ascii="Arial" w:cs="Arial" w:eastAsia="Arial" w:hAnsi="Arial"/>
          <w:sz w:val="18"/>
          <w:szCs w:val="18"/>
          <w:b w:val="1"/>
          <w:bCs w:val="1"/>
          <w:color w:val="auto"/>
        </w:rPr>
        <w:t xml:space="preserve">NOTE 12. COLLABORATION AND LICENSING AGREEMENTS </w:t>
      </w:r>
      <w:r>
        <w:rPr>
          <w:rFonts w:ascii="Arial" w:cs="Arial" w:eastAsia="Arial" w:hAnsi="Arial"/>
          <w:sz w:val="18"/>
          <w:szCs w:val="18"/>
          <w:b w:val="1"/>
          <w:bCs w:val="1"/>
          <w:i w:val="1"/>
          <w:iCs w:val="1"/>
          <w:color w:val="auto"/>
        </w:rPr>
        <w:t>Kyowa Hakko Kirin Co., Ltd., or KHK</w:t>
      </w:r>
    </w:p>
    <w:p>
      <w:pPr>
        <w:spacing w:after="0" w:line="1"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In November 2017, the Company entered into an exclusive license agreement with KHK, or the KHK Agreement, for the development, commercialization and distribution of tenapanor in Japan for cardiorenal indications. The Company assessed these arrangements in accordance with Topic 606 and concluded that the contract counterparty, KHK, is a customer. Under the terms of the KHK Agreement, the Company received $30.0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 Additionally, on January 1, 2018, the Company recorded a unbilled license revenue under current assets of $5.0 million and a uncharged license fees under current liabilities of $1.0 million related to the first milestone under the KHK Agreement that KHK achieved in February 2019, reflecting revenues and cost of revenue, respectively, that would have been recognized in the fourth quarter 2017 if the Company had adopted Topic 606 prior to January 1, 2018. As of March 31, 2019, based on KHK’s achievement of the milestone in February 2019, the balance related to unbilled license revenue was adjusted to zero. Correspondingly, the $1.0 million balance related to uncharged license fees, that the Company owed to AstraZeneca, was reclassed to accounts payable and fully paid to AstraZeneca in the second quarter of 2019.</w:t>
      </w:r>
    </w:p>
    <w:p>
      <w:pPr>
        <w:spacing w:after="0" w:line="165"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In addition to the up-front license fee received of $30.0 million, the Company may be entitled to receive up to $55.0 million in total development milestones, of which $5.0 million has been received to date, and 8.5 billion yen in commercialization milestones, worth up to $76.1 million at the currency exchange rate on March 31, 2019, as well as reimbursement of cost, plus a reasonable overhead for the supply of product and high-teen royalties on net sales throughout the term of the agreement.</w:t>
      </w:r>
    </w:p>
    <w:p>
      <w:pPr>
        <w:spacing w:after="0" w:line="162" w:lineRule="exact"/>
        <w:rPr>
          <w:sz w:val="20"/>
          <w:szCs w:val="20"/>
          <w:color w:val="auto"/>
        </w:rPr>
      </w:pPr>
    </w:p>
    <w:p>
      <w:pPr>
        <w:ind w:right="720" w:firstLine="324"/>
        <w:spacing w:after="0" w:line="454" w:lineRule="auto"/>
        <w:rPr>
          <w:sz w:val="20"/>
          <w:szCs w:val="20"/>
          <w:color w:val="auto"/>
        </w:rPr>
      </w:pPr>
      <w:r>
        <w:rPr>
          <w:rFonts w:ascii="Arial" w:cs="Arial" w:eastAsia="Arial" w:hAnsi="Arial"/>
          <w:sz w:val="18"/>
          <w:szCs w:val="18"/>
          <w:color w:val="auto"/>
        </w:rPr>
        <w:t xml:space="preserve">For the three months ended March 31, 2019 and 2018, no revenue was recorded related to the KHK agreement. </w:t>
      </w:r>
      <w:r>
        <w:rPr>
          <w:rFonts w:ascii="Arial" w:cs="Arial" w:eastAsia="Arial" w:hAnsi="Arial"/>
          <w:sz w:val="18"/>
          <w:szCs w:val="18"/>
          <w:b w:val="1"/>
          <w:bCs w:val="1"/>
          <w:i w:val="1"/>
          <w:iCs w:val="1"/>
          <w:color w:val="auto"/>
        </w:rPr>
        <w:t>Shanghai Fosun Pharmaceutical Industrial Development Co. Ltd., or Fosun Pharma</w:t>
      </w:r>
    </w:p>
    <w:p>
      <w:pPr>
        <w:jc w:val="both"/>
        <w:ind w:firstLine="324"/>
        <w:spacing w:after="0" w:line="211" w:lineRule="auto"/>
        <w:rPr>
          <w:sz w:val="20"/>
          <w:szCs w:val="20"/>
          <w:color w:val="auto"/>
        </w:rPr>
      </w:pPr>
      <w:r>
        <w:rPr>
          <w:rFonts w:ascii="Arial" w:cs="Arial" w:eastAsia="Arial" w:hAnsi="Arial"/>
          <w:sz w:val="18"/>
          <w:szCs w:val="18"/>
          <w:color w:val="auto"/>
        </w:rPr>
        <w:t>In December 2017, the Company entered into an exclusive license agreement with Fosun Pharma, or the Fosun Agreement, for the development, commercialization and distribution of tenapanor in China for both hyperphosphatemia and irritable bowel syndrome with constipation, or IBS-C. The Company assessed these arrangements in accordance with Topic 606 and concluded that the contract counterparty, Fosun Pharma, is a customer. Under the terms of the Fosun Agreement, the Company received $12.0 million in up-front license fees which was recognized as revenue when the agreement was executed. Based on the Company’s assessment, it identified that the license and the manufacturing supply services were its material performance obligations at the inception of the agreement, and as such each of the performance obligations are distinct.</w:t>
      </w:r>
    </w:p>
    <w:p>
      <w:pPr>
        <w:spacing w:after="0" w:line="16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In addition, the Company may be entitled to additional development and commercialization milestones of up to $113.0 million, as well as reimbursement of cost plus a reasonable overhead for the supply of product and tiered royalties on net sales ranging from the mid-teens to 20%.</w:t>
      </w:r>
    </w:p>
    <w:p>
      <w:pPr>
        <w:spacing w:after="0" w:line="163" w:lineRule="exact"/>
        <w:rPr>
          <w:sz w:val="20"/>
          <w:szCs w:val="20"/>
          <w:color w:val="auto"/>
        </w:rPr>
      </w:pPr>
    </w:p>
    <w:p>
      <w:pPr>
        <w:ind w:right="620" w:firstLine="324"/>
        <w:spacing w:after="0" w:line="454" w:lineRule="auto"/>
        <w:rPr>
          <w:sz w:val="20"/>
          <w:szCs w:val="20"/>
          <w:color w:val="auto"/>
        </w:rPr>
      </w:pPr>
      <w:r>
        <w:rPr>
          <w:rFonts w:ascii="Arial" w:cs="Arial" w:eastAsia="Arial" w:hAnsi="Arial"/>
          <w:sz w:val="18"/>
          <w:szCs w:val="18"/>
          <w:color w:val="auto"/>
        </w:rPr>
        <w:t xml:space="preserve">For the three months ended March 31, 2019 and 2018, no revenue was recorded related to the Fosun Agreement. </w:t>
      </w:r>
      <w:r>
        <w:rPr>
          <w:rFonts w:ascii="Arial" w:cs="Arial" w:eastAsia="Arial" w:hAnsi="Arial"/>
          <w:sz w:val="18"/>
          <w:szCs w:val="18"/>
          <w:b w:val="1"/>
          <w:bCs w:val="1"/>
          <w:i w:val="1"/>
          <w:iCs w:val="1"/>
          <w:color w:val="auto"/>
        </w:rPr>
        <w:t>Knight Therapeutics, Inc., or Knight</w:t>
      </w:r>
    </w:p>
    <w:p>
      <w:pPr>
        <w:jc w:val="both"/>
        <w:ind w:firstLine="324"/>
        <w:spacing w:after="0" w:line="214" w:lineRule="auto"/>
        <w:rPr>
          <w:sz w:val="20"/>
          <w:szCs w:val="20"/>
          <w:color w:val="auto"/>
        </w:rPr>
      </w:pPr>
      <w:r>
        <w:rPr>
          <w:rFonts w:ascii="Arial" w:cs="Arial" w:eastAsia="Arial" w:hAnsi="Arial"/>
          <w:sz w:val="18"/>
          <w:szCs w:val="18"/>
          <w:color w:val="auto"/>
        </w:rPr>
        <w:t>In March 2018, the Company entered into an exclusive license agreement with Knight Therapeutics, Inc., or the Knight Agreement, for the development, commercialization and distribution of tenapanor in Canada for hyperphosphatemia and IBS-C. The Company assessed these arrangements in accordance with Topic 606 and concluded that the contract counterparty, Knight, is a customer. Based on the Company’s assessment, it identified that the license and the manufacturing supply services were its material performance obligations at the inception of the agreement, and as such each of the performance obligations are distinct.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Under the terms of the agreement, the Company is eligible to receive up to CAD 25 million in total payments including an up-front payment and development and sales milestones, reimbursement of supply costs on a schedule specifying cost per tablet, with a reasonable mark up for overhead, as well as tiered royalty rates on net sales ranging from the mid-single digits to the low twenties.</w:t>
      </w:r>
    </w:p>
    <w:p>
      <w:pPr>
        <w:spacing w:after="0" w:line="163"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For the three months ended March 31, 2019 and 2018, zero and $2.3 million of revenue, respectively, was recorded related to the Knight Agreement, and zero and $0.5 million of cost of revenue, respectively, was recorded pursuant to the AstraZeneca Termination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8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In June 2015, the Company entered into a termination agreement with AstraZeneca, or the AstraZeneca Termination Agreement, pursuant to which the Company remains liable to pay AstraZeneca license fees for (i) future royalties at a royalty rate of 10% of net sales of tenapanor or other NHE3 products by the Company or its licensees, and (ii) 20% of non-royalty revenue received from a new collaboration partner should the Company elect to license, or otherwise provide rights to develop and commercialize tenapanor or another NHE3 inhibitor, up to a maximum of $75.0 million in aggregate for (i) and (ii). To date in aggregate, the Company has recognized $9.9 million of the $75.0 million, recorded as cost of revenue comprising (i) $6.0 million and $2.4 million related to the KHK Agreement and Fosun Agreement, respectively, recorded in 2017 (ii) $0.5 million related to the Knight Agreement recorded in 2018 and (iii) $1.0 million related to the KHK Agreement associated with a milestone that KHK achieved in February 2019 for which the Company previously recorded a uncharged license fees under current liabilities in the period ended March 31, 2018 reflecting the amount that is owed to AstraZeneca upon achievement of the KHK milestone, which occurred in February 2019. The Company paid AstraZeneca the $1.0 million owed in the second quarter of 2019.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CONTINGENCIES</w:t>
      </w:r>
    </w:p>
    <w:p>
      <w:pPr>
        <w:spacing w:after="0" w:line="189"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From time to time the Company may be involved in claims arising in connection with its business. Based on information currently available, the Company believes that the amount, or range, of reasonably possible losses in connection with any pending actions against it in excess of established reserves, in the aggregate, not to be material to its consolidated financial condition or cash flows. However, losses may be material to the Company’s operating results for any particular future period, depending on the level of income or loss for such period.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ind w:left="980" w:hanging="971"/>
        <w:spacing w:after="0" w:line="237"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2" w:lineRule="exact"/>
        <w:rPr>
          <w:sz w:val="20"/>
          <w:szCs w:val="20"/>
          <w:color w:val="auto"/>
        </w:rPr>
      </w:pPr>
    </w:p>
    <w:p>
      <w:pPr>
        <w:jc w:val="both"/>
        <w:ind w:firstLine="324"/>
        <w:spacing w:after="0" w:line="181" w:lineRule="exact"/>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condensed consolidated financial statements and notes thereto included elsewhere in this report and with the audited consolidated financial statements and related notes thereto included as part of our Annual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K for the year ended December 31, 2018.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Ardelyx</w:t>
      </w:r>
    </w:p>
    <w:p>
      <w:pPr>
        <w:spacing w:after="0" w:line="189"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are a biopharmaceutical company focused on developing first-in-class medicines to improve treatment choices for people with cardiorenal diseases. This includes patients with end-stage renal disease, or ESRD, suffering from elevated serum phosphorus, or hyperphosphatemia; and patients with chronic kidney disease, or CKD, and/or heart failure patients with elevated serum potassium, or hyperkalemia.</w:t>
      </w:r>
    </w:p>
    <w:p>
      <w:pPr>
        <w:spacing w:after="0" w:line="163"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color w:val="auto"/>
        </w:rPr>
        <w:t>Our portfolio is led by the development of tenapanor, a first-in-class inhibitor of NHE3. In our cardiorenal pipeline, tenapanor is being evaluated in a second Phase 3 clinical trial, the PHREEDOM trial, for the treatment of hyperphosphatemia in patients with ESRD who are on dialysis, with topline results expected in the fourth quarter of 2019. This trial follows a successful first Phase 3 clinical trial completed in 2017, which achieved statistical significance for the primary endpoint. Tenapanor, if successfully developed and approved, would be the first therapy for phosphate management that is not a phosphate binder. We are also evaluating tenapanor in combination with phosphate binders in a Phase 3 clinical trial, the AMPLIFY trial, from which results are currently expected in the second half of 2019. If our AMPLIFY trial is successful, tenapanor would, if approved, be the first and only phosphate lowering therapy to be indicated as adjunctive therapy for use in combination with binders.</w:t>
      </w:r>
    </w:p>
    <w:p>
      <w:pPr>
        <w:spacing w:after="0" w:line="166"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We are also advancing a small molecule potassium secretagogue program, RDX013, for the potential treatment of hyperkalemia. Hyperkalemia is a common problem in patients with heart and kidney disease, particularly in patients taking common blood pressure medications known as RAAS inhibitors, which inhibit the renin-angiotensin-aldosterone system. We believe that RDX013 has the potential to lower elevated potassium with a much lower pill burden than potassium binders and may provide significant advantages as a stand-alone agent or also in combination with potassium binders.</w:t>
      </w:r>
    </w:p>
    <w:p>
      <w:pPr>
        <w:spacing w:after="0" w:line="15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In addition to the development of tenapanor for the treatment of hyperphosphatemia for ESRD patients on dialysis, we have developed tenapanor for the treatment of patients with irritable bowel syndrome with constipation, or IBS-C. On September 12, 2018, we submitted a new drug application, or NDA, to the U.S. Food and Drug Administration, or FDA, for the treatment of patients with IBS-C and have been granted a target action date under the Prescription Drug User Fee Act, of September 12, 2019. The NDA submission was supported by a clinical package encompassing more than 3,100 patients and healthy volunteers who have participated in Ardelyx clinical trials and extensive clinical and preclinical data supporting the safety profile. The data include results from the completed IBS-C registration T3MPO program, which consisted of two Phase 3 trials, T3MPO-1 and T3MPO-2, and a long-term safety extension trial, T3MPO-3. Both the T3MPO-1 and T3MPO-2 trials achieved statistical significance for their primary endpoint and demonstrated that tenapanor had a durable effect on reducing constipation and abdominal pain for patients who experience IBS-C. The favorable safety profile of tenapanor, which has been shown across all clinical trials, was further supported by the completed T3MPO-3 study.</w:t>
      </w:r>
    </w:p>
    <w:p>
      <w:pPr>
        <w:spacing w:after="0" w:line="166"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We have developed a proprietary drug discovery and design platform to discover targets found in the GI tract that regulate processes in the body and design products candidates that act upon those targets to take advantage of the gut’s ability to communicate with other organs.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Since commencing operations in October 2007, substantially all our efforts have been dedicated to our research and development activities, including developing our clinical product candidate tenapanor and developing our proprietary drug discovery and design platform. We have not generated any revenues from product sales and have no products approved for commercialization. As of March 31, 2019, we had an accumulated deficit of $391.7 million.</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On May 16, 2018, we entered into a loan and security agreement, or the Loan Agreement, with Solar Capital Ltd. and Western Alliance Bank. The Loan Agreement provides for a $50.0 million term loan facility with a maturity date of November 1, 2022. The full amount of the loan was funded on May 16, 2018. We received net proceeds from the loan of $49.3 million, after deducting the closing fee, legal expenses and issuance cost.</w:t>
      </w:r>
    </w:p>
    <w:p>
      <w:pPr>
        <w:spacing w:after="0" w:line="163"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On May 25, 2018, we completed an underwritten public offering of 12,500,000 shares of our common stock at a price to the public of $4.00 per share, that were purchased by Jefferies LLC, or Jefferies, and Leerink Partners LLC, or Leerink, or collectively the Underwriters from the Company, at a price of $3.76 per share, and on June 25, 2018, we sold an additional 1,875,000 shares of our common stock at a price to the public of $4.00 per share, that were purchased by the Underwriters from the Company at a price of $3.76 per share, following the full exercise of the underwriters’ option to purchase additional shares of common stock. We received net proceeds from the offering of $53.8 million, after deducting the underwriting discounts, commissions and offering expenses.</w:t>
      </w:r>
    </w:p>
    <w:p>
      <w:pPr>
        <w:spacing w:after="0" w:line="165"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We expect to incur operating losses for the foreseeable future as a result of our continued development of tenapanor and our preparations for the commercialization of tenapanor, including costs associated with completing the on-going Phase 3 development program for tenapanor for the treatment of hyperphosphatemia in patients with ESRD on dialysis, as well as the advancement of our research programs into the preclinical stage. To date, we have funded our operations from the sale and issuance of common stock and convertible preferred stock, funds from our collaboration partnerships, and funds from our Loan Agreement with Solar Capital Ltd. and Western Alliance Bank.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have not generated any revenue from product sales. Our past revenue performance is not necessarily indicative of results to be expected for the entire year ending December 31, 2019, or future operating periods. Our non-product revenue cannot always be predicted since it is dependent upon achievement of certain milestones. See “Note 2. Summary Of Significant Accounting Policies” for further detail.</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During the first quarter of 2018, we executed a license agreement with Knight for the development, commercialization and distribution of tenapanor for hyperphosphatemia and IBS-C in Canada. Under the terms of the Knight license agreement, the Company received a license fee, which was recorded as revenue when the contract was executed. The agreement also provides for development and commercialization milestone payments, which will be recorded as revenue when we achieve the underlying milestone.</w:t>
      </w:r>
    </w:p>
    <w:p>
      <w:pPr>
        <w:spacing w:after="0" w:line="16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On January 1, 2018 we adopted the new standard for Revenue from Contracts with Customers, ASC 606, on a modified retrospective method as an adjustment to the opening balance of retained earnings of the annual reporting period. On January 1, 2018, we recorded a unbilled license revenue under current assets of $5.0 million reflecting a future receivable related to the first milestone under our license with KHK, that KHK achieved in February 2019, a uncharged license fees under current liabilities of $1.0 million reflecting a future payable related to the corresponding payment to AstraZeneca, in accordance with our termination agreement with AstraZeneca and a related decrease in its accumulated deficit of approximately $4.0 million as this standard permits revenue from certain milestones to be recognized earlier as this standard contains different recognition criteria related to milestones than under the previous standard, ASC 605. As of March 31, 2019, based on KHK’s achievement of the milestone in February 2019, the balance related to unbilled license revenue was adjusted to zero. Correspondingly, the $1.0 million balance related to uncharged license fees, that we owed to AstraZeneca, was reclassed to accounts payable and fully paid to AstraZeneca in the second quarter of 2019.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5"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6"/>
          <w:szCs w:val="16"/>
          <w:color w:val="auto"/>
        </w:rPr>
        <w:t>Cost of revenue currently represents payments due to AstraZeneca, who under the terms of a termination agreement entered into in 2015 are entitled to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another NHE3 inhibitor, up to a maximum of $75.0 million in aggregate for (i) and (ii). We recognize these expenses as cost of revenue when we recognize the revenue that generates our liability for these license payments. To date in aggregate, we have recognized $9.9 million of the $75.0 million, recorded as cost of revenue comprising (i) $6.0 million and $2.4 million related to the KHK Agreement and Fosun Agreement, respectively, recorded in 2017 (ii) $0.5 million related to the Knight Agreement recorded in 2018 and</w:t>
      </w:r>
    </w:p>
    <w:p>
      <w:pPr>
        <w:spacing w:after="0" w:line="4" w:lineRule="exact"/>
        <w:rPr>
          <w:sz w:val="20"/>
          <w:szCs w:val="20"/>
          <w:color w:val="auto"/>
        </w:rPr>
      </w:pPr>
    </w:p>
    <w:p>
      <w:pPr>
        <w:jc w:val="both"/>
        <w:ind w:firstLine="3"/>
        <w:spacing w:after="0" w:line="239" w:lineRule="auto"/>
        <w:tabs>
          <w:tab w:leader="none" w:pos="322" w:val="left"/>
        </w:tabs>
        <w:numPr>
          <w:ilvl w:val="0"/>
          <w:numId w:val="9"/>
        </w:numPr>
        <w:rPr>
          <w:rFonts w:ascii="Arial" w:cs="Arial" w:eastAsia="Arial" w:hAnsi="Arial"/>
          <w:sz w:val="16"/>
          <w:szCs w:val="16"/>
          <w:color w:val="auto"/>
        </w:rPr>
      </w:pPr>
      <w:r>
        <w:rPr>
          <w:rFonts w:ascii="Arial" w:cs="Arial" w:eastAsia="Arial" w:hAnsi="Arial"/>
          <w:sz w:val="16"/>
          <w:szCs w:val="16"/>
          <w:color w:val="auto"/>
        </w:rPr>
        <w:t>$1.0 million related to the KHK Agreement associated with a future milestone that KHK achieved in February 2019 for which we previously recorded a uncharged license fees under current liabilities in the period ended March 31, 2018. As of March 31, 2019, based on KHK’s achievement of the milestone in February 2019, the balance related to unbilled license revenue was adjusted to zero. Correspondingly, the $1.0 million balance related to uncharged license fees, that we owed to AstraZeneca, was reclassed to accounts payable and fully paid to AstraZeneca in the second quarter of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We recognize all research and development expenses as they are incurred to support the discovery, development and manufacturing of our product candidates. Research and development expenses consist of the following:</w:t>
      </w:r>
    </w:p>
    <w:p>
      <w:pPr>
        <w:spacing w:after="0" w:line="147" w:lineRule="exact"/>
        <w:rPr>
          <w:sz w:val="20"/>
          <w:szCs w:val="20"/>
          <w:color w:val="auto"/>
        </w:rPr>
      </w:pPr>
    </w:p>
    <w:p>
      <w:pPr>
        <w:jc w:val="both"/>
        <w:ind w:left="660" w:hanging="333"/>
        <w:spacing w:after="0" w:line="224" w:lineRule="auto"/>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external research and development expenses incurred under agreements with consultants, third-party CROs and investigative sites where a substantial portion of our clinical studies are conducted, and with contract manufacturing organizations where our clinical supplies are produced;</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expenses associated with supplies and materials consumed in connection with our research operations;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0"/>
        </w:numPr>
        <w:rPr>
          <w:rFonts w:ascii="Arial" w:cs="Arial" w:eastAsia="Arial" w:hAnsi="Arial"/>
          <w:sz w:val="17"/>
          <w:szCs w:val="17"/>
          <w:color w:val="231F20"/>
        </w:rPr>
      </w:pPr>
      <w:r>
        <w:rPr>
          <w:rFonts w:ascii="Arial" w:cs="Arial" w:eastAsia="Arial" w:hAnsi="Arial"/>
          <w:sz w:val="17"/>
          <w:szCs w:val="17"/>
          <w:color w:val="auto"/>
        </w:rPr>
        <w:t>employee-related expenses, which include salaries, bonuses, benefits, travel and stock-based compensation;</w:t>
      </w:r>
    </w:p>
    <w:p>
      <w:pPr>
        <w:spacing w:after="0" w:line="196" w:lineRule="exact"/>
        <w:rPr>
          <w:rFonts w:ascii="Arial" w:cs="Arial" w:eastAsia="Arial" w:hAnsi="Arial"/>
          <w:sz w:val="17"/>
          <w:szCs w:val="17"/>
          <w:color w:val="231F20"/>
        </w:rPr>
      </w:pPr>
    </w:p>
    <w:p>
      <w:pPr>
        <w:ind w:left="660" w:hanging="333"/>
        <w:spacing w:after="0"/>
        <w:tabs>
          <w:tab w:leader="none" w:pos="660" w:val="left"/>
        </w:tabs>
        <w:numPr>
          <w:ilvl w:val="0"/>
          <w:numId w:val="10"/>
        </w:numPr>
        <w:rPr>
          <w:rFonts w:ascii="Arial" w:cs="Arial" w:eastAsia="Arial" w:hAnsi="Arial"/>
          <w:sz w:val="18"/>
          <w:szCs w:val="18"/>
          <w:color w:val="231F20"/>
        </w:rPr>
      </w:pPr>
      <w:r>
        <w:rPr>
          <w:rFonts w:ascii="Arial" w:cs="Arial" w:eastAsia="Arial" w:hAnsi="Arial"/>
          <w:sz w:val="18"/>
          <w:szCs w:val="18"/>
          <w:color w:val="auto"/>
        </w:rPr>
        <w:t>other costs associated with regulatory, clinical and non-clinical development activities; and</w:t>
      </w:r>
    </w:p>
    <w:p>
      <w:pPr>
        <w:spacing w:after="0" w:line="184" w:lineRule="exact"/>
        <w:rPr>
          <w:rFonts w:ascii="Arial" w:cs="Arial" w:eastAsia="Arial" w:hAnsi="Arial"/>
          <w:sz w:val="18"/>
          <w:szCs w:val="18"/>
          <w:color w:val="231F20"/>
        </w:rPr>
      </w:pPr>
    </w:p>
    <w:p>
      <w:pPr>
        <w:ind w:left="660" w:hanging="333"/>
        <w:spacing w:after="0" w:line="258" w:lineRule="auto"/>
        <w:tabs>
          <w:tab w:leader="none" w:pos="660" w:val="left"/>
        </w:tabs>
        <w:numPr>
          <w:ilvl w:val="0"/>
          <w:numId w:val="10"/>
        </w:numPr>
        <w:rPr>
          <w:rFonts w:ascii="Arial" w:cs="Arial" w:eastAsia="Arial" w:hAnsi="Arial"/>
          <w:sz w:val="17"/>
          <w:szCs w:val="17"/>
          <w:color w:val="231F20"/>
        </w:rPr>
      </w:pPr>
      <w:r>
        <w:rPr>
          <w:rFonts w:ascii="Arial" w:cs="Arial" w:eastAsia="Arial" w:hAnsi="Arial"/>
          <w:sz w:val="17"/>
          <w:szCs w:val="17"/>
          <w:color w:val="auto"/>
        </w:rPr>
        <w:t>facilities and other allocated expenses, which include direct and allocated expenses for rent and maintenance of facilities, depreciation and amortization expense, information technology expense and other supplies.</w:t>
      </w:r>
    </w:p>
    <w:p>
      <w:pPr>
        <w:spacing w:after="0" w:line="14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expect to continue to make substantial investments in research and development activities as we progress the development of tenapanor, as well as our other product candidates, advance our research programs into the preclinical stage and continue our early stage research. The process of conducting preclinical studies and clinical trials necessary to obtain regulatory approval is costly and time consuming. We may never succeed in achieving marketing approval for any of our product candidates, including tenapanor. Additionally, if marketing approval is received for tenapanor for the treatment of IBS-C, we may not be successful in securing one or more collaboration partners to commercialize tenapanor in the United States and other territories. The probability of success of each of the product candidates may be affected by numerous factors, including preclinical data, clinical data, market acceptance, sufficient third-party coverage or reimbursement, our ability to access capital on acceptable terms, competition, manufacturing capability and commercial viability.</w:t>
      </w:r>
    </w:p>
    <w:p>
      <w:pPr>
        <w:spacing w:after="0" w:line="168"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We anticipate that we will make determinations as to which programs to pursue and how much funding to direct to each program on an ongoing basis in response to the scientific and clinical success of each product candidate, ongoing assessment as to each product candidate’s commercial potential, and our ability to access capital on acceptable terms. We will need to raise additional capital and will seek additional collaboration partnerships in order to complete the development and commercialization of tenapanor.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General and administrative expenses consist primarily of salaries and related costs, including stock-based compensation. Other general and administrative expenses include facility related costs and professional fees for legal, accounting, investor relations and other consulting services.</w:t>
      </w:r>
    </w:p>
    <w:p>
      <w:pPr>
        <w:spacing w:after="0" w:line="163"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We anticipate that our general and administrative expenses will increase in the future primarily because of (i) increased pre-commercial activities, personnel costs and professional fees for services to support the potential launch and commercialization of tenapanor for the treatment of hyperphosphatemia in ESRD patients on dialysis and (ii) expenses related to costs of operating as a public company primarily preparing for future integrated audits.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provision for income taxes was not material for each of the three months ended March 31, 2019 and 2018. We expect to generate a net loss for the year ending December 31, 2019. Our deferred tax assets continue to be fully offset by a valuation allowance.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Polices and Estimates</w:t>
      </w:r>
    </w:p>
    <w:p>
      <w:pPr>
        <w:spacing w:after="0" w:line="18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upon our unaudited condensed consolidated financial statements, which have been prepared in accordance with United States generally accepted accounting principles, or U.S. GAAP. The preparation of these financial statements requires us to make estimates and assumptions that affect the reported amounts of assets and liabilities at the date of the financial statements, as well as the expenses incurred during the reporting periods. Our estimates are based on our historical experience and on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consider certain accounting policies related to research and development expense, accruals and stock-based compensation to be critical policies. Other than the adoption of ASU No. 2016-02, Leases (Topic 842) on January 1, 2019, there have been no material changes to our critical accounting policies since we filed our 2018 Form 10-K with the SEC on March 6, 2019. For a description of our critical accounting policies, please refer to our Form 10-K we filed with the SEC on March 6,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Three months ended March 31, 2019 and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240" w:firstLine="324"/>
        <w:spacing w:after="0" w:line="235" w:lineRule="auto"/>
        <w:rPr>
          <w:sz w:val="20"/>
          <w:szCs w:val="20"/>
          <w:color w:val="auto"/>
        </w:rPr>
      </w:pPr>
      <w:r>
        <w:rPr>
          <w:rFonts w:ascii="Arial" w:cs="Arial" w:eastAsia="Arial" w:hAnsi="Arial"/>
          <w:sz w:val="18"/>
          <w:szCs w:val="18"/>
          <w:color w:val="auto"/>
        </w:rPr>
        <w:t>Revenue for the three months ended March 31, 2019, as compared to the same period in the prior year, was as follows (in thousands):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Three Months Ended</w:t>
      </w:r>
    </w:p>
    <w:p>
      <w:pPr>
        <w:ind w:left="694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920" w:type="dxa"/>
        <w:tblCellMar>
          <w:top w:w="0" w:type="dxa"/>
          <w:left w:w="0" w:type="dxa"/>
          <w:bottom w:w="0" w:type="dxa"/>
          <w:right w:w="0" w:type="dxa"/>
        </w:tblCellMar>
      </w:tblPr>
      <w:tr>
        <w:trPr>
          <w:trHeight w:val="136"/>
        </w:trPr>
        <w:tc>
          <w:tcPr>
            <w:tcW w:w="54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4"/>
              <w:spacing w:after="0" w:line="136"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9"/>
              <w:spacing w:after="0" w:line="136" w:lineRule="exact"/>
              <w:rPr>
                <w:sz w:val="20"/>
                <w:szCs w:val="20"/>
                <w:color w:val="auto"/>
              </w:rPr>
            </w:pPr>
            <w:r>
              <w:rPr>
                <w:rFonts w:ascii="Arial" w:cs="Arial" w:eastAsia="Arial" w:hAnsi="Arial"/>
                <w:sz w:val="14"/>
                <w:szCs w:val="14"/>
                <w:b w:val="1"/>
                <w:bCs w:val="1"/>
                <w:color w:val="auto"/>
              </w:rPr>
              <w:t>2018</w:t>
            </w:r>
          </w:p>
        </w:tc>
      </w:tr>
      <w:tr>
        <w:trPr>
          <w:trHeight w:val="169"/>
        </w:trPr>
        <w:tc>
          <w:tcPr>
            <w:tcW w:w="54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Licensing revenue</w:t>
            </w: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2,320</w:t>
            </w:r>
          </w:p>
        </w:tc>
      </w:tr>
      <w:tr>
        <w:trPr>
          <w:trHeight w:val="176"/>
        </w:trPr>
        <w:tc>
          <w:tcPr>
            <w:tcW w:w="5480" w:type="dxa"/>
            <w:vAlign w:val="bottom"/>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16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(2,320)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5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Percent change from prior year</w:t>
            </w: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Licensing revenue was zero for the three months ended March 31, 2019, a decrease of $2.3 million, compared to $2.3 million for the three months ended March 31, 2018. For the three months ended March 31, 2018 we recognized revenue of $2.3 million related to a license fee.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5" w:lineRule="exact"/>
        <w:rPr>
          <w:sz w:val="20"/>
          <w:szCs w:val="20"/>
          <w:color w:val="auto"/>
        </w:rPr>
      </w:pPr>
    </w:p>
    <w:p>
      <w:pPr>
        <w:ind w:right="300" w:firstLine="324"/>
        <w:spacing w:after="0" w:line="235" w:lineRule="auto"/>
        <w:rPr>
          <w:sz w:val="20"/>
          <w:szCs w:val="20"/>
          <w:color w:val="auto"/>
        </w:rPr>
      </w:pPr>
      <w:r>
        <w:rPr>
          <w:rFonts w:ascii="Arial" w:cs="Arial" w:eastAsia="Arial" w:hAnsi="Arial"/>
          <w:sz w:val="18"/>
          <w:szCs w:val="18"/>
          <w:color w:val="auto"/>
        </w:rPr>
        <w:t>Cost of revenue for the three months ended March 31, 2019, as compared to the same period in the prior year, was as follows (in thousands):</w:t>
      </w: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2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29"/>
        </w:trPr>
        <w:tc>
          <w:tcPr>
            <w:tcW w:w="49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1"/>
                <w:szCs w:val="11"/>
                <w:color w:val="auto"/>
              </w:rPr>
            </w:pPr>
          </w:p>
        </w:tc>
      </w:tr>
      <w:tr>
        <w:trPr>
          <w:trHeight w:val="169"/>
        </w:trPr>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464</w:t>
            </w:r>
          </w:p>
        </w:tc>
        <w:tc>
          <w:tcPr>
            <w:tcW w:w="140" w:type="dxa"/>
            <w:vAlign w:val="bottom"/>
            <w:shd w:val="clear" w:color="auto" w:fill="CCEEFF"/>
          </w:tcPr>
          <w:p>
            <w:pPr>
              <w:spacing w:after="0"/>
              <w:rPr>
                <w:sz w:val="14"/>
                <w:szCs w:val="14"/>
                <w:color w:val="auto"/>
              </w:rPr>
            </w:pPr>
          </w:p>
        </w:tc>
      </w:tr>
      <w:tr>
        <w:trPr>
          <w:trHeight w:val="176"/>
        </w:trPr>
        <w:tc>
          <w:tcPr>
            <w:tcW w:w="4980" w:type="dxa"/>
            <w:vAlign w:val="bottom"/>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(464)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6"/>
        </w:trPr>
        <w:tc>
          <w:tcPr>
            <w:tcW w:w="4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Percent change from prior year</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Cost of revenue was zero for the three months ended March 31, 2019, a decrease of $0.5 million, compared to $0.5 million for the three months ended March 31, 2018. For the three months ended March 31, 2018, cost of revenue of $0.5 million was due to the fees paid to AstraZeneca pursuant to the AstraZeneca Termination Agreement, corresponding to the revenue realized.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Research and development expenses for the three months ended March 31, 2019, as compared to the same period in the prior year, were as follows (in thousands):</w:t>
      </w:r>
    </w:p>
    <w:p>
      <w:pPr>
        <w:spacing w:after="0" w:line="167"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1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29"/>
        </w:trPr>
        <w:tc>
          <w:tcPr>
            <w:tcW w:w="510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9"/>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1"/>
                <w:szCs w:val="11"/>
                <w:color w:val="auto"/>
              </w:rPr>
            </w:pPr>
          </w:p>
        </w:tc>
      </w:tr>
      <w:tr>
        <w:trPr>
          <w:trHeight w:val="169"/>
        </w:trPr>
        <w:tc>
          <w:tcPr>
            <w:tcW w:w="51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20,381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13,350</w:t>
            </w:r>
          </w:p>
        </w:tc>
        <w:tc>
          <w:tcPr>
            <w:tcW w:w="60" w:type="dxa"/>
            <w:vAlign w:val="bottom"/>
            <w:shd w:val="clear" w:color="auto" w:fill="CCEEFF"/>
          </w:tcPr>
          <w:p>
            <w:pPr>
              <w:spacing w:after="0"/>
              <w:rPr>
                <w:sz w:val="14"/>
                <w:szCs w:val="14"/>
                <w:color w:val="auto"/>
              </w:rPr>
            </w:pPr>
          </w:p>
        </w:tc>
      </w:tr>
      <w:tr>
        <w:trPr>
          <w:trHeight w:val="176"/>
        </w:trPr>
        <w:tc>
          <w:tcPr>
            <w:tcW w:w="5100" w:type="dxa"/>
            <w:vAlign w:val="bottom"/>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7,031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5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Percent change from prior year</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53 %</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Research and development expenses were $20.4 million for the three months ended March 31, 2019, an increase of $7.0 million, or 53%, compared to $13.4 million for the three months ended March 31, 2018. The increase consisted of a $6.6 million increase in our external program costs and a $0.4 million increase in our internal program costs.</w:t>
      </w:r>
    </w:p>
    <w:p>
      <w:pPr>
        <w:spacing w:after="0" w:line="161"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increase in our external program costs of $6.6 million included a $6.0 million increase in expense primarily related to our PHREEDOM and AMPLIFY trials, our tenapanor hyperphosphatemia studies and a $0.6 million increase related to the RDX013 program.</w:t>
      </w:r>
    </w:p>
    <w:p>
      <w:pPr>
        <w:spacing w:after="0" w:line="16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increase in our internal costs of $0.4 million was primarily due to an increase in headcount and related personnel costs and an increase in professional services partially offset by a decrease in stock-based compensation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General and administrative expenses for the three months ended March 31, 2019, as compared to the same period in the prior year, were as follows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16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129"/>
        </w:trPr>
        <w:tc>
          <w:tcPr>
            <w:tcW w:w="508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39"/>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1"/>
                <w:szCs w:val="11"/>
                <w:color w:val="auto"/>
              </w:rPr>
            </w:pPr>
          </w:p>
        </w:tc>
      </w:tr>
      <w:tr>
        <w:trPr>
          <w:trHeight w:val="169"/>
        </w:trPr>
        <w:tc>
          <w:tcPr>
            <w:tcW w:w="50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5,117</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6,191</w:t>
            </w:r>
          </w:p>
        </w:tc>
        <w:tc>
          <w:tcPr>
            <w:tcW w:w="60" w:type="dxa"/>
            <w:vAlign w:val="bottom"/>
            <w:shd w:val="clear" w:color="auto" w:fill="CCEEFF"/>
          </w:tcPr>
          <w:p>
            <w:pPr>
              <w:spacing w:after="0"/>
              <w:rPr>
                <w:sz w:val="14"/>
                <w:szCs w:val="14"/>
                <w:color w:val="auto"/>
              </w:rPr>
            </w:pPr>
          </w:p>
        </w:tc>
      </w:tr>
      <w:tr>
        <w:trPr>
          <w:trHeight w:val="176"/>
        </w:trPr>
        <w:tc>
          <w:tcPr>
            <w:tcW w:w="5080" w:type="dxa"/>
            <w:vAlign w:val="bottom"/>
          </w:tcPr>
          <w:p>
            <w:pPr>
              <w:spacing w:after="0" w:line="176" w:lineRule="exact"/>
              <w:rPr>
                <w:sz w:val="20"/>
                <w:szCs w:val="20"/>
                <w:color w:val="auto"/>
              </w:rPr>
            </w:pPr>
            <w:r>
              <w:rPr>
                <w:rFonts w:ascii="Arial" w:cs="Arial" w:eastAsia="Arial" w:hAnsi="Arial"/>
                <w:sz w:val="18"/>
                <w:szCs w:val="18"/>
                <w:color w:val="auto"/>
              </w:rPr>
              <w:t>Dollar change from prior year</w:t>
            </w: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(1,074)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5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Percent change from prior year</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General and administrative expenses were $5.1 million for the three months ended March 31, 2019, a decrease of $1.1 million, or 17%, compared to $6.2 million for the three months ended March 31, 2018. The decrease was primarily due to a decrease in professional services and a reduction in stock-based compensation costs.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The following table displays a summary of our cash, cash equivalents and short-term investments as of March 31, 2019 and December 31, 2018 (in thousands):</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37"/>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50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169"/>
        </w:trPr>
        <w:tc>
          <w:tcPr>
            <w:tcW w:w="50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92,036</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78,768</w:t>
            </w:r>
          </w:p>
        </w:tc>
        <w:tc>
          <w:tcPr>
            <w:tcW w:w="60" w:type="dxa"/>
            <w:vAlign w:val="bottom"/>
            <w:shd w:val="clear" w:color="auto" w:fill="CCEEFF"/>
          </w:tcPr>
          <w:p>
            <w:pPr>
              <w:spacing w:after="0"/>
              <w:rPr>
                <w:sz w:val="14"/>
                <w:szCs w:val="14"/>
                <w:color w:val="auto"/>
              </w:rPr>
            </w:pPr>
          </w:p>
        </w:tc>
      </w:tr>
      <w:tr>
        <w:trPr>
          <w:trHeight w:val="176"/>
        </w:trPr>
        <w:tc>
          <w:tcPr>
            <w:tcW w:w="50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59,524</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89,321</w:t>
            </w:r>
          </w:p>
        </w:tc>
        <w:tc>
          <w:tcPr>
            <w:tcW w:w="60" w:type="dxa"/>
            <w:vAlign w:val="bottom"/>
            <w:tcBorders>
              <w:bottom w:val="single" w:sz="8" w:color="CCEEFF"/>
            </w:tcBorders>
          </w:tcPr>
          <w:p>
            <w:pPr>
              <w:spacing w:after="0"/>
              <w:rPr>
                <w:sz w:val="15"/>
                <w:szCs w:val="15"/>
                <w:color w:val="auto"/>
              </w:rPr>
            </w:pPr>
          </w:p>
        </w:tc>
      </w:tr>
      <w:tr>
        <w:trPr>
          <w:trHeight w:val="176"/>
        </w:trPr>
        <w:tc>
          <w:tcPr>
            <w:tcW w:w="50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liquid funds</w:t>
            </w: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151,560</w:t>
            </w: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6"/>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168,089</w:t>
            </w:r>
          </w:p>
        </w:tc>
        <w:tc>
          <w:tcPr>
            <w:tcW w:w="6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On May 16, 2018, we entered into a loan and security agreement, or the Loan Agreement, with Solar Capital Ltd. and Western Alliance Bank. The Loan Agreement provides for a $50.0 million term loan facility with a maturity date of November 1, 2022. The full amount of the loan was funded on May 16, 2018. We received net proceeds from the loan of $49.3 million, after deducting the closing fee, legal expenses and issuance cost.</w:t>
      </w:r>
    </w:p>
    <w:p>
      <w:pPr>
        <w:spacing w:after="0" w:line="163"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On May 25, 2018, we completed an underwritten public offering of 12,500,000 shares of our common stock at a price to the public of $4.00 per share, that were purchased by the Underwriters from the Company at a price of $3.76 per share, and on June 25, 2018, we sold an additional 1,875,000 shares of our common stock at a price to the public of $4.00 per share, that were purchased by the Underwriters from the Company at a price of $3.76 per share, following the full exercise of the underwriters’ option to purchase an additional shares of common stock. We received net proceeds from the offering of $53.8 million, after deducting the underwriting discounts, commissions and offering expenses.</w:t>
      </w:r>
    </w:p>
    <w:p>
      <w:pPr>
        <w:spacing w:after="0" w:line="165"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On August 9, 2018, we filed a prospectus supplement with the SEC pursuant to our previously filed shelf registration statement on Form S-3 (File No. 333-217441). The prospectus covers the offering, issuance and sale of up to $50.0 million of shares of common stock from time to time in “at the market” offerings pursuant to a Sales Agreement entered into with Leerink Partners LLC, or Leerink, on August 9, 2018. As of March 31, 2019, no shares have been offered or issued or sold against the Sales Agreement with Leerink.</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Our primary sources of cash have been from the sale and issuance of common stock and convertible preferred stock, funds from our collaboration partnerships, and funds from our Loan Agreement with Solar Capital Ltd. and Western Alliance Bank. Our primary uses of cash are to fund operating expenses, primarily research and development expenditures. Cash used to fund operating expenses is impacted by the timing of when we pay these expenses, as reflected in the change in our outstanding accounts payable and accrued expenses.</w:t>
      </w:r>
    </w:p>
    <w:p>
      <w:pPr>
        <w:spacing w:after="0" w:line="162"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We believe that our existing capital resources as of March 31, 2019 will enable us to fund our operating expenses and capital expenditure requirements for at least the next 12 months following our financial statement issuance date. We have based this estimate on assumptions that may prove to be wrong, and we could utilize our available capital resources sooner than we currently expect. In particular, our operating plan can change, and we may require significant additional capital to fund our operations, including to support the development, commercialization and manufacturing efforts for tenapanor. We may seek to obtain such additional capital through debt financings, credit facilities, additional equity offerings and/or strategic collaborations. We currently have no unutilized credit facility or committed sources of capital, and there can be no assurances that such sources of capital will be available to us when needed or on acceptable terms. Because of the numerous risks and uncertainties associated with the development and commercialization of our product candidates, and the extent to which we may be able to secure additional collaboration partnerships with third-parties to participate in the development and commercialization of our potential products, our future funding requirements will depend on many factors, including the following:</w:t>
      </w:r>
    </w:p>
    <w:p>
      <w:pPr>
        <w:spacing w:after="0" w:line="163" w:lineRule="exact"/>
        <w:rPr>
          <w:sz w:val="20"/>
          <w:szCs w:val="20"/>
          <w:color w:val="auto"/>
        </w:rPr>
      </w:pPr>
    </w:p>
    <w:p>
      <w:pPr>
        <w:jc w:val="both"/>
        <w:ind w:left="660" w:hanging="333"/>
        <w:spacing w:after="0" w:line="232" w:lineRule="auto"/>
        <w:tabs>
          <w:tab w:leader="none" w:pos="660" w:val="left"/>
        </w:tabs>
        <w:numPr>
          <w:ilvl w:val="0"/>
          <w:numId w:val="11"/>
        </w:numPr>
        <w:rPr>
          <w:rFonts w:ascii="Arial" w:cs="Arial" w:eastAsia="Arial" w:hAnsi="Arial"/>
          <w:sz w:val="17"/>
          <w:szCs w:val="17"/>
          <w:color w:val="231F20"/>
        </w:rPr>
      </w:pPr>
      <w:r>
        <w:rPr>
          <w:rFonts w:ascii="Arial" w:cs="Arial" w:eastAsia="Arial" w:hAnsi="Arial"/>
          <w:sz w:val="17"/>
          <w:szCs w:val="17"/>
          <w:color w:val="auto"/>
        </w:rPr>
        <w:t>the progress, timing, scope, results and costs of our clinical trial program evaluating tenapanor for the treatment of hyperphosphatemia in ESRD patients on dialysis, and if our clinical program is successful, the submission of an NDA with the FDA to request marketing authorization for tenapanor for the treatment of hyperphosphatemia in ESRD patients on dialysis, as well as our decision whether or not to pursue other indications for tenapanor;</w:t>
      </w:r>
    </w:p>
    <w:p>
      <w:pPr>
        <w:spacing w:after="0" w:line="162" w:lineRule="exact"/>
        <w:rPr>
          <w:rFonts w:ascii="Arial" w:cs="Arial" w:eastAsia="Arial" w:hAnsi="Arial"/>
          <w:sz w:val="17"/>
          <w:szCs w:val="17"/>
          <w:color w:val="231F20"/>
        </w:rPr>
      </w:pPr>
    </w:p>
    <w:p>
      <w:pPr>
        <w:ind w:left="660" w:hanging="333"/>
        <w:spacing w:after="0"/>
        <w:tabs>
          <w:tab w:leader="none" w:pos="660" w:val="left"/>
        </w:tabs>
        <w:numPr>
          <w:ilvl w:val="0"/>
          <w:numId w:val="11"/>
        </w:numPr>
        <w:rPr>
          <w:rFonts w:ascii="Arial" w:cs="Arial" w:eastAsia="Arial" w:hAnsi="Arial"/>
          <w:sz w:val="17"/>
          <w:szCs w:val="17"/>
          <w:color w:val="231F20"/>
        </w:rPr>
      </w:pPr>
      <w:r>
        <w:rPr>
          <w:rFonts w:ascii="Arial" w:cs="Arial" w:eastAsia="Arial" w:hAnsi="Arial"/>
          <w:sz w:val="17"/>
          <w:szCs w:val="17"/>
          <w:color w:val="auto"/>
        </w:rPr>
        <w:t>whether or not we receive approval from the FDA to market tenapanor for the treatment of patients with IBS-C;</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in IBS-C in the United States;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if approved, either alone or with one or more collaboration partners;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 should we elect to do so;</w:t>
      </w:r>
    </w:p>
    <w:p>
      <w:pPr>
        <w:spacing w:after="0" w:line="161" w:lineRule="exact"/>
        <w:rPr>
          <w:rFonts w:ascii="Arial" w:cs="Arial" w:eastAsia="Arial" w:hAnsi="Arial"/>
          <w:sz w:val="18"/>
          <w:szCs w:val="18"/>
          <w:color w:val="231F20"/>
        </w:rPr>
      </w:pPr>
    </w:p>
    <w:p>
      <w:pPr>
        <w:ind w:left="660" w:hanging="333"/>
        <w:spacing w:after="0" w:line="289" w:lineRule="auto"/>
        <w:tabs>
          <w:tab w:leader="none" w:pos="660" w:val="left"/>
        </w:tabs>
        <w:numPr>
          <w:ilvl w:val="0"/>
          <w:numId w:val="12"/>
        </w:numPr>
        <w:rPr>
          <w:rFonts w:ascii="Arial" w:cs="Arial" w:eastAsia="Arial" w:hAnsi="Arial"/>
          <w:sz w:val="16"/>
          <w:szCs w:val="16"/>
          <w:color w:val="231F20"/>
        </w:rPr>
      </w:pPr>
      <w:r>
        <w:rPr>
          <w:rFonts w:ascii="Arial" w:cs="Arial" w:eastAsia="Arial" w:hAnsi="Arial"/>
          <w:sz w:val="16"/>
          <w:szCs w:val="16"/>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24" w:lineRule="exact"/>
        <w:rPr>
          <w:rFonts w:ascii="Arial" w:cs="Arial" w:eastAsia="Arial" w:hAnsi="Arial"/>
          <w:sz w:val="16"/>
          <w:szCs w:val="16"/>
          <w:color w:val="231F20"/>
        </w:rPr>
      </w:pPr>
    </w:p>
    <w:p>
      <w:pPr>
        <w:ind w:left="660" w:hanging="333"/>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sales price and the availability of adequate third-party reimbursement for tenapanor, if approved;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w:t>
      </w:r>
    </w:p>
    <w:p>
      <w:pPr>
        <w:spacing w:after="0" w:line="184"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2"/>
        </w:numPr>
        <w:rPr>
          <w:rFonts w:ascii="Arial" w:cs="Arial" w:eastAsia="Arial" w:hAnsi="Arial"/>
          <w:sz w:val="18"/>
          <w:szCs w:val="18"/>
          <w:color w:val="231F20"/>
        </w:rPr>
      </w:pPr>
      <w:r>
        <w:rPr>
          <w:rFonts w:ascii="Arial" w:cs="Arial" w:eastAsia="Arial" w:hAnsi="Arial"/>
          <w:sz w:val="18"/>
          <w:szCs w:val="18"/>
          <w:color w:val="auto"/>
        </w:rPr>
        <w:t>the payment of interest and principal related to our loan and security agreement entered into with Solar Capital Ltd. and Western Alliance Bank during May 2018.</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90"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March 31,</w:t>
            </w:r>
          </w:p>
        </w:tc>
      </w:tr>
      <w:tr>
        <w:trPr>
          <w:trHeight w:val="129"/>
        </w:trPr>
        <w:tc>
          <w:tcPr>
            <w:tcW w:w="49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296"/>
              <w:spacing w:after="0" w:line="129"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1"/>
                <w:szCs w:val="11"/>
                <w:color w:val="auto"/>
              </w:rPr>
            </w:pPr>
          </w:p>
        </w:tc>
      </w:tr>
      <w:tr>
        <w:trPr>
          <w:trHeight w:val="169"/>
        </w:trPr>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used in operating activities</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(16,913)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(6,804)</w:t>
            </w:r>
          </w:p>
        </w:tc>
        <w:tc>
          <w:tcPr>
            <w:tcW w:w="60" w:type="dxa"/>
            <w:vAlign w:val="bottom"/>
            <w:shd w:val="clear" w:color="auto" w:fill="CCEEFF"/>
          </w:tcPr>
          <w:p>
            <w:pPr>
              <w:spacing w:after="0"/>
              <w:rPr>
                <w:sz w:val="14"/>
                <w:szCs w:val="14"/>
                <w:color w:val="auto"/>
              </w:rPr>
            </w:pPr>
          </w:p>
        </w:tc>
      </w:tr>
      <w:tr>
        <w:trPr>
          <w:trHeight w:val="176"/>
        </w:trPr>
        <w:tc>
          <w:tcPr>
            <w:tcW w:w="4980" w:type="dxa"/>
            <w:vAlign w:val="bottom"/>
          </w:tcPr>
          <w:p>
            <w:pPr>
              <w:spacing w:after="0" w:line="176" w:lineRule="exact"/>
              <w:rPr>
                <w:sz w:val="20"/>
                <w:szCs w:val="20"/>
                <w:color w:val="auto"/>
              </w:rPr>
            </w:pPr>
            <w:r>
              <w:rPr>
                <w:rFonts w:ascii="Arial" w:cs="Arial" w:eastAsia="Arial" w:hAnsi="Arial"/>
                <w:sz w:val="18"/>
                <w:szCs w:val="18"/>
                <w:color w:val="auto"/>
              </w:rPr>
              <w:t>Cash (used in) provided by investing activities</w:t>
            </w:r>
          </w:p>
        </w:tc>
        <w:tc>
          <w:tcPr>
            <w:tcW w:w="10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29,981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(1,135)</w:t>
            </w:r>
          </w:p>
        </w:tc>
        <w:tc>
          <w:tcPr>
            <w:tcW w:w="60" w:type="dxa"/>
            <w:vAlign w:val="bottom"/>
          </w:tcPr>
          <w:p>
            <w:pPr>
              <w:spacing w:after="0"/>
              <w:rPr>
                <w:sz w:val="15"/>
                <w:szCs w:val="15"/>
                <w:color w:val="auto"/>
              </w:rPr>
            </w:pPr>
          </w:p>
        </w:tc>
      </w:tr>
      <w:tr>
        <w:trPr>
          <w:trHeight w:val="176"/>
        </w:trPr>
        <w:tc>
          <w:tcPr>
            <w:tcW w:w="4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provided by financing activities</w:t>
            </w:r>
          </w:p>
        </w:tc>
        <w:tc>
          <w:tcPr>
            <w:tcW w:w="1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301</w:t>
            </w:r>
          </w:p>
        </w:tc>
        <w:tc>
          <w:tcPr>
            <w:tcW w:w="60" w:type="dxa"/>
            <w:vAlign w:val="bottom"/>
            <w:shd w:val="clear" w:color="auto" w:fill="CCEEFF"/>
          </w:tcPr>
          <w:p>
            <w:pPr>
              <w:spacing w:after="0"/>
              <w:rPr>
                <w:sz w:val="15"/>
                <w:szCs w:val="15"/>
                <w:color w:val="auto"/>
              </w:rPr>
            </w:pPr>
          </w:p>
        </w:tc>
      </w:tr>
      <w:tr>
        <w:trPr>
          <w:trHeight w:val="176"/>
        </w:trPr>
        <w:tc>
          <w:tcPr>
            <w:tcW w:w="4980" w:type="dxa"/>
            <w:vAlign w:val="bottom"/>
          </w:tcPr>
          <w:p>
            <w:pPr>
              <w:spacing w:after="0" w:line="170" w:lineRule="exact"/>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13,268</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(7,638)</w:t>
            </w:r>
          </w:p>
        </w:tc>
        <w:tc>
          <w:tcPr>
            <w:tcW w:w="60" w:type="dxa"/>
            <w:vAlign w:val="bottom"/>
          </w:tcPr>
          <w:p>
            <w:pPr>
              <w:spacing w:after="0"/>
              <w:rPr>
                <w:sz w:val="15"/>
                <w:szCs w:val="15"/>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8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Net cash used in operating activities during the three months ended March 31, 2019, was approximately $16.9 million. The net loss of $26.1 million was adjusted for (i) non-cash charges of $1.2 million related to depreciation, amortization, non-cash interest expense and change in derivative liabilities and $1.9 million for stock-based compensation, (ii) a decrease of $5.1 million in accounts receivable primarily related to the unbilled license revenue payment received from KHK upon its milestone achievement, (iii) a $0.3 million decrease in prepaid expenses primarily to vendors for clinical development and manufacturing, and (iv) an increase in accounts payable and accrued liabilities of $0.7 million primarily due to expenses incurred for the clinical manufacturing, process development, and clinical development activities for tenapanor.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Net cash used in operating activities during the three months ended March 31, 2018 was approximately $6.8 million. The net loss of $17.0 million was adjusted for non-cash charges of $3.1 million related to depreciation, amortization and stock-based compensation expense, and an increase to cash of $7.1 million related to other working capital items associated with changes in our net operating assets and liabilities primarily related to a decrease of receivables related to the Fosun Agreement offset by working capital related to clinical development and manufacturing of tenapanor.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8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Net cash provided by investing activities was $30.0 million for the three months ended March 31, 2019, primarily due to maturities of investments of $55.0 million offset by purchases of investments of $24.9 million and purchases of property and equipment of $0.1 million.</w:t>
      </w:r>
    </w:p>
    <w:p>
      <w:pPr>
        <w:spacing w:after="0" w:line="163"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Net cash used in investing activities was $1.1 million for the three months ended March 31, 2018, primarily due to purchases of investments of $39.0 million offset by maturities of short-term investments of $37.1 million and redemptions of investments of $0.8 million.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8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Net cash provided by financing activities for the three months ended March 31, 2019, was $0.2 million, primarily due to net proceeds of $0.2 million from issuance of common stock under the employee stock purchase plan, or ESPP.</w:t>
      </w:r>
    </w:p>
    <w:p>
      <w:pPr>
        <w:spacing w:after="0" w:line="147"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Net cash provided by financing activities for the three months ended March 31, 2018 was $0.3 million, primarily due to proceeds from issuance of common stock under the ESPP.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jc w:val="both"/>
        <w:ind w:firstLine="324"/>
        <w:spacing w:after="0" w:line="194" w:lineRule="exact"/>
        <w:rPr>
          <w:sz w:val="20"/>
          <w:szCs w:val="20"/>
          <w:color w:val="auto"/>
        </w:rPr>
      </w:pPr>
      <w:r>
        <w:rPr>
          <w:rFonts w:ascii="Arial" w:cs="Arial" w:eastAsia="Arial" w:hAnsi="Arial"/>
          <w:sz w:val="18"/>
          <w:szCs w:val="18"/>
          <w:color w:val="auto"/>
        </w:rPr>
        <w:t>Refer to “Note 2. Summary Of Significant Accounting Policies” in the notes to our unaudited interim condensed consolidated financial statements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a discussion of recent accounting pronouncements.</w:t>
      </w:r>
    </w:p>
    <w:p>
      <w:pPr>
        <w:spacing w:after="0" w:line="1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i w:val="1"/>
          <w:iCs w:val="1"/>
          <w:color w:val="auto"/>
        </w:rPr>
        <w:t xml:space="preserve">Foreign Currency Risk. </w:t>
      </w:r>
      <w:r>
        <w:rPr>
          <w:rFonts w:ascii="Arial" w:cs="Arial" w:eastAsia="Arial" w:hAnsi="Arial"/>
          <w:sz w:val="16"/>
          <w:szCs w:val="16"/>
          <w:color w:val="auto"/>
        </w:rPr>
        <w:t>The majority of our transactions occur in U.S. dollars. However, we do have certain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denominated in 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preclinical and clinical activities. During the three months ended March 31, 2019, we settled a forward currency exchange contract denominated in Swiss francs, that was not designated as a cash flow hedge, and was to secure a foreign currency exchange rate when a contract is executed involving payment in a foreign currency in order to minimize cash flow exposure to fluctuating exchange rates.</w:t>
      </w:r>
    </w:p>
    <w:p>
      <w:pPr>
        <w:spacing w:after="0" w:line="163"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do not use derivative financial instruments for speculative trading purposes, nor do we hedge foreign currency exchange rate exposure in a manner that entirely offsets the earnings effects of changes in foreign currency exchange rates. The counterparty to our forward foreign currency exchange contracts are creditworthy commercial banks, which minimizes the risk of counterparty nonperformance.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31, 2019, we had no open forward foreign currency exchange contracts.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are subject to interest rate fluctuation exposure through our borrowings under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our investment in money market accounts which bear a variable interest rate. Borrowings under the Loan Agreement bear interest at a rate equal to one-month LIBOR plus 7.45% per annum. A hypothetical increase in one-month LIBOR of 100 basis points above the current one-month LIBOR rates would have increased our interest expense by approximately $0.1 million as of March 31, 2019. We had $49.4 million aggregate principal amount of loan outstanding as of March 31, 2019.</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We are subject to interest rate fluctuation exposure through our investments,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spacing w:after="0" w:line="15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jc w:val="both"/>
        <w:ind w:firstLine="324"/>
        <w:spacing w:after="0" w:line="182" w:lineRule="exact"/>
        <w:rPr>
          <w:sz w:val="20"/>
          <w:szCs w:val="20"/>
          <w:color w:val="auto"/>
        </w:rPr>
      </w:pPr>
      <w:r>
        <w:rPr>
          <w:rFonts w:ascii="Arial" w:cs="Arial" w:eastAsia="Arial" w:hAnsi="Arial"/>
          <w:sz w:val="18"/>
          <w:szCs w:val="18"/>
          <w:color w:val="auto"/>
        </w:rPr>
        <w:t>As required by Rule 13a</w:t>
      </w:r>
      <w:r>
        <w:rPr>
          <w:rFonts w:ascii="MS PGothic" w:cs="MS PGothic" w:eastAsia="MS PGothic" w:hAnsi="MS PGothic"/>
          <w:sz w:val="18"/>
          <w:szCs w:val="18"/>
          <w:color w:val="auto"/>
        </w:rPr>
        <w:t>‑</w:t>
      </w:r>
      <w:r>
        <w:rPr>
          <w:rFonts w:ascii="Arial" w:cs="Arial" w:eastAsia="Arial" w:hAnsi="Arial"/>
          <w:sz w:val="18"/>
          <w:szCs w:val="18"/>
          <w:color w:val="auto"/>
        </w:rPr>
        <w:t>15(b) under the Securities Exchange Act of 1934, as amended (the “Exchange Act”), our management, under the supervision and with the participation of our principal executive officer and principal accounting and financial officer, has evaluated the effectiveness of the design and operation of our disclosure controls and procedures (as such term is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under the Exchange Act) as of March 31, 2019.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accounting and financial officer have concluded that, as of March 31, 2019, our disclosure controls and procedures were effective at a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There were no changes in our internal control over financial reporting during the quarter ended March 31, 2019,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85"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1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8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As of March 31, 2019, there is no litigation pending that would reasonably be expected to have a material adverse effect on our results of operations and financial condition.</w:t>
      </w:r>
    </w:p>
    <w:p>
      <w:pPr>
        <w:spacing w:after="0" w:line="15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jc w:val="both"/>
        <w:ind w:firstLine="324"/>
        <w:spacing w:after="0" w:line="185" w:lineRule="exact"/>
        <w:rPr>
          <w:sz w:val="20"/>
          <w:szCs w:val="20"/>
          <w:color w:val="auto"/>
        </w:rPr>
      </w:pPr>
      <w:r>
        <w:rPr>
          <w:rFonts w:ascii="Arial" w:cs="Arial" w:eastAsia="Arial" w:hAnsi="Arial"/>
          <w:sz w:val="17"/>
          <w:szCs w:val="17"/>
          <w:i w:val="1"/>
          <w:iCs w:val="1"/>
          <w:color w:val="auto"/>
        </w:rPr>
        <w:t>Our business involves significant risks, some of which are described below. You should carefully consider these risks, as well as other information in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 including our financial statements and the related notes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have incurred significant losses since our inception and we will incur losses in the future, which makes it difficult to assess our future viability.</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We are a clinical-stage biopharmaceutical company with a limited operating history. Biopharmaceutical product development is a highly speculative undertaking and involves a substantial degree of risk. To date, we have focused substantially all of our efforts on our research and development activities, including developing tenapanor and developing our proprietary drug discovery and design platform. To date, we have not commercialized any products or generated any revenue from the sale of products.</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are not profitable and have incurred losses in each year since our inception in October 2007, and we do not know whether or when we will become profitable. We have only a limited operating history upon which to evaluate our business and prospects. We continue to incur significant research, development and other expenses related to our ongoing operations. As of March 31, 2019, we had an accumulated deficit of $391.7 million.</w:t>
      </w:r>
    </w:p>
    <w:p>
      <w:pPr>
        <w:spacing w:after="0" w:line="163"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We expect that our operating losses will substantially increase for the foreseeable future as we prepare for the potential commercialization of, and incur manufacturing and development costs for, tenapanor, including costs associated with completing the ongoing Phase 3 development of tenapanor for the treatment of hyperphosphatemia in end stage renal disease, or ESRD, patients on dialysis, and if such Phase 3 development is successful, preparing the new drug application, or NDA, for submission to the U.S. Food and Drug Administration, or FDA, to request marketing authorization for tenapanor for the treatment of hyperphosphatemia in ESRD patients on dialysis, and continuing our discovery and research activities.</w:t>
      </w:r>
    </w:p>
    <w:p>
      <w:pPr>
        <w:spacing w:after="0" w:line="161"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w:t>
      </w:r>
    </w:p>
    <w:p>
      <w:pPr>
        <w:spacing w:after="0" w:line="163"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will be subject to limitations, pursuant to Internal Revenue Code Sections 382 and 383, as a result of ownership changes that have occurred previously and additional limitations may be applicable as a result of ownership changes that could occur in the future.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185"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We have no products approved for sale and have never generated any revenue from product sales. Our ability to generate revenue from product sales and achieve profitability depends on our ability to successfully complete the development of, and obtain the regulatory and marketing approvals necessary to commercialize tenapanor for one or more indications, either on our own, or with one or more collaboration partners. We do not anticipate generating revenue from product sales for the foreseeable future. Our ability to generate future revenue from product sales or pursuant to milestone payments depends heavily on many factors, including but not limited to:</w:t>
      </w:r>
    </w:p>
    <w:p>
      <w:pPr>
        <w:spacing w:after="0" w:line="165" w:lineRule="exact"/>
        <w:rPr>
          <w:sz w:val="20"/>
          <w:szCs w:val="20"/>
          <w:color w:val="auto"/>
        </w:rPr>
      </w:pPr>
    </w:p>
    <w:p>
      <w:pPr>
        <w:ind w:left="660" w:hanging="333"/>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the successful completion of nonclinical and clinical development of tenapanor;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3"/>
        </w:numPr>
        <w:rPr>
          <w:rFonts w:ascii="Arial" w:cs="Arial" w:eastAsia="Arial" w:hAnsi="Arial"/>
          <w:sz w:val="17"/>
          <w:szCs w:val="17"/>
          <w:color w:val="231F20"/>
        </w:rPr>
      </w:pPr>
      <w:r>
        <w:rPr>
          <w:rFonts w:ascii="Arial" w:cs="Arial" w:eastAsia="Arial" w:hAnsi="Arial"/>
          <w:sz w:val="17"/>
          <w:szCs w:val="17"/>
          <w:color w:val="auto"/>
        </w:rPr>
        <w:t>obtaining regulatory approvals for tenapanor, either on our own, or with one or more collaboration partners;</w:t>
      </w:r>
    </w:p>
    <w:p>
      <w:pPr>
        <w:spacing w:after="0" w:line="19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our ability to identify a collaboration partnership and negotiate acceptable terms for a collaboration partnership for the commercialization of tenapanor for IBS-C in the United States;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if approved, either on our own, or with one or more collaboration partners;</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developing a sustainable and scalable manufacturing process for tenapanor and establishing and maintaining supply and manufacturing relationships with third parties that can provide an adequate (in amount and quality) supply of product to support the market demand for tenapanor, if approved;</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obtaining market acceptance of tenapanor, if approved, as a viable treatment option for the indications for which it is approved;</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addressing any competing technological and market developments;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identifying, assessing, acquiring, in-licensing and/or developing new product candidates;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negotiating favorable terms in any collaboration partnership, licensing or other arrangements into which we may enter;</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13"/>
        </w:numPr>
        <w:rPr>
          <w:rFonts w:ascii="Arial" w:cs="Arial" w:eastAsia="Arial" w:hAnsi="Arial"/>
          <w:sz w:val="18"/>
          <w:szCs w:val="18"/>
          <w:color w:val="231F20"/>
        </w:rPr>
      </w:pPr>
      <w:r>
        <w:rPr>
          <w:rFonts w:ascii="Arial" w:cs="Arial" w:eastAsia="Arial" w:hAnsi="Arial"/>
          <w:sz w:val="18"/>
          <w:szCs w:val="18"/>
          <w:color w:val="auto"/>
        </w:rPr>
        <w:t>attracting, hiring, and retaining qualified personnel.</w:t>
      </w:r>
    </w:p>
    <w:p>
      <w:pPr>
        <w:spacing w:after="0" w:line="185"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In cases where we are successful in obtaining regulatory approvals to market tenapanor for one or more indications, our revenue will be dependent, in part, upon the size of the markets in the territories for which regulatory approval is granted, the accepted price for the product, the ability to get reimbursement at any price and whether we are commercializing the product or the product is being commercialized by a collaboration partner, and in such case, whether we have royalty and/or co-promotion rights for that territory, and whether any royalty we have a right to receive from a collaboration partner is in excess of the royalty we owe AstraZeneca as a result of the termination of our License Agreement with AstraZeneca in 2015. See NOTE 12. COLLABORATION AND LICENSING AGREEMENTS for details on our obligations to AstraZeneca. If the number of patients suitable for tenapanor is not as significant as we estimate, the indications approved by regulatory authorities are narrower than we expect, coverage and reimbursement for tenapanor are not available in the manner and to the extent which we expect, or the reasonably accepted population for treatment is narrowed by competition, physician choice or treatment guidelines, we may not generate significant revenue from the sale of tenapanor, even if approved. Even if we achieve profitability in the future, we may not be able to sustain profitability in subsequent periods. Our failure to generate revenue from product sales would likely depress our market value and could impair our ability to raise capital, expand our business, discover or develop other product candidates 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continue our operations. A decline in the value of our common stock could cause our stockholders to lose all or part of their investment.</w:t>
      </w:r>
    </w:p>
    <w:p>
      <w:pPr>
        <w:spacing w:after="0" w:line="16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could have a materially adverse effect on our business.</w:t>
      </w:r>
    </w:p>
    <w:p>
      <w:pPr>
        <w:spacing w:after="0" w:line="109"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On May 16, 2018, we entered into a loan and security agreement with Solar Capital, Ltd. and Western Alliance Bank, or collectively the Lenders, pursuant to which the Lenders agreed to provide us a $50.0 million term loan facility with a maturity date of November 1, 2022. The full amount of the loan was funded on May 16, 2018. Until we have repaid such indebtedness,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spacing w:after="0" w:line="127"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 xml:space="preserve">Additionally, we may be required to repay the outstanding indebtedness under the loan facility if an event of default occurs under the loan and security agreement. An event of default will occur if, among other things, we fail to make payments under the loan and security agreement; we breach any of our covenants under the loan and security agreement, subject to specified cure periods with respect to certain breaches; the Lenders determine that a material adverse change has occurred; we or our assets become subject to certain legal proceedings, such as bankruptcy proceedings; we are unable to pay our debts as they become due; or we default on contracts with third parties which would permit </w:t>
      </w:r>
      <w:r>
        <w:rPr>
          <w:rFonts w:ascii="Arial" w:cs="Arial" w:eastAsia="Arial" w:hAnsi="Arial"/>
          <w:sz w:val="14"/>
          <w:szCs w:val="14"/>
          <w:color w:val="auto"/>
        </w:rPr>
        <w:t>the</w:t>
      </w:r>
      <w:r>
        <w:rPr>
          <w:rFonts w:ascii="Arial" w:cs="Arial" w:eastAsia="Arial" w:hAnsi="Arial"/>
          <w:sz w:val="16"/>
          <w:szCs w:val="16"/>
          <w:color w:val="auto"/>
        </w:rPr>
        <w:t xml:space="preserve"> Lenders to accelerate the</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The Lenders could also exercise their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and the inability to access this necessary capital when needed on acceptable terms, or at all, could force us to delay, limit, reduce or terminate our pre-commercialization efforts for tenapanor and our other product development and platform development activities.</w:t>
      </w:r>
    </w:p>
    <w:p>
      <w:pPr>
        <w:spacing w:after="0" w:line="147"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Since our inception, most of our resources have been dedicated to our research and development activities, including developing our clinical product candidate tenapanor and developing our proprietary drug discovery and design platform. We believe that we will continue to expend substantial resources for the foreseeable future, including costs associated with completing the clinical program for tenapanor for the treatment of hyperphosphatemia in ESRD patients on dialysis, research and development, conducting preclinical studies and clinical trials for our other programs, obtaining regulatory approvals, developing and maintaining scalable manufacturing processes for our product candidates and sales and marketing. Because the outcome of any clinical trial and/or regulatory approval process is highly uncertain, we cannot reasonably estimate the actual amounts necessary to successfully complete the development, regulatory approval process and commercialization or co-promotion of any of our product candidates. Our future funding requirements will depend on many factors, including, but not limited to:</w:t>
      </w:r>
    </w:p>
    <w:p>
      <w:pPr>
        <w:spacing w:after="0" w:line="164" w:lineRule="exact"/>
        <w:rPr>
          <w:sz w:val="20"/>
          <w:szCs w:val="20"/>
          <w:color w:val="auto"/>
        </w:rPr>
      </w:pPr>
    </w:p>
    <w:p>
      <w:pPr>
        <w:jc w:val="both"/>
        <w:ind w:left="660" w:hanging="333"/>
        <w:spacing w:after="0" w:line="232" w:lineRule="auto"/>
        <w:tabs>
          <w:tab w:leader="none" w:pos="660" w:val="left"/>
        </w:tabs>
        <w:numPr>
          <w:ilvl w:val="0"/>
          <w:numId w:val="14"/>
        </w:numPr>
        <w:rPr>
          <w:rFonts w:ascii="Arial" w:cs="Arial" w:eastAsia="Arial" w:hAnsi="Arial"/>
          <w:sz w:val="17"/>
          <w:szCs w:val="17"/>
          <w:color w:val="231F20"/>
        </w:rPr>
      </w:pPr>
      <w:r>
        <w:rPr>
          <w:rFonts w:ascii="Arial" w:cs="Arial" w:eastAsia="Arial" w:hAnsi="Arial"/>
          <w:sz w:val="17"/>
          <w:szCs w:val="17"/>
          <w:color w:val="auto"/>
        </w:rPr>
        <w:t>the progress, timing, scope, results and costs of our clinical trial program evaluating tenapanor for the treatment of hyperphosphatemia in ESRD patients on dialysis, and if our clinical program is successful, the submission of an NDA with the FDA to request marketing authorization for tenapanor for the treatment of hyperphosphatemia in ESRD patients on dialysis, as well as our decision whether or not to pursue other indications for tenapanor;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15"/>
        </w:numPr>
        <w:rPr>
          <w:rFonts w:ascii="Arial" w:cs="Arial" w:eastAsia="Arial" w:hAnsi="Arial"/>
          <w:sz w:val="17"/>
          <w:szCs w:val="17"/>
          <w:color w:val="231F20"/>
        </w:rPr>
      </w:pPr>
      <w:r>
        <w:rPr>
          <w:rFonts w:ascii="Arial" w:cs="Arial" w:eastAsia="Arial" w:hAnsi="Arial"/>
          <w:sz w:val="17"/>
          <w:szCs w:val="17"/>
          <w:color w:val="auto"/>
        </w:rPr>
        <w:t>whether or not we receive approval from the FDA to market tenapanor for the treatment of patients with IBS-C;</w:t>
      </w:r>
    </w:p>
    <w:p>
      <w:pPr>
        <w:spacing w:after="0" w:line="19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our ability to identify a collaboration partner and negotiate acceptable terms for a collaboration partnership for the commercialization of tenapanor in IBS-C in the United States;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our ability to successfully commercialize tenapanor, if approved, either alone or with one or more collaboration partners;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manufacturing costs of our product candidates, and the availability of one or more suppliers for our product candidates at reasonable costs, both for clinical and commercial supply;</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selling and marketing costs associated with tenapanor, including the cost and timing of building our sales and marketing capabilities, should we elect to do so;</w:t>
      </w:r>
    </w:p>
    <w:p>
      <w:pPr>
        <w:spacing w:after="0" w:line="161" w:lineRule="exact"/>
        <w:rPr>
          <w:rFonts w:ascii="Arial" w:cs="Arial" w:eastAsia="Arial" w:hAnsi="Arial"/>
          <w:sz w:val="18"/>
          <w:szCs w:val="18"/>
          <w:color w:val="231F20"/>
        </w:rPr>
      </w:pPr>
    </w:p>
    <w:p>
      <w:pPr>
        <w:ind w:left="660" w:hanging="333"/>
        <w:spacing w:after="0" w:line="289" w:lineRule="auto"/>
        <w:tabs>
          <w:tab w:leader="none" w:pos="660" w:val="left"/>
        </w:tabs>
        <w:numPr>
          <w:ilvl w:val="0"/>
          <w:numId w:val="15"/>
        </w:numPr>
        <w:rPr>
          <w:rFonts w:ascii="Arial" w:cs="Arial" w:eastAsia="Arial" w:hAnsi="Arial"/>
          <w:sz w:val="16"/>
          <w:szCs w:val="16"/>
          <w:color w:val="231F20"/>
        </w:rPr>
      </w:pPr>
      <w:r>
        <w:rPr>
          <w:rFonts w:ascii="Arial" w:cs="Arial" w:eastAsia="Arial" w:hAnsi="Arial"/>
          <w:sz w:val="16"/>
          <w:szCs w:val="16"/>
          <w:color w:val="auto"/>
        </w:rPr>
        <w:t>our ability to maintain our existing collaboration partnerships and to establish additional collaboration partnerships, in-license/out-license, joint ventures or other similar arrangements and the financial terms of such agreements;</w:t>
      </w:r>
    </w:p>
    <w:p>
      <w:pPr>
        <w:spacing w:after="0" w:line="124" w:lineRule="exact"/>
        <w:rPr>
          <w:rFonts w:ascii="Arial" w:cs="Arial" w:eastAsia="Arial" w:hAnsi="Arial"/>
          <w:sz w:val="16"/>
          <w:szCs w:val="16"/>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timing, receipt, and amount of sales of, or royalties on, tenapanor, if any;</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sales price and the availability of adequate third-party reimbursement for tenapanor, if approved;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cash requirements of any future acquisitions or discovery of product candidates;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number and scope of preclinical and discovery programs that we decide to pursue or initiate, and any clinical trials we decide to pursue for other product candidates;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time and cost necessary to respond to technological and market developments;</w:t>
      </w:r>
    </w:p>
    <w:p>
      <w:pPr>
        <w:spacing w:after="0" w:line="184"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tenapanor or any of our product candidates; and</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5"/>
        </w:numPr>
        <w:rPr>
          <w:rFonts w:ascii="Arial" w:cs="Arial" w:eastAsia="Arial" w:hAnsi="Arial"/>
          <w:sz w:val="18"/>
          <w:szCs w:val="18"/>
          <w:color w:val="231F20"/>
        </w:rPr>
      </w:pPr>
      <w:r>
        <w:rPr>
          <w:rFonts w:ascii="Arial" w:cs="Arial" w:eastAsia="Arial" w:hAnsi="Arial"/>
          <w:sz w:val="18"/>
          <w:szCs w:val="18"/>
          <w:color w:val="auto"/>
        </w:rPr>
        <w:t>the payment of interest and principal related to our loan and security agreement entered into with Solar Capital Ltd. and Western Alliance Bank during May 2018.</w:t>
      </w:r>
    </w:p>
    <w:p>
      <w:pPr>
        <w:spacing w:after="0" w:line="162"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reduce or terminate our research activities, preclinical and clinical trials for our product candidates and our establishment and maintenance of sales and marketing capabilities or other activities that may be necessary to commercialize tenapanor, either alone or with collaboration partners. Additionally, our inability to access capital on a timely basis and on terms that are acceptable to us may force us to restructure certain aspects of our business or identify and complete one or more strategic collaborations or other transactions in order to fund the development or commercialization of tenapanor or certain of our product candidates through the use of alternative structures.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tenapanor, which may not be successful in further clinical trials, receive regulatory approval or be successfully commercialized.</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To date, we have invested a significant amount of our efforts and financial resources in the research and development of tenapanor, which is currently our lead product candidate. The clinical and commercial success of tenapanor will depend on a number of factors, including the following:</w:t>
      </w:r>
    </w:p>
    <w:p>
      <w:pPr>
        <w:spacing w:after="0" w:line="163" w:lineRule="exact"/>
        <w:rPr>
          <w:sz w:val="20"/>
          <w:szCs w:val="20"/>
          <w:color w:val="auto"/>
        </w:rPr>
      </w:pPr>
    </w:p>
    <w:p>
      <w:pPr>
        <w:ind w:left="660" w:hanging="333"/>
        <w:spacing w:after="0" w:line="235"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our ability to, in a timely manner and under terms that are acceptable to us, establish a collaboration partnership for the commercialization of tenapanor for the treatment of IBS-C in the United States;</w:t>
      </w:r>
    </w:p>
    <w:p>
      <w:pPr>
        <w:spacing w:after="0" w:line="161"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the ability of the third-party manufacturers we contract with to successfully execute and scale up the manufacturing processes for tenapanor, which has not yet been demonstrated, and to manufacture supplies of tenapanor and to develop, validate and maintain commercially viable manufacturing processes that are compliant with cGMP, requirements;</w:t>
      </w:r>
    </w:p>
    <w:p>
      <w:pPr>
        <w:spacing w:after="0" w:line="162"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whether the FDA or foreign regulatory authorities require us or our collaboration partners to conduct clinical trials in addition to those anticipated prior to approval to market tenapanor, which could delay the commercialization of tenapanor;</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whether we will be required to conduct clinical trials in addition to those anticipated to obtain adequate commercial pricing;</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the prevalence and severity of adverse side effects of tenapanor;</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whether tenapanor’s safety and efficacy profile is satisfactory to the FDA and foreign regulatory authorities to gain marketing approval;</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the timely receipt of necessary marketing approvals from the FDA and foreign regulatory authorities;</w:t>
      </w:r>
    </w:p>
    <w:p>
      <w:pPr>
        <w:spacing w:after="0" w:line="184"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our ability, either alone, or with a collaboration partner, to successfully commercialize tenapanor, if approved for marketing and sale by the FDA or foreign regulatory authorities, including educating physicians and patients about the benefits, administration and use of tenapanor;</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achieving and maintaining compliance with all regulatory requirements applicable to tenapanor;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acceptance of tenapanor as safe, effective and well-tolerated by patients and the medical community;</w:t>
      </w:r>
    </w:p>
    <w:p>
      <w:pPr>
        <w:spacing w:after="0" w:line="184" w:lineRule="exact"/>
        <w:rPr>
          <w:rFonts w:ascii="Arial" w:cs="Arial" w:eastAsia="Arial" w:hAnsi="Arial"/>
          <w:sz w:val="18"/>
          <w:szCs w:val="18"/>
          <w:color w:val="231F20"/>
        </w:rPr>
      </w:pPr>
    </w:p>
    <w:p>
      <w:pPr>
        <w:jc w:val="both"/>
        <w:ind w:left="660" w:hanging="333"/>
        <w:spacing w:after="0" w:line="219"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our ability, alone or with collaboration partners, to manage the complex pricing and reimbursement negotiations associated with marketing the same product at different doses for separate indications, if tenapanor is approved for marketing and sale by the FDA or foreign regulatory authorities for both IBS-C and hyperphosphatemia in dialysis patients;</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the availability, perceived advantages, relative cost, relative safety and relative efficacy of tenapanor compared to alternative and competing treatments;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6"/>
        </w:numPr>
        <w:rPr>
          <w:rFonts w:ascii="Arial" w:cs="Arial" w:eastAsia="Arial" w:hAnsi="Arial"/>
          <w:sz w:val="17"/>
          <w:szCs w:val="17"/>
          <w:color w:val="231F20"/>
        </w:rPr>
      </w:pPr>
      <w:r>
        <w:rPr>
          <w:rFonts w:ascii="Arial" w:cs="Arial" w:eastAsia="Arial" w:hAnsi="Arial"/>
          <w:sz w:val="17"/>
          <w:szCs w:val="17"/>
          <w:color w:val="auto"/>
        </w:rPr>
        <w:t>obtaining and sustaining an adequate level of coverage and reimbursement for tenapanor by third-party payors;</w:t>
      </w:r>
    </w:p>
    <w:p>
      <w:pPr>
        <w:spacing w:after="0" w:line="196" w:lineRule="exact"/>
        <w:rPr>
          <w:rFonts w:ascii="Arial" w:cs="Arial" w:eastAsia="Arial" w:hAnsi="Arial"/>
          <w:sz w:val="17"/>
          <w:szCs w:val="17"/>
          <w:color w:val="231F20"/>
        </w:rPr>
      </w:pPr>
    </w:p>
    <w:p>
      <w:pPr>
        <w:ind w:left="660" w:hanging="333"/>
        <w:spacing w:after="0"/>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enforcing intellectual property rights in and to tenapanor;</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17"/>
        </w:numPr>
        <w:rPr>
          <w:rFonts w:ascii="Arial" w:cs="Arial" w:eastAsia="Arial" w:hAnsi="Arial"/>
          <w:sz w:val="18"/>
          <w:szCs w:val="18"/>
          <w:color w:val="231F20"/>
        </w:rPr>
      </w:pPr>
      <w:r>
        <w:rPr>
          <w:rFonts w:ascii="Arial" w:cs="Arial" w:eastAsia="Arial" w:hAnsi="Arial"/>
          <w:sz w:val="18"/>
          <w:szCs w:val="18"/>
          <w:color w:val="auto"/>
        </w:rPr>
        <w:t>a continued acceptable safety and tolerability profile of tenapanor following approval.</w:t>
      </w:r>
    </w:p>
    <w:p>
      <w:pPr>
        <w:spacing w:after="0" w:line="185"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As tenapanor is a first-in-class drug, there is a higher likelihood that approval may not be attained as compared to a class of drugs with approved products. While tenapanor met the primary endpoint in two Phase 3 clinical studies evaluating tenapanor for the treatment of patients with IBS-C, there can be no assurance that we will receive marketing authorization from FDA. In addition, a prolonged government shutdown may cause significant regulatory delays, and therefore, delay our efforts to seek and obtain approvals from the FDA, including approval of our NDA for tenapanor for the treatment of IBS-C. Although tenapanor met the primary endpoint in the first Phase 3 clinical trial for the treatment of hyperphosphatemia in ESRD patients on dialysis, there can be no assurances that the second Phase 3 trial of tenapanor in this indication will achieve the primary endpoint, or that our ongoing clinical trial evaluating tenapanor as adjuvant therapy to phosphate binders will achieve the primary endpoint. There can be no assurances that we will receive regulatory approval to market tenapanor for the treatment of hyperphosphatemia in ESRD patients on dialysis, either as monotherapy or as adjuvant therapy to phosphate binders. Further, it may not be possible or practicable to demonstrate, or if approved, to market tenapanor on the basis of certain of the benefits we believe tenapanor possesses. If the number of patients in the market for tenapanor or the price that the market can bear is not as significant as we estimate, or if we are not able to secure adequate coverage and reimbursement for tenapanor, we may not generate sufficient revenue from sales of tenapanor, if approved. Accordingly, there can be no assurance that tenapanor will ever be successfully commercialized or that we will ever generate income from sales of tenapanor. If we are not successful in completing the development of, obtaining approval for, and commercializing tenapanor, or are significantly delayed in doing so, our business will be materially harmed.</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an uncertain outcome, and we may encounter substantial delays in completing our clinical development of tenapanor for the treatment of hyperphosphatemia. Furthermore, results of earlier studies and trials may not be predictive of future trial results.</w:t>
      </w:r>
    </w:p>
    <w:p>
      <w:pPr>
        <w:spacing w:after="0" w:line="147"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An unexpected adverse event profile, or the results of drug-drug interaction studies, may present challenges for the future development and commercialization of a product candidate for a particular condition despite receipt of positive efficacy data in a clinical study. We are currently conducting our second Phase 3 clinical trial for tenapanor as monotherapy for the treatment of hyperphosphatemia in ESRD patients on dialysis, as well as a Phase 3 clinical trial evaluating tenapanor as adjuvant therapy to phosphate binders for hyperphosphatemia in ESRD patients who are on dialysis and inadequately controlled by phosphate binders. In addition, we plan to conduct an additional study evaluating tenapanor together with phosphate binders in various dosing regimens. Although tenapanor met the primary endpoint in the first Phase 3 clinical trial for the treatment of hyperphosphatemia in ESRD patients on dialysis, there can be no assurances that the second Phase 3 trial results of tenapanor in that indication will show the desired safety and efficacy. There can also be no assurances that either of our clinical trials evaluating tenapanor in combination with phosphate binders will show the desired safety and efficacy for this indication. A number of companies in the pharmaceutical, biopharmaceutical and biotechnology industries have suffered significant setbacks in advanced clinical trials for similar indications that we are pursuing due to lack of efficacy or adverse safety profiles, notwithstanding promising results in earlier studies, and we cannot be certain that we will not face similar setbacks. Even if our clinical development program for tenapanor for the treatment of hyperphosphatemia is completed, and despite the completion of our Phase 3 program for tenapanor for IBS-C, the results for indications sought may not be sufficient to obtain the desired regulatory approval for tenapanor, or if such regulatory approval is obtained, the content of the label approved by regulatory authorities may materially and adversely impact our ability to commercialize the product for the approved indication.</w:t>
      </w:r>
    </w:p>
    <w:p>
      <w:pPr>
        <w:spacing w:after="0" w:line="16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7"/>
          <w:szCs w:val="17"/>
          <w:color w:val="auto"/>
        </w:rPr>
        <w:t>We do not know whether either of our clinical trials evaluating tenapanor in combination with phosphate binders for the treatment of hyperphosphatemia will enroll an adequate number of patients on time or whether any of our trials for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tenapanor for the treatment of hyperphosphatemia will be completed on schedule, if at all. Clinical trials can be delayed or terminated for a variety of reasons, including delay or failure to:</w:t>
      </w:r>
    </w:p>
    <w:p>
      <w:pPr>
        <w:spacing w:after="0" w:line="162" w:lineRule="exact"/>
        <w:rPr>
          <w:sz w:val="20"/>
          <w:szCs w:val="20"/>
          <w:color w:val="auto"/>
        </w:rPr>
      </w:pPr>
    </w:p>
    <w:p>
      <w:pPr>
        <w:jc w:val="both"/>
        <w:ind w:left="660" w:hanging="333"/>
        <w:spacing w:after="0" w:line="224"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obtain institutional review board, or IRB, approval at each site;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recruit suitable patients in a timely manner to participate in our trials;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have patients complete a trial or return for post-treatment follow-up;</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ensure that clinical sites observe trial protocol, comply with good clinical practices, or GCPs, or continue to participate in a trial;</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address any patient safety concerns that arise during the course of a trial;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address any conflicts with new or existing laws or regulations; 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18"/>
        </w:numPr>
        <w:rPr>
          <w:rFonts w:ascii="Arial" w:cs="Arial" w:eastAsia="Arial" w:hAnsi="Arial"/>
          <w:sz w:val="18"/>
          <w:szCs w:val="18"/>
          <w:color w:val="231F20"/>
        </w:rPr>
      </w:pPr>
      <w:r>
        <w:rPr>
          <w:rFonts w:ascii="Arial" w:cs="Arial" w:eastAsia="Arial" w:hAnsi="Arial"/>
          <w:sz w:val="18"/>
          <w:szCs w:val="18"/>
          <w:color w:val="auto"/>
        </w:rPr>
        <w:t>initiate or add a sufficient number of clinical trial sites.</w:t>
      </w:r>
    </w:p>
    <w:p>
      <w:pPr>
        <w:spacing w:after="0" w:line="185"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w:t>
      </w:r>
    </w:p>
    <w:p>
      <w:pPr>
        <w:spacing w:after="0" w:line="162"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We could also encounter delays if our ongoing clinical trials are suspended or terminated by us, by the IRBs of the institutions in which the trial is being conducted, or by the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65"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Further, if there are delays in the completion of, or termination of, our clinical trials for tenapanor for the treatment of hyperphosphatemia, the commercial prospects of tenapanor for such indication may be harmed, and our ability to generate revenue from product sales of tenapanor for such indication will be delayed. In addition, any delays in completing a clinical trial will increase costs, slow down our regulatory approval process for tenapanor for hyperphosphatemia and jeopardize the ability to commence product sales and generate revenue from product sales for this indication. Any of these occurrences may significantly harm our business, financial condition and prospects. In addition, many of the factors that may cause, or lead to, a delay in the completion of either or both of our ongoing hyperphosphatemia clinical trials may also ultimately lead to the denial of regulatory approval.</w:t>
      </w:r>
    </w:p>
    <w:p>
      <w:pPr>
        <w:spacing w:after="0" w:line="168"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Even if we successfully obtain regulatory approval for tenapanor for one or more indications, it may never achieve market acceptance, sufficient third-party coverage or reimbursement, or commercial success, which will depend, in part, upon the degree of acceptance among physicians, patients, patient advocacy groups, health care payors and the medical community.</w:t>
      </w:r>
    </w:p>
    <w:p>
      <w:pPr>
        <w:spacing w:after="0" w:line="16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Even if we obtain FDA or other regulatory approvals required to market tenapanor, and it is ultimately commercialized for one or more indications, it may not achieve market acceptance among physicians, patients, third-party payors, patient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advocacy groups, and the medical community. Market acceptance of tenapanor, in the event that marketing approval is obtained, depends on a number of factors, including:</w:t>
      </w:r>
    </w:p>
    <w:p>
      <w:pPr>
        <w:spacing w:after="0" w:line="121" w:lineRule="exact"/>
        <w:rPr>
          <w:sz w:val="20"/>
          <w:szCs w:val="20"/>
          <w:color w:val="auto"/>
        </w:rPr>
      </w:pPr>
    </w:p>
    <w:p>
      <w:pPr>
        <w:jc w:val="both"/>
        <w:ind w:left="660" w:hanging="333"/>
        <w:spacing w:after="0" w:line="21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tenapanor for IBS-C in the United States, our ability to obtain a collaboration partner for commercialization and the strength of such collaboration partner’s financial resources and marketing and distribution organizations, as well as the commitment of such collaboration partner’s sales organization to tenapanor;</w:t>
      </w:r>
    </w:p>
    <w:p>
      <w:pPr>
        <w:spacing w:after="0" w:line="122"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demonstrated in clinical trials;</w:t>
      </w:r>
    </w:p>
    <w:p>
      <w:pPr>
        <w:spacing w:after="0" w:line="144" w:lineRule="exact"/>
        <w:rPr>
          <w:rFonts w:ascii="Arial" w:cs="Arial" w:eastAsia="Arial" w:hAnsi="Arial"/>
          <w:sz w:val="18"/>
          <w:szCs w:val="18"/>
          <w:color w:val="auto"/>
        </w:rPr>
      </w:pPr>
    </w:p>
    <w:p>
      <w:pPr>
        <w:jc w:val="both"/>
        <w:ind w:left="660" w:hanging="333"/>
        <w:spacing w:after="0" w:line="22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tenapanor for hyperphosphatemia, whether tenapanor, along with other oral only medications, are included in the bundled prospective payment system for the treatment of ESRD patients, and the manner in which such transition is achieved;</w:t>
      </w:r>
    </w:p>
    <w:p>
      <w:pPr>
        <w:spacing w:after="0" w:line="122"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overall safety and tolerability profile of the product;</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clinical indications for which it is approved;</w:t>
      </w:r>
    </w:p>
    <w:p>
      <w:pPr>
        <w:spacing w:after="0" w:line="14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advantages over new or traditional or existing therapies, including recently approved therapies or therapies that the physician community anticipate will be approved;</w:t>
      </w:r>
    </w:p>
    <w:p>
      <w:pPr>
        <w:spacing w:after="0" w:line="12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by physicians, major operators of clinics and patients of tenapanor as a safe, effective and well-tolerated treatment;</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tenapanor;</w:t>
      </w:r>
    </w:p>
    <w:p>
      <w:pPr>
        <w:spacing w:after="0" w:line="14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and perceived advantages of tenapanor over current treatment options or alternative treatments, including future alternative treatments;</w:t>
      </w:r>
    </w:p>
    <w:p>
      <w:pPr>
        <w:spacing w:after="0" w:line="12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willingness to pay for tenapanor, if approved, on the part of physicians and patients;</w:t>
      </w:r>
    </w:p>
    <w:p>
      <w:pPr>
        <w:spacing w:after="0" w:line="121"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alternative products and their ability to meet market demand; and</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w:t>
      </w:r>
    </w:p>
    <w:p>
      <w:pPr>
        <w:spacing w:after="0" w:line="14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Any failure by us to obtain a collaboration partner for the commercialization of tenapanor in the United States for IBS-C and any failure of tenapanor to achieve market acceptance, sufficient third-party coverage or reimbursement, or commercial success, should it receive regulatory approval, would adversely affect our results of operations.</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We currently have no sales organization. If we are unable to establish sales capabilities on our own or through third parties, we may not be able to commercialize tenapanor or any of our other product candidates.</w:t>
      </w:r>
    </w:p>
    <w:p>
      <w:pPr>
        <w:spacing w:after="0" w:line="147"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We currently do not have a sales organization. In order to commercialize or co-promote tenapanor or any of our other product candidates, we must enter collaborative relationships with one or more third parties, or build internal marketing, sales, distribution, managerial and other non-technical capabilities. There can be no assurances that we will be successful in establishing collaborative relationships in a timely manner or on terms that are acceptable to us. If tenapanor receives regulatory approval and we have not entered collaborative relationships for the commercialization of tenapanor in the United States, we would have to establish appropriate sales organizations with technical expertise supporting distribution capabilities to commercialize the product candidate, which will be expensive and time consuming, or delay the commercial launch of tenapanor for such indication. As a company, we have no prior experience in the marketing, sale and distribution of pharmaceutical products and there are significant risks involved in building and managing a sales organization, including our ability to secure the capital necessary to fund such efforts on acceptable terms, hire, retain, and incentivize qualified individuals, generate sufficient sales leads, provide adequate training to sales and marketing personnel, comply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with regulatory requirements applicable to the marketing and sale of drug products and effectively manage a geographically dispersed sales and marketing team.</w:t>
      </w:r>
    </w:p>
    <w:p>
      <w:pPr>
        <w:spacing w:after="0" w:line="16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If we are unable to enter collaborative relationships a timely manner, or on acceptable terms, and/or we fail or are delayed in the development of our internal sales, marketing and distribution capabilities, we may choose to delay the commercialization of our products and/or the commercialization of our products could be adversely impacted.</w:t>
      </w:r>
    </w:p>
    <w:p>
      <w:pPr>
        <w:spacing w:after="0" w:line="16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Third-party payor coverage and reimbursement status of newly-approved products is uncertain. Failure to obtain or maintain adequate coverage and reimbursement for our products, if approved, could limit our ability to market those products and decrease our ability to generate revenue.</w:t>
      </w:r>
    </w:p>
    <w:p>
      <w:pPr>
        <w:spacing w:after="0" w:line="16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The pricing, coverage and reimbursement of our product candidates, if approved, must be adequate to support a commercial infrastructure. The availability and adequacy of coverage and reimbursement by governmental and private payors are essential for most patients to be able to afford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168"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or CMS, an agency within the U.S.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161"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7"/>
          <w:szCs w:val="17"/>
          <w:color w:val="auto"/>
        </w:rPr>
        <w:t>There is increased uncertainty related to insurance coverage and reimbursement for drugs, like tenapanor, which, if approved, will be marketed for the treatment of hyperphosphatemia in ESRD patients. In July 2010, CMS released its final rule to implement a bundled prospective payment system for the treatment of ESRD patients as required by the Medicare Improvements for Patients and Providers Act, or MIPPA. The bundled payment covers a bundle of items and services routinely required for dialysis treatments furnished to Medicare beneficiaries in Medicare-certified ESRD facilities or at their home, including the cost of certain routine drugs. The final rule delayed the inclusion of oral medications without intravenous equivalents in the bundled payment until January 1, 2014 and in April 2014, President Obama signed the Protecting Access to Medicare Act of 2014, which further extended this implementation date to January 1, 2024. Additionally, section 204 of the Stephen Beck, Jr., Achieving a Better Life Experience Act of 2014, or ABLE, provides that payment for oral-only ESRD drugs cannot be made under the ESRD Prospective Payment System prior to January 1, 2025. As a result, absent further legislation on this matter, beginning in 2025, oral-only ESRD-related drugs may be included in the bundle and separate Medicare reimbursement will no longer be available for such drugs, as it is today under Medicare Part D. While it is too early to project the full impact that bundling may have on the industry, the impact could potentially cause dramatic price reductions for tenapanor, if approved. We may be unable to sell tenapanor, if approved, to dialysis providers on a profitable basis if third-party payors reduce their current levels of payment, or if our costs of production increase faster than increases in reimbursement levels.</w:t>
      </w:r>
    </w:p>
    <w:p>
      <w:pPr>
        <w:spacing w:after="0" w:line="171"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may be reduced compared with the United States and may be insufficient to generate commercially reasonable revenue and profits.</w:t>
      </w:r>
    </w:p>
    <w:p>
      <w:pPr>
        <w:spacing w:after="0" w:line="162"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33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may not be successful in our efforts to develop our product candidates that are at an early stage of development, or expand our pipeline of product candidates, as a result of numerous factors, which may include the inability to access capital necessary to fund such efforts on acceptable terms.</w:t>
      </w:r>
    </w:p>
    <w:p>
      <w:pPr>
        <w:spacing w:after="0" w:line="163"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A key element of our strategy has been focused on the expansion of our pipeline of product candidates utilizing our proprietary drug discovery and design platform and to advance such product candidates through clinical development. Our inability to access capital in a timely manner or on acceptable terms to fund our early stage product candidates may force us to consider certain restructuring activities to enable the funding of those early assets through the use of alternative structures. In addition, of the large number of drugs in development, only a small percentage of such drugs successfully complete the FDA regulatory approval process and are commercialized. Accordingly, even if we are able to continue to fund our research and early stage development programs, there can be no assurance that any product candidates will reach the clinic or be successfully developed or commercialized.</w:t>
      </w:r>
    </w:p>
    <w:p>
      <w:pPr>
        <w:spacing w:after="0" w:line="168"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effective and well-tolerated. Our research programs may initially show promise in identifying potential product candidates, and we may select candidates for development, yet we may fail to advance product candidates to clinical development for many reasons, including the following:</w:t>
      </w:r>
    </w:p>
    <w:p>
      <w:pPr>
        <w:spacing w:after="0" w:line="162" w:lineRule="exact"/>
        <w:rPr>
          <w:sz w:val="20"/>
          <w:szCs w:val="20"/>
          <w:color w:val="auto"/>
        </w:rPr>
      </w:pPr>
    </w:p>
    <w:p>
      <w:pPr>
        <w:jc w:val="both"/>
        <w:ind w:left="660" w:hanging="333"/>
        <w:spacing w:after="0" w:line="224" w:lineRule="auto"/>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we may be unable to access sufficient capital on acceptable terms to fund the development of all of our assets and as a result we may be forced to delay or terminate the development of certain product candidates, or to consider restructuring efforts to secure alternate funding for those assets;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the research methodology used and our drug discovery and design platform may not be successful in identifying potential product candidates;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competitors may develop alternatives that render our product candidates obsolete or less attractive;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0"/>
        </w:numPr>
        <w:rPr>
          <w:rFonts w:ascii="Arial" w:cs="Arial" w:eastAsia="Arial" w:hAnsi="Arial"/>
          <w:sz w:val="17"/>
          <w:szCs w:val="17"/>
          <w:color w:val="231F20"/>
        </w:rPr>
      </w:pPr>
      <w:r>
        <w:rPr>
          <w:rFonts w:ascii="Arial" w:cs="Arial" w:eastAsia="Arial" w:hAnsi="Arial"/>
          <w:sz w:val="17"/>
          <w:szCs w:val="17"/>
          <w:color w:val="auto"/>
        </w:rPr>
        <w:t>product candidates we develop may nevertheless be covered by third parties’ patents or other exclusive rights;</w:t>
      </w:r>
    </w:p>
    <w:p>
      <w:pPr>
        <w:spacing w:after="0" w:line="19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the market for a product candidate may change during our program so that the continued development of that product candidate is no longer reasonable;</w:t>
      </w:r>
    </w:p>
    <w:p>
      <w:pPr>
        <w:spacing w:after="0" w:line="161" w:lineRule="exact"/>
        <w:rPr>
          <w:rFonts w:ascii="Arial" w:cs="Arial" w:eastAsia="Arial" w:hAnsi="Arial"/>
          <w:sz w:val="18"/>
          <w:szCs w:val="18"/>
          <w:color w:val="231F20"/>
        </w:rPr>
      </w:pPr>
    </w:p>
    <w:p>
      <w:pPr>
        <w:ind w:left="660" w:hanging="333"/>
        <w:spacing w:after="0" w:line="289" w:lineRule="auto"/>
        <w:tabs>
          <w:tab w:leader="none" w:pos="660"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a product candidate may on further study be shown to have harmful side effects or other characteristics that indicate it is unlikely to be effective, well-tolerated or otherwise does not meet applicable regulatory or commercial criteria;</w:t>
      </w:r>
    </w:p>
    <w:p>
      <w:pPr>
        <w:spacing w:after="0" w:line="124" w:lineRule="exact"/>
        <w:rPr>
          <w:rFonts w:ascii="Arial" w:cs="Arial" w:eastAsia="Arial" w:hAnsi="Arial"/>
          <w:sz w:val="16"/>
          <w:szCs w:val="16"/>
          <w:color w:val="231F20"/>
        </w:rPr>
      </w:pPr>
    </w:p>
    <w:p>
      <w:pPr>
        <w:ind w:left="660" w:hanging="333"/>
        <w:spacing w:after="0" w:line="235" w:lineRule="auto"/>
        <w:tabs>
          <w:tab w:leader="none" w:pos="660" w:val="left"/>
        </w:tabs>
        <w:numPr>
          <w:ilvl w:val="0"/>
          <w:numId w:val="20"/>
        </w:numPr>
        <w:rPr>
          <w:rFonts w:ascii="Arial" w:cs="Arial" w:eastAsia="Arial" w:hAnsi="Arial"/>
          <w:sz w:val="18"/>
          <w:szCs w:val="18"/>
          <w:color w:val="231F20"/>
        </w:rPr>
      </w:pPr>
      <w:r>
        <w:rPr>
          <w:rFonts w:ascii="Arial" w:cs="Arial" w:eastAsia="Arial" w:hAnsi="Arial"/>
          <w:sz w:val="18"/>
          <w:szCs w:val="18"/>
          <w:color w:val="auto"/>
        </w:rPr>
        <w:t>a product candidate may not be capable of being produced in commercial quantities at an acceptable cost, or at all; and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21"/>
        </w:numPr>
        <w:rPr>
          <w:rFonts w:ascii="Arial" w:cs="Arial" w:eastAsia="Arial" w:hAnsi="Arial"/>
          <w:sz w:val="18"/>
          <w:szCs w:val="18"/>
          <w:color w:val="231F20"/>
        </w:rPr>
      </w:pPr>
      <w:r>
        <w:rPr>
          <w:rFonts w:ascii="Arial" w:cs="Arial" w:eastAsia="Arial" w:hAnsi="Arial"/>
          <w:sz w:val="18"/>
          <w:szCs w:val="18"/>
          <w:color w:val="auto"/>
        </w:rPr>
        <w:t>a product candidate may not be accepted as safe, effective and well-tolerated by patients, the medical community or third-party payors, if applicable.</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Even if we are successful in continuing to expand our pipeline, through our own research and development efforts, the potential product candidates that we identify or for which we acquire rights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product sales in future periods or ever achieve profitability.</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rely on third parties to conduct some of our nonclinical studies and all of our clinical trials. If these third parties do not successfully carry out their contractual duties or meet expected deadlines, we may be unable to obtain regulatory approval for or commercialize our product candidates.</w:t>
      </w:r>
    </w:p>
    <w:p>
      <w:pPr>
        <w:spacing w:after="0" w:line="163" w:lineRule="exact"/>
        <w:rPr>
          <w:sz w:val="20"/>
          <w:szCs w:val="20"/>
          <w:color w:val="auto"/>
        </w:rPr>
      </w:pPr>
    </w:p>
    <w:p>
      <w:pPr>
        <w:jc w:val="both"/>
        <w:ind w:firstLine="324"/>
        <w:spacing w:after="0" w:line="218" w:lineRule="auto"/>
        <w:rPr>
          <w:sz w:val="20"/>
          <w:szCs w:val="20"/>
          <w:color w:val="auto"/>
        </w:rPr>
      </w:pPr>
      <w:r>
        <w:rPr>
          <w:rFonts w:ascii="Arial" w:cs="Arial" w:eastAsia="Arial" w:hAnsi="Arial"/>
          <w:sz w:val="17"/>
          <w:szCs w:val="17"/>
          <w:color w:val="auto"/>
        </w:rPr>
        <w:t>We do not have the ability to independently conduct clinical trials and, in some cases, nonclinical studies. We rely on medical institutions, clinical investigators, contract laboratories, and other third parties, such as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some of our nonclinical studies and all of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or GCPs, for clinical studies. GLPs and GCPs are regulations and guidelines enforced by the FDA, the Competent Authorities of the Member States of the European Economic Area, or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FDA, the European Medicines Agency, or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our clinical trials, or delay or prevent regulatory approval, limit the commercial profile of an approved label, or result in significant negative consequences following any regulatory approval that is achieved. If tenapanor or any of our other product candidates receives marketing approval and we or others later identify undesirable side effects caused by the product candidate, the ability to market the product candidates could be compromised.</w:t>
      </w:r>
    </w:p>
    <w:p>
      <w:pPr>
        <w:spacing w:after="0" w:line="159"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result in the delay or denial of regulatory approval by the FDA or other comparable foreign regulatory authorities or limit the commercial profile of an approved label. To date, patients treated with tenapanor have experienced drug-related side effects including diarrhea, nausea, vomiting, flatulence, abdominal discomfort, abdominal pain, abdominal distention and changes in electrolytes. In the event that trials conducted by us with tenapanor or trials we conduct with our other product candidates, reveal an unacceptable severity and prevalence of these or other side effects, such trials could be suspended or terminated and the FDA or comparable foreign regulatory authorities could order us to cease further development of or deny approval of tenapanor, or any such other product candidate, for any or all targeted indications. Additionally, despite a positive efficacy profile, the prevalence and/or severity of these or other side effects could cause us to cease further development of a product candidate for a particular indication, or entirely.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In addition, in the event that any of our product candidates receives regulatory approval and we or others later identify undesirable side effects caused by one of our products, a number of potentially significant negative consequences could occur, including:</w:t>
      </w:r>
    </w:p>
    <w:p>
      <w:pPr>
        <w:spacing w:after="0" w:line="163" w:lineRule="exact"/>
        <w:rPr>
          <w:sz w:val="20"/>
          <w:szCs w:val="20"/>
          <w:color w:val="auto"/>
        </w:rPr>
      </w:pPr>
    </w:p>
    <w:p>
      <w:pPr>
        <w:ind w:left="660" w:hanging="333"/>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regulatory authorities may withdraw their approval of the product or seize the product;</w:t>
      </w:r>
    </w:p>
    <w:p>
      <w:pPr>
        <w:spacing w:after="0" w:line="144" w:lineRule="exact"/>
        <w:rPr>
          <w:rFonts w:ascii="Arial" w:cs="Arial" w:eastAsia="Arial" w:hAnsi="Arial"/>
          <w:sz w:val="18"/>
          <w:szCs w:val="18"/>
          <w:color w:val="231F20"/>
        </w:rPr>
      </w:pPr>
    </w:p>
    <w:p>
      <w:pPr>
        <w:ind w:left="660" w:hanging="333"/>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we, or a collaboration partner, may be required to recall the product;</w:t>
      </w:r>
    </w:p>
    <w:p>
      <w:pPr>
        <w:spacing w:after="0" w:line="144" w:lineRule="exact"/>
        <w:rPr>
          <w:rFonts w:ascii="Arial" w:cs="Arial" w:eastAsia="Arial" w:hAnsi="Arial"/>
          <w:sz w:val="18"/>
          <w:szCs w:val="18"/>
          <w:color w:val="231F20"/>
        </w:rPr>
      </w:pPr>
    </w:p>
    <w:p>
      <w:pPr>
        <w:jc w:val="both"/>
        <w:ind w:left="660" w:hanging="333"/>
        <w:spacing w:after="0" w:line="216" w:lineRule="auto"/>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additional restrictions may be imposed on the marketing of the particular product or the manufacturing processes for the product or any component thereof, including the imposition of a Risk Evaluation and Mitigation Strategies, or REMS, plan that may require creation of a Medication Guide outlining the risks of such side effects for distribution to patients, as well as elements to assure safe use of the product, such as a patient registry and training and certification of prescribers;</w:t>
      </w:r>
    </w:p>
    <w:p>
      <w:pPr>
        <w:spacing w:after="0" w:line="121" w:lineRule="exact"/>
        <w:rPr>
          <w:rFonts w:ascii="Arial" w:cs="Arial" w:eastAsia="Arial" w:hAnsi="Arial"/>
          <w:sz w:val="18"/>
          <w:szCs w:val="18"/>
          <w:color w:val="231F20"/>
        </w:rPr>
      </w:pPr>
    </w:p>
    <w:p>
      <w:pPr>
        <w:ind w:left="660" w:hanging="333"/>
        <w:spacing w:after="0"/>
        <w:tabs>
          <w:tab w:leader="none" w:pos="660" w:val="left"/>
        </w:tabs>
        <w:numPr>
          <w:ilvl w:val="0"/>
          <w:numId w:val="22"/>
        </w:numPr>
        <w:rPr>
          <w:rFonts w:ascii="Arial" w:cs="Arial" w:eastAsia="Arial" w:hAnsi="Arial"/>
          <w:sz w:val="17"/>
          <w:szCs w:val="17"/>
          <w:color w:val="231F20"/>
        </w:rPr>
      </w:pPr>
      <w:r>
        <w:rPr>
          <w:rFonts w:ascii="Arial" w:cs="Arial" w:eastAsia="Arial" w:hAnsi="Arial"/>
          <w:sz w:val="17"/>
          <w:szCs w:val="17"/>
          <w:color w:val="auto"/>
        </w:rPr>
        <w:t>we, or a collaboration partner, may be subject to fines, injunctions or the imposition of civil or criminal penalties;</w:t>
      </w:r>
    </w:p>
    <w:p>
      <w:pPr>
        <w:spacing w:after="0" w:line="155"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21" w:lineRule="exact"/>
        <w:rPr>
          <w:rFonts w:ascii="Arial" w:cs="Arial" w:eastAsia="Arial" w:hAnsi="Arial"/>
          <w:sz w:val="18"/>
          <w:szCs w:val="18"/>
          <w:color w:val="231F20"/>
        </w:rPr>
      </w:pPr>
    </w:p>
    <w:p>
      <w:pPr>
        <w:ind w:left="660" w:hanging="333"/>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we could be sued and held liable for harm caused to patients;</w:t>
      </w:r>
    </w:p>
    <w:p>
      <w:pPr>
        <w:spacing w:after="0" w:line="144" w:lineRule="exact"/>
        <w:rPr>
          <w:rFonts w:ascii="Arial" w:cs="Arial" w:eastAsia="Arial" w:hAnsi="Arial"/>
          <w:sz w:val="18"/>
          <w:szCs w:val="18"/>
          <w:color w:val="231F20"/>
        </w:rPr>
      </w:pPr>
    </w:p>
    <w:p>
      <w:pPr>
        <w:ind w:left="660" w:hanging="333"/>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the product may become less competitive; and</w:t>
      </w:r>
    </w:p>
    <w:p>
      <w:pPr>
        <w:spacing w:after="0" w:line="144" w:lineRule="exact"/>
        <w:rPr>
          <w:rFonts w:ascii="Arial" w:cs="Arial" w:eastAsia="Arial" w:hAnsi="Arial"/>
          <w:sz w:val="18"/>
          <w:szCs w:val="18"/>
          <w:color w:val="231F20"/>
        </w:rPr>
      </w:pPr>
    </w:p>
    <w:p>
      <w:pPr>
        <w:ind w:left="660" w:hanging="333"/>
        <w:spacing w:after="0"/>
        <w:tabs>
          <w:tab w:leader="none" w:pos="660" w:val="left"/>
        </w:tabs>
        <w:numPr>
          <w:ilvl w:val="0"/>
          <w:numId w:val="22"/>
        </w:numPr>
        <w:rPr>
          <w:rFonts w:ascii="Arial" w:cs="Arial" w:eastAsia="Arial" w:hAnsi="Arial"/>
          <w:sz w:val="18"/>
          <w:szCs w:val="18"/>
          <w:color w:val="231F20"/>
        </w:rPr>
      </w:pPr>
      <w:r>
        <w:rPr>
          <w:rFonts w:ascii="Arial" w:cs="Arial" w:eastAsia="Arial" w:hAnsi="Arial"/>
          <w:sz w:val="18"/>
          <w:szCs w:val="18"/>
          <w:color w:val="auto"/>
        </w:rPr>
        <w:t>our reputation may suffer</w:t>
      </w:r>
    </w:p>
    <w:p>
      <w:pPr>
        <w:spacing w:after="0" w:line="144"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Any of the foregoing events could prevent us, or a collaboration partner, from achieving or maintaining market acceptance of a particular product candidate, if approved, and could result in the loss of significant revenue to us, which would materially and adversely affect our results of operations and business.</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face substantial competition and our competitors may discover, develop or commercialize products faster or more successfully than us.</w:t>
      </w:r>
    </w:p>
    <w:p>
      <w:pPr>
        <w:spacing w:after="0" w:line="162"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 If approved for marketing by the FDA or other regulatory agencies, tenapanor, as well as our other product candidates, would compete against existing treatments.</w:t>
      </w:r>
    </w:p>
    <w:p>
      <w:pPr>
        <w:spacing w:after="0" w:line="15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For example, tenapanor will, if approved for the treatment of hyperphosphatemia in ESRD patients on dialysis, compete directly with phosphate binders for the treatment of hyperphosphatemia in ESRD patients on dialysis. The various types of phosphate binders commercialized in the United States include the following:</w:t>
      </w:r>
    </w:p>
    <w:p>
      <w:pPr>
        <w:spacing w:after="0" w:line="163" w:lineRule="exact"/>
        <w:rPr>
          <w:sz w:val="20"/>
          <w:szCs w:val="20"/>
          <w:color w:val="auto"/>
        </w:rPr>
      </w:pPr>
    </w:p>
    <w:p>
      <w:pPr>
        <w:ind w:left="660" w:hanging="333"/>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Calcium carbonate (many over-the-counter brands including Tums and Caltrate)</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Calcium acetate (several prescription brands including PhosLo and Phoslyra)</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Lanthanum carbonate (Fosrenol)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Sevelamer hydrochloride (Renagel)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Sevelamer carbonate (Renvela)</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Sucroferric oxyhydroxide (Velphoro)</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3"/>
        </w:numPr>
        <w:rPr>
          <w:rFonts w:ascii="Arial" w:cs="Arial" w:eastAsia="Arial" w:hAnsi="Arial"/>
          <w:sz w:val="18"/>
          <w:szCs w:val="18"/>
          <w:color w:val="231F20"/>
        </w:rPr>
      </w:pPr>
      <w:r>
        <w:rPr>
          <w:rFonts w:ascii="Arial" w:cs="Arial" w:eastAsia="Arial" w:hAnsi="Arial"/>
          <w:sz w:val="18"/>
          <w:szCs w:val="18"/>
          <w:color w:val="auto"/>
        </w:rPr>
        <w:t>Ferric citrate (Auryxia)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The hydrochloride form of sevelamer, Renagel, was launched in the United States by Genzyme Corporation in 1998 prior to its acquisition by Sanofi, and the carbonate form, Renvela, was launched in 2008. Sanofi booked €411 million ($470 million) in worldwide sales of sevelamer during 2018. Generic sevelamer carbonate has been approved in certain jurisdictions in Europe since 2015 and in the U.S. market since June 2017. In addition to the currently marketed phosphate binders, we are aware of at least two other binders in development, including fermagate (Alpharen), an iron-based binder in Phase 3 being developed by Opko Health, Inc., and PT20, an iron-based binder in Phase 3 being developed by Shield Therapeutics.</w:t>
      </w:r>
    </w:p>
    <w:p>
      <w:pPr>
        <w:spacing w:after="0" w:line="165"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In respect of tenapanor for the treatment of IBS-C, numerous treatments exist for constipation and the constipation component of IBS-C, many of which are over-the-counter. These include psyllium husk (such as Metamucil), methylcellulose (such as Citrucel), calcium polycarbophil (such as FiberCon), lactulose (such as Cephulac), polyethylene glycol (such as MiraLax), sennosides (such as Exlax), bisacodyl (such as Ducolax), docusate sodium (such as Colace), magnesium hydroxide (such as Milk of Magnesia), saline enemas (such as Fleet) and sorbitol. These agents are generally inexpensive and work well to temporarily relieve constipation.</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are aware of three prescription products marketed for IBS-C, including Linzess (linaclotide), Amitiza (lubiprostone), and Trulance (plecanatide). Finally, we are also aware of a product that has recently received FDA marketing authorization: tegaserod maleate which was approved by FDA in April 2019 for the treatment of women with IBS-C less than 65 years of age.</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It is possible that our competitors will develop and market drugs or other treatments that are less expensive and more effective than our product candidates, or that will render our product candidates obsolete. It is also possible that our competitors will commercialize competing drugs or treatments before we, or our collaboration partners, can launch any products developed from our product candidates. We also anticipate that we will face increased competition in the future as new companies enter into our target markets.</w:t>
      </w:r>
    </w:p>
    <w:p>
      <w:pPr>
        <w:spacing w:after="0" w:line="16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Our proprietary drug discovery and design platform, and, in particular, APECCS, is a new approach to the discovery, design and development of new product candidates and may not result in any products of commercial value. Furthermore, the APECCS aspects of our drug discovery and design platform may have diminished relevance to our efforts focused on the discovery of targets and therapies for the treatment of renal diseases.</w:t>
      </w:r>
    </w:p>
    <w:p>
      <w:pPr>
        <w:spacing w:after="0" w:line="155"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We have developed a proprietary drug discovery and design platform to enable the identification, screening, testing, design and development of new product candidates, and have developed APECCS as a component of this of this platform. We have utilized APECCS in the design of our small molecules and to identify new and potentially novel targets in the GI tract. However, there can be no assurance that APECCS will be able to identify new targets in the GI tract or that any of these potential targets or other aspects of our proprietary drug discovery and design platform will yield product candidates that could enter clinical development and, ultimately, be commercially valuable. In addition, as we focus our efforts on the discovery and design of therapies for the treatment of cardiorenal diseases, we may need to further develop our proprietary drug discovery and design platform to enhance its usefulness in the identification, screening, testing, design and development of new product candidates for the treatment of cardiorenal diseases. There can be no assurances that we will be successful in such additional development of our platform or that our platform will yield product candidates for the treatment of renal diseases.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experience difficulties in managing our current activities and growth given our level of managerial, operational, financial and other resources.</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spacing w:after="0" w:line="163" w:lineRule="exact"/>
        <w:rPr>
          <w:sz w:val="20"/>
          <w:szCs w:val="20"/>
          <w:color w:val="auto"/>
        </w:rPr>
      </w:pPr>
    </w:p>
    <w:p>
      <w:pPr>
        <w:ind w:left="660" w:hanging="333"/>
        <w:spacing w:after="0" w:line="258" w:lineRule="auto"/>
        <w:tabs>
          <w:tab w:leader="none" w:pos="660" w:val="left"/>
        </w:tabs>
        <w:numPr>
          <w:ilvl w:val="0"/>
          <w:numId w:val="24"/>
        </w:numPr>
        <w:rPr>
          <w:rFonts w:ascii="Arial" w:cs="Arial" w:eastAsia="Arial" w:hAnsi="Arial"/>
          <w:sz w:val="17"/>
          <w:szCs w:val="17"/>
          <w:color w:val="231F20"/>
        </w:rPr>
      </w:pPr>
      <w:r>
        <w:rPr>
          <w:rFonts w:ascii="Arial" w:cs="Arial" w:eastAsia="Arial" w:hAnsi="Arial"/>
          <w:sz w:val="17"/>
          <w:szCs w:val="17"/>
          <w:color w:val="auto"/>
        </w:rPr>
        <w:t>manage our clinical trials effectively, including the Phase 3 trial of tenapanor and the clinical trial evaluating tenapanor as adjuvant therapy to phosphate binders, both of which are being conducted at multiple trial sites;</w:t>
      </w:r>
    </w:p>
    <w:p>
      <w:pPr>
        <w:spacing w:after="0" w:line="146" w:lineRule="exact"/>
        <w:rPr>
          <w:rFonts w:ascii="Arial" w:cs="Arial" w:eastAsia="Arial" w:hAnsi="Arial"/>
          <w:sz w:val="17"/>
          <w:szCs w:val="17"/>
          <w:color w:val="231F20"/>
        </w:rPr>
      </w:pPr>
    </w:p>
    <w:p>
      <w:pPr>
        <w:ind w:left="640" w:hanging="286"/>
        <w:spacing w:after="0" w:line="235" w:lineRule="auto"/>
        <w:tabs>
          <w:tab w:leader="none" w:pos="640" w:val="left"/>
        </w:tabs>
        <w:numPr>
          <w:ilvl w:val="1"/>
          <w:numId w:val="24"/>
        </w:numPr>
        <w:rPr>
          <w:rFonts w:ascii="Arial" w:cs="Arial" w:eastAsia="Arial" w:hAnsi="Arial"/>
          <w:sz w:val="18"/>
          <w:szCs w:val="18"/>
          <w:color w:val="231F20"/>
        </w:rPr>
      </w:pPr>
      <w:r>
        <w:rPr>
          <w:rFonts w:ascii="Arial" w:cs="Arial" w:eastAsia="Arial" w:hAnsi="Arial"/>
          <w:sz w:val="18"/>
          <w:szCs w:val="18"/>
          <w:color w:val="auto"/>
        </w:rPr>
        <w:t>manage our internal research and development efforts effectively while carrying out our contractual obligations to licensors, contractors, collaborators, government agencies and other third parties;</w:t>
      </w:r>
    </w:p>
    <w:p>
      <w:pPr>
        <w:spacing w:after="0" w:line="161" w:lineRule="exact"/>
        <w:rPr>
          <w:rFonts w:ascii="Arial" w:cs="Arial" w:eastAsia="Arial" w:hAnsi="Arial"/>
          <w:sz w:val="18"/>
          <w:szCs w:val="18"/>
          <w:color w:val="231F20"/>
        </w:rPr>
      </w:pPr>
    </w:p>
    <w:p>
      <w:pPr>
        <w:ind w:left="640" w:hanging="286"/>
        <w:spacing w:after="0"/>
        <w:tabs>
          <w:tab w:leader="none" w:pos="640" w:val="left"/>
        </w:tabs>
        <w:numPr>
          <w:ilvl w:val="1"/>
          <w:numId w:val="24"/>
        </w:numPr>
        <w:rPr>
          <w:rFonts w:ascii="Arial" w:cs="Arial" w:eastAsia="Arial" w:hAnsi="Arial"/>
          <w:sz w:val="16"/>
          <w:szCs w:val="16"/>
          <w:color w:val="231F20"/>
        </w:rPr>
      </w:pPr>
      <w:r>
        <w:rPr>
          <w:rFonts w:ascii="Arial" w:cs="Arial" w:eastAsia="Arial" w:hAnsi="Arial"/>
          <w:sz w:val="16"/>
          <w:szCs w:val="16"/>
          <w:color w:val="auto"/>
        </w:rPr>
        <w:t>continue to improve our operational, financial and management controls, reporting systems and procedures; and</w:t>
      </w:r>
    </w:p>
    <w:p>
      <w:pPr>
        <w:spacing w:after="0" w:line="207" w:lineRule="exact"/>
        <w:rPr>
          <w:rFonts w:ascii="Arial" w:cs="Arial" w:eastAsia="Arial" w:hAnsi="Arial"/>
          <w:sz w:val="16"/>
          <w:szCs w:val="16"/>
          <w:color w:val="231F20"/>
        </w:rPr>
      </w:pPr>
    </w:p>
    <w:p>
      <w:pPr>
        <w:ind w:left="640" w:hanging="286"/>
        <w:spacing w:after="0"/>
        <w:tabs>
          <w:tab w:leader="none" w:pos="640" w:val="left"/>
        </w:tabs>
        <w:numPr>
          <w:ilvl w:val="1"/>
          <w:numId w:val="24"/>
        </w:numPr>
        <w:rPr>
          <w:rFonts w:ascii="Arial" w:cs="Arial" w:eastAsia="Arial" w:hAnsi="Arial"/>
          <w:sz w:val="16"/>
          <w:szCs w:val="16"/>
          <w:color w:val="231F20"/>
        </w:rPr>
      </w:pPr>
      <w:r>
        <w:rPr>
          <w:rFonts w:ascii="Arial" w:cs="Arial" w:eastAsia="Arial" w:hAnsi="Arial"/>
          <w:sz w:val="16"/>
          <w:szCs w:val="16"/>
          <w:color w:val="auto"/>
        </w:rPr>
        <w:t>retain and motivate our remaining employees and potentially identify, recruit, and integrate additional employees.</w:t>
      </w:r>
    </w:p>
    <w:p>
      <w:pPr>
        <w:spacing w:after="0" w:line="20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we are unable to maintain or expand our managerial, operational, financial and other resources to the extent required to manage our development and pre-commercialization activities, our business will be materially adversely affected.</w:t>
      </w:r>
    </w:p>
    <w:p>
      <w:pPr>
        <w:spacing w:after="0" w:line="12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b w:val="1"/>
          <w:bCs w:val="1"/>
          <w:i w:val="1"/>
          <w:iCs w:val="1"/>
          <w:color w:val="auto"/>
        </w:rPr>
        <w:t>We rely completely on third parties to manufacture our nonclinical and clinical drug supplies, and we intend to rely on third parties to produce commercial supplies of tenapanor, if approved. Our business would be harmed if those third parties fail to obtain approval of the FDA or comparable regulatory authorities, fail to provide us with sufficient quantities of drug, or fail to do so at acceptable quality levels or prices.</w:t>
      </w:r>
    </w:p>
    <w:p>
      <w:pPr>
        <w:spacing w:after="0" w:line="16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We do not currently have, nor do we plan to acquire, the infrastructure or capability internally to manufacture tenapanor or any of other our product candidates on a commercial scale, or to manufacture our drug supplies for use in the conduct of our nonclinical and clinical studies. The facilities used by our contract manufacturers to manufacture our drug supply must be approved by the FDA pursuant to inspections that will be conducted after an NDA is submitted to the FDA including the NDA we submitted in September 2018. Our ability to control the manufacturing process of our product candidates is limited to the contractual requirements and obligations we impose on our contract manufacturer. Although they are contractually required to so do, we are completely dependent on our contract manufacturing partners for compliance with the regulatory requirements, known as cGMPs, for manufacture of both active drug substances and finished drug products.</w:t>
      </w:r>
    </w:p>
    <w:p>
      <w:pPr>
        <w:spacing w:after="0" w:line="16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require a transfer of technology to such alternative facilities and potentially additional capital investment. In addition, the use of alternative manufacturing facilities would require qualification with the FDA or comparable foreign regulatory authorities, all of which would significantly impact our ability to develop, obtain regulatory approval for or market our product candidates, if approved.</w:t>
      </w:r>
    </w:p>
    <w:p>
      <w:pPr>
        <w:spacing w:after="0" w:line="168"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We rely on our manufacturers to purchase from third-party suppliers the materials necessary to produce our product candidates for our clinical studies. There are a limited number of suppliers for raw materials and certain processes, such as spray drying, that we use to manufacture our drugs,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or processes by our manufacturers. Although we generally do not begin a clinical study unless we believe we have on hand, or will be able to manufacture, a sufficient supply of a product candidate to complete such study, any significant delay or discontinuity in the supply of a product candidate, or the raw material components thereof, for an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ongoing clinical study due to the need to replace a third-party manufacturer could considerably delay completion of our clinical studies, product testing, and potential regulatory approval of our product candidates, which could harm our business and results of operations.</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62"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66" w:lineRule="exact"/>
        <w:rPr>
          <w:sz w:val="20"/>
          <w:szCs w:val="20"/>
          <w:color w:val="auto"/>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decreased demand for our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injury to our reputation;</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costs to defend the related litigation;</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a diversion of management’s time and our resources;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substantial monetary awards to trial participants or patients;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7"/>
          <w:szCs w:val="17"/>
          <w:color w:val="231F20"/>
        </w:rPr>
      </w:pPr>
      <w:r>
        <w:rPr>
          <w:rFonts w:ascii="Arial" w:cs="Arial" w:eastAsia="Arial" w:hAnsi="Arial"/>
          <w:sz w:val="17"/>
          <w:szCs w:val="17"/>
          <w:color w:val="auto"/>
        </w:rPr>
        <w:t>regulatory investigations, product recalls or withdrawals, or labeling, marketing or promotional restrictions;</w:t>
      </w:r>
    </w:p>
    <w:p>
      <w:pPr>
        <w:spacing w:after="0" w:line="196" w:lineRule="exact"/>
        <w:rPr>
          <w:rFonts w:ascii="Arial" w:cs="Arial" w:eastAsia="Arial" w:hAnsi="Arial"/>
          <w:sz w:val="17"/>
          <w:szCs w:val="17"/>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5"/>
        </w:numPr>
        <w:rPr>
          <w:rFonts w:ascii="Arial" w:cs="Arial" w:eastAsia="Arial" w:hAnsi="Arial"/>
          <w:sz w:val="18"/>
          <w:szCs w:val="18"/>
          <w:color w:val="231F20"/>
        </w:rPr>
      </w:pPr>
      <w:r>
        <w:rPr>
          <w:rFonts w:ascii="Arial" w:cs="Arial" w:eastAsia="Arial" w:hAnsi="Arial"/>
          <w:sz w:val="18"/>
          <w:szCs w:val="18"/>
          <w:color w:val="auto"/>
        </w:rPr>
        <w:t>the inability to commercialize or co-promote our product candidates.</w:t>
      </w:r>
    </w:p>
    <w:p>
      <w:pPr>
        <w:spacing w:after="0" w:line="185"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spacing w:after="0" w:line="16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are highly dependent on the services of our President and Chief Executive Officer, Michael Raab and our Chief Development Officer, David Rosenbaum, Ph.D. If we are not able to retain these members of our management team, or recruit additional management and clinical personnel, our business will suffer.</w:t>
      </w:r>
    </w:p>
    <w:p>
      <w:pPr>
        <w:spacing w:after="0" w:line="1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personnel. In particular, we are highly dependent upon Michael Raab, our President and Chief Executive Officer and David Rosenbaum, Ph.D., our Chief Development Officer. The loss of services of either of these individuals could delay or impair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successful development of our product pipeline, completion of our planned clinical trials or the commercialization of our product candidates. Although we have entered into employment agreements with our senior management team, including Mr. Raab and Dr. Rosenbaum, these agreements are terminable at will with or without notice and, therefore, we may not be able to retain their services as expected. Although we have not historically experienced unique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In addition to the competition for personnel, the San Francisco Bay area in particular is characterized by a high cost of living. As such, we could have difficulty attracting experienced personnel to our company and may be required to expend significant financial resources in our employee recruitment and retention efforts.</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spacing w:after="0" w:line="155"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and personal information. It is critical that we and our collaborators, CROs and other contractors and consultants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CROs,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w:t>
      </w:r>
    </w:p>
    <w:p>
      <w:pPr>
        <w:spacing w:after="0" w:line="162"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6"/>
          <w:szCs w:val="16"/>
          <w:color w:val="auto"/>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Moreover, if a computer security breach affects our systems or those of our collaborators, CROs or other contractors,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or HIPAA, as amended by the Health Information Technology for Clinical Health Act of 2009, or HITECH, and its implementing rules and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84" w:lineRule="auto"/>
        <w:rPr>
          <w:sz w:val="20"/>
          <w:szCs w:val="20"/>
          <w:color w:val="auto"/>
        </w:rPr>
      </w:pPr>
      <w:r>
        <w:rPr>
          <w:rFonts w:ascii="Arial" w:cs="Arial" w:eastAsia="Arial" w:hAnsi="Arial"/>
          <w:sz w:val="15"/>
          <w:szCs w:val="15"/>
          <w:b w:val="1"/>
          <w:bCs w:val="1"/>
          <w:i w:val="1"/>
          <w:iCs w:val="1"/>
          <w:color w:val="auto"/>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30"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We incur significant legal, accounting and other expenses as a public company, including costs resulting from public company reporting obligations under the Securities Exchange Act of 1934, as amended, or the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69"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We are subject to Section 404 of The Sarbanes-Oxley Act of 2002, or Section 404, and the related rules of the Securities and Exchange Commission, or SEC, which generally require our management and independent registered public accounting firm to report on the effectiveness of our internal control over financial reporting. Section 404 requires an annual management assessment of the effectiveness of our internal control over financial reporting. However, for so long as we remain an emerging growth company as defined in the Jumpstart Our Business Startups Act of 2012, or JOBS Act, we intend to take advantage of certain exemptions from various reporting requirements that are applicable to public companies that are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controls over financial reporting. We will remain an emerging growth company until December 31, 2019.</w:t>
      </w:r>
    </w:p>
    <w:p>
      <w:pPr>
        <w:spacing w:after="0" w:line="16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spacing w:after="0" w:line="16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have formed in the past, and may form in the future, collaboration partnerships, joint ventures and/or licensing arrangements, and we may not realize the benefits of such collaborations.</w:t>
      </w:r>
    </w:p>
    <w:p>
      <w:pPr>
        <w:spacing w:after="0" w:line="16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have current collaboration partnerships for the commercialization of tenapanor in certain foreign countries, and we currently expect to form additional collaboration partnerships, create joint ventures or enter into additional licensing arrangements with third parties in the United States and abroad that we believe will complement or augment our existing business. In particular, we have formed collaboration partnerships with Kyowa Hakko Kirin Co., Ltd. for commercialization of tenapanor for hyperphosphatemia in Japan, with Shanghai Fosun Pharmaceutical Industrial Development Co. Ltd. for commercialization of tenapanor for hyperphosphatemia and IBS-C in China and related territories, and in Canada with Knight Therapeutics Inc. for commercialization of tenapanor for IBS-C and hyperphosphatemia.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commercialization of our product candidates, which may reduce their competitiveness even if they reach the market. Moreover, we may not be successful in our efforts to establish a collaboration partnerships for tenapanor for IBS-C commercialization in the United States or for any future product candidates and programs on terms that are acceptable to us, or at all. With respect to tenapanor for IBS-C in the United States, this may be because third parties may not view tenapanor for the treatment of IBS-C as having sufficient potential to be successfully commercialized. Additionally, despite third party interest in the commercialization of tenapanor for IBS-C in the United States, we may decide that it is not in the best interests of the Company to enter into such a collaboration partnership. If we are unable to establish a collaboration partnership for the commercialization of IBS-C in the United States under acceptable terms, the commercialization of tenapanor for IBS-C, if approved, could be materially and adversely impacted, which could have a material adverse effect on our business, results of operations, financial condition and prospects. Additionally, we may not be successful in our efforts to establish collaboration partnerships for our other product candidates because our product candidates and programs may be deemed to be at too early of a stage of development for collaborative effort, our research and development pipeline may be viewed as insufficient, and/or third parties may not view such other product candidates and programs as having sufficient potential for commercialization, including the likelihood of an adequate safety and efficacy profile. There is no guarantee that our current collaboration partnerships or any such arrangements we enter into in the future will be successful, or that any collaboration partner will commit sufficient resources to the development, regulatory approval, and commercialization effort for such products, or that such alliances will result in us achieving revenues that justify such transactions.</w:t>
      </w:r>
    </w:p>
    <w:p>
      <w:pPr>
        <w:spacing w:after="0" w:line="12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6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may consider strategic transactions, such as acquisitions of companies, asset purchases, and or in-licensing of products, product candidates or technologies. In addition, if we are unable to access capital on a timely basis and on terms that are acceptable to us, we may be forced to restructure certain aspects of our business or identify and complete one or more strategic collaborations or other transactions in order to fund the development or commercialization of tenapanor or certain of our product candidates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163" w:lineRule="exact"/>
        <w:rPr>
          <w:sz w:val="20"/>
          <w:szCs w:val="20"/>
          <w:color w:val="auto"/>
        </w:rPr>
      </w:pPr>
    </w:p>
    <w:p>
      <w:pPr>
        <w:ind w:left="660" w:hanging="333"/>
        <w:spacing w:after="0" w:line="235" w:lineRule="auto"/>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incurrence of substantial debt or dilutive issuances of equity securities to pay for acquisitions;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higher-than-expected acquisition and integration costs;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write-downs of assets or goodwill or impairment charges;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increased amortization expenses;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6"/>
        </w:numPr>
        <w:rPr>
          <w:rFonts w:ascii="Arial" w:cs="Arial" w:eastAsia="Arial" w:hAnsi="Arial"/>
          <w:sz w:val="18"/>
          <w:szCs w:val="18"/>
          <w:color w:val="231F20"/>
        </w:rPr>
      </w:pPr>
      <w:r>
        <w:rPr>
          <w:rFonts w:ascii="Arial" w:cs="Arial" w:eastAsia="Arial" w:hAnsi="Arial"/>
          <w:sz w:val="18"/>
          <w:szCs w:val="18"/>
          <w:color w:val="auto"/>
        </w:rPr>
        <w:t>difficulty and cost in combining the operations and personnel of any acquired businesses with our operations and personnel;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impairment of relationships with key suppliers or customers of any acquired businesses due to changes in management and ownership; and</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auto"/>
        </w:rPr>
        <w:t>inability to retain key employees of any acquired businesses.</w:t>
      </w:r>
    </w:p>
    <w:p>
      <w:pPr>
        <w:spacing w:after="0" w:line="18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If we seek and obtain approval to commercialize our product candidates outside of the United States, manufacture our product candidates outside of the United States, or otherwise engage in business outside of the United States, a variety of risks associated with international operations could materially adversely affect our business.</w:t>
      </w:r>
    </w:p>
    <w:p>
      <w:pPr>
        <w:spacing w:after="0" w:line="147"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In addition to Japan, China and Canada, we or our collaboration partners may decide to seek marketing approval for certain of our product candidates outside the United States or otherwise engage in business outside the United States, including entering into contractual agreements with third-parties. We currently utilize contract manufacturing organizations located outside of the United States to manufacture our active drug substance for tenapanor. We are subject to additional risks related to entering these international business markets and relationships, including:</w:t>
      </w:r>
    </w:p>
    <w:p>
      <w:pPr>
        <w:spacing w:after="0" w:line="161" w:lineRule="exact"/>
        <w:rPr>
          <w:sz w:val="20"/>
          <w:szCs w:val="20"/>
          <w:color w:val="auto"/>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different regulatory requirements for drug approvals in foreign countries;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differing United States and foreign drug import and export rules;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reduced protection for intellectual property rights in foreign countries;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unexpected changes in tariffs, trade barriers and regulatory requirements;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different reimbursement systems, and different competitive drugs;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economic weakness, including inflation, or political instability in particular foreign economies and markets;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workforce uncertainty in countries where labor unrest is more common than in the United States;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6"/>
          <w:szCs w:val="16"/>
          <w:color w:val="231F20"/>
        </w:rPr>
      </w:pPr>
      <w:r>
        <w:rPr>
          <w:rFonts w:ascii="Arial" w:cs="Arial" w:eastAsia="Arial" w:hAnsi="Arial"/>
          <w:sz w:val="16"/>
          <w:szCs w:val="16"/>
          <w:color w:val="auto"/>
        </w:rPr>
        <w:t>production shortages resulting from any events affecting raw material supply or manufacturing capabilities abroad;</w:t>
      </w:r>
    </w:p>
    <w:p>
      <w:pPr>
        <w:spacing w:after="0" w:line="207" w:lineRule="exact"/>
        <w:rPr>
          <w:rFonts w:ascii="Arial" w:cs="Arial" w:eastAsia="Arial" w:hAnsi="Arial"/>
          <w:sz w:val="16"/>
          <w:szCs w:val="16"/>
          <w:color w:val="231F20"/>
        </w:rPr>
      </w:pPr>
    </w:p>
    <w:p>
      <w:pPr>
        <w:ind w:left="660" w:hanging="333"/>
        <w:spacing w:after="0"/>
        <w:tabs>
          <w:tab w:leader="none" w:pos="660" w:val="left"/>
        </w:tabs>
        <w:numPr>
          <w:ilvl w:val="0"/>
          <w:numId w:val="28"/>
        </w:numPr>
        <w:rPr>
          <w:rFonts w:ascii="Arial" w:cs="Arial" w:eastAsia="Arial" w:hAnsi="Arial"/>
          <w:sz w:val="18"/>
          <w:szCs w:val="18"/>
          <w:color w:val="231F20"/>
        </w:rPr>
      </w:pPr>
      <w:r>
        <w:rPr>
          <w:rFonts w:ascii="Arial" w:cs="Arial" w:eastAsia="Arial" w:hAnsi="Arial"/>
          <w:sz w:val="18"/>
          <w:szCs w:val="18"/>
          <w:color w:val="auto"/>
        </w:rPr>
        <w:t>potential liability resulting from development work conducted by these distributors;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8"/>
        </w:numPr>
        <w:rPr>
          <w:rFonts w:ascii="Arial" w:cs="Arial" w:eastAsia="Arial" w:hAnsi="Arial"/>
          <w:sz w:val="17"/>
          <w:szCs w:val="17"/>
          <w:color w:val="231F20"/>
        </w:rPr>
      </w:pPr>
      <w:r>
        <w:rPr>
          <w:rFonts w:ascii="Arial" w:cs="Arial" w:eastAsia="Arial" w:hAnsi="Arial"/>
          <w:sz w:val="17"/>
          <w:szCs w:val="17"/>
          <w:color w:val="auto"/>
        </w:rPr>
        <w:t>business interruptions resulting from geopolitical actions, including war and terrorism, or natural disasters.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Our business involves the use of hazardous materials and we and third-parties with whom we contract must comply with environmental laws and regulations, which can be expensive and restrict how we do business.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the global economic environment.</w:t>
      </w:r>
    </w:p>
    <w:p>
      <w:pPr>
        <w:spacing w:after="0" w:line="185"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presidential elections, other political influences and inflationary pressures. Our results of operations could be adversely affected by general conditions in the global economy and in the global financial markets. The 2008 global financial crisis caused extreme volatility and disruptions in the capital and credit markets. We cannot anticipate all the ways in which the global economic climate and global financial market conditions could adversely impact our business in the future.</w:t>
      </w:r>
    </w:p>
    <w:p>
      <w:pPr>
        <w:spacing w:after="0" w:line="168"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16"/>
          <w:szCs w:val="16"/>
          <w:color w:val="auto"/>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United States result in widespread and prolonged unemployment, either regionally or on a national basis, or if certain provisions of the Patient Protection and Affordable Care Act, as amended by the Health Care and Education Reconciliation Act, collectively known as the Affordable Care Act,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be adversely affected by earthquakes or other natural disasters and our business continuity and disaster recovery plans may not adequately protect us from a serious disaster.</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spacing w:after="0" w:line="16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ultimately unable to obtain regulatory approval for our product candidates, our business will be substantially harmed.</w:t>
      </w:r>
    </w:p>
    <w:p>
      <w:pPr>
        <w:spacing w:after="0" w:line="163" w:lineRule="exact"/>
        <w:rPr>
          <w:sz w:val="20"/>
          <w:szCs w:val="20"/>
          <w:color w:val="auto"/>
        </w:rPr>
      </w:pPr>
    </w:p>
    <w:p>
      <w:pPr>
        <w:jc w:val="both"/>
        <w:ind w:firstLine="324"/>
        <w:spacing w:after="0" w:line="223" w:lineRule="auto"/>
        <w:rPr>
          <w:sz w:val="20"/>
          <w:szCs w:val="20"/>
          <w:color w:val="auto"/>
        </w:rPr>
      </w:pPr>
      <w:r>
        <w:rPr>
          <w:rFonts w:ascii="Arial" w:cs="Arial" w:eastAsia="Arial" w:hAnsi="Arial"/>
          <w:sz w:val="17"/>
          <w:szCs w:val="17"/>
          <w:color w:val="auto"/>
        </w:rPr>
        <w:t>The research, testing, manufacturing, labeling, approval, selling, import, export, marketing and distribution of drug products are subject to extensive regulation by the FDA and other regulatory authorities in the United States and other countries, which regulations differ from country to country. Neither we nor any of our collaboration partners is permitted to market any drug product in the United States until we receive marketing approval from the FDA. In September 2018, we submitted our first NDA to the FDA seeking marketing approval for tenapanor for IBS-C. Neither we, nor our collaboration partners have submitted additional applications or obtained marketing approval for any of our product candidates anywhere in the world. Obtaining regulatory approval of a NDA can be a lengthy, expensive and uncertain process. In addition, failure to comply with FDA and other applicable United States and foreign regulatory requirements may subject us to administrative or judicially imposed sanctions or other actions, including:</w:t>
      </w:r>
    </w:p>
    <w:p>
      <w:pPr>
        <w:spacing w:after="0" w:line="162" w:lineRule="exact"/>
        <w:rPr>
          <w:sz w:val="20"/>
          <w:szCs w:val="20"/>
          <w:color w:val="auto"/>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warning letters;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civil and criminal penalties;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injunctions;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withdrawal of regulatory approval of products;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product seizure or detention;</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product recalls;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total or partial suspension of production;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auto"/>
        </w:rPr>
        <w:t>refusal to approve pending NDAs or supplements to approved NDAs.</w:t>
      </w:r>
    </w:p>
    <w:p>
      <w:pPr>
        <w:spacing w:after="0" w:line="185"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Prior to obtaining approval to commercialize a drug candidate in the United States or abroad, we or our collaboration partners must demonstrate with substantial evidence from well-controlled clinical trials, and to the satisfaction of the FDA or other foreign regulatory agencies, that such drug candidates are safe and effective for their intended uses. The number of nonclinical studies and clinical trials that will be required for FDA approval varies depending on the drug candidate, the disease or condition that the drug candidate is designed to address, and the regulations applicable to any particular drug candidate. Results from nonclinical studies and clinical trials can be interpreted in different ways. Even if we believe the nonclinical or clinical data for our drug candidates are promising, such data may not be sufficient to support approval by the FDA and other regulatory authorities. Administering drug candidates to humans may produce undesirable side effects, which could interrupt, delay or halt clinical trials and result in the FDA or other regulatory authorities denying approval of a drug candidate for any or all targeted indications.</w:t>
      </w:r>
    </w:p>
    <w:p>
      <w:pPr>
        <w:spacing w:after="0" w:line="164"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typically takes many years following the commencement of clinical studies, and depends upon numerous factors. The FDA and comparable foreign authorities have substantial discretion in the approval process and we may encounter matters with the FDA or such comparable authorities that requires us to expend additional time and resources and delay or prevent the approval of our product candidates. For example, the FDA may require us to conduct additional studies or trials for drug product either prior to or post-approval, such as additional drug-drug interaction studies or safety or efficacy studies 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9" w:lineRule="auto"/>
        <w:rPr>
          <w:sz w:val="20"/>
          <w:szCs w:val="20"/>
          <w:color w:val="auto"/>
        </w:rPr>
      </w:pPr>
      <w:r>
        <w:rPr>
          <w:rFonts w:ascii="Arial" w:cs="Arial" w:eastAsia="Arial" w:hAnsi="Arial"/>
          <w:sz w:val="17"/>
          <w:szCs w:val="17"/>
          <w:color w:val="auto"/>
        </w:rPr>
        <w:t>trials, or it may object to elements of our clinical development program such as the number of subjects in our current clinical trials from the United States.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w:t>
      </w:r>
    </w:p>
    <w:p>
      <w:pPr>
        <w:spacing w:after="0" w:line="161"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62" w:lineRule="exact"/>
        <w:rPr>
          <w:sz w:val="20"/>
          <w:szCs w:val="20"/>
          <w:color w:val="auto"/>
        </w:rPr>
      </w:pPr>
    </w:p>
    <w:p>
      <w:pPr>
        <w:ind w:left="660" w:hanging="333"/>
        <w:spacing w:after="0" w:line="235" w:lineRule="auto"/>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design or implementation of our, or our collaboration partners’, clinical studies;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disagree with the interpretation of data from preclinical studies or clinical studies;</w:t>
      </w:r>
    </w:p>
    <w:p>
      <w:pPr>
        <w:spacing w:after="0" w:line="161" w:lineRule="exact"/>
        <w:rPr>
          <w:rFonts w:ascii="Arial" w:cs="Arial" w:eastAsia="Arial" w:hAnsi="Arial"/>
          <w:sz w:val="18"/>
          <w:szCs w:val="18"/>
          <w:color w:val="231F20"/>
        </w:rPr>
      </w:pPr>
    </w:p>
    <w:p>
      <w:pPr>
        <w:ind w:left="660" w:hanging="333"/>
        <w:spacing w:after="0" w:line="258" w:lineRule="auto"/>
        <w:tabs>
          <w:tab w:leader="none" w:pos="660" w:val="left"/>
        </w:tabs>
        <w:numPr>
          <w:ilvl w:val="0"/>
          <w:numId w:val="30"/>
        </w:numPr>
        <w:rPr>
          <w:rFonts w:ascii="Arial" w:cs="Arial" w:eastAsia="Arial" w:hAnsi="Arial"/>
          <w:sz w:val="17"/>
          <w:szCs w:val="17"/>
          <w:color w:val="231F20"/>
        </w:rPr>
      </w:pPr>
      <w:r>
        <w:rPr>
          <w:rFonts w:ascii="Arial" w:cs="Arial" w:eastAsia="Arial" w:hAnsi="Arial"/>
          <w:sz w:val="17"/>
          <w:szCs w:val="17"/>
          <w:color w:val="auto"/>
        </w:rPr>
        <w:t>the data collected from clinical studies of our product candidates may not be sufficient to support the submission of a NDA or other submission or to obtain regulatory approval in the United States or elsewhere;</w:t>
      </w:r>
    </w:p>
    <w:p>
      <w:pPr>
        <w:spacing w:after="0" w:line="146"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we or our collaboration partners may be unable to demonstrate to the FDA or comparable foreign regulatory authorities that a product candidate’s risk-benefit ratio for its proposed indication is acceptable;</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responsible for clinical and commercial supplies; and</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0"/>
        </w:numPr>
        <w:rPr>
          <w:rFonts w:ascii="Arial" w:cs="Arial" w:eastAsia="Arial" w:hAnsi="Arial"/>
          <w:sz w:val="18"/>
          <w:szCs w:val="18"/>
          <w:color w:val="231F20"/>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This lengthy approval process, as well as the unpredictability of the results of clinical studies, may result in our failure and/or that of our collaboration partners to obtain regulatory approval to market any of our product candidates, which would significantly harm our business, results of operations, and prospects. Additionally, if the FDA requires that we conduct additional clinical studies, places limitations in our label, delays approval to market our product candidates or limits the use of our products, our business and results of operations may be harmed.</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Even if we receive regulatory approval for a product candidate, we will be subject to ongoing regulatory obligations and continued regulatory review, which may result in significant additional expense. Additionally, any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Even if a drug is approved by the FDA or foreign regulatory authorities, the manufacturing processes, labeling, packaging, distribution, adverse event reporting, storage, advertising, promotion and recordkeeping for the product will be subject to extensive and ongoing regulatory requirements. These requirements include submissions of safety and other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post-marketing information and reports, registration, as well as continued compliance with cGMPs and GCP regulations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63" w:lineRule="exact"/>
        <w:rPr>
          <w:sz w:val="20"/>
          <w:szCs w:val="20"/>
          <w:color w:val="auto"/>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warning letters, fines or holds on clinical trials;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injunctions or the imposition of civil or criminal penalties;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suspension or revocation of existing regulatory approvals;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suspension of any of our ongoing clinical trials;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refusal to approve pending applications or supplements to approved applications submitted by us;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restrictions on our or our contract manufacturers’ operations; or</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1"/>
        </w:numPr>
        <w:rPr>
          <w:rFonts w:ascii="Arial" w:cs="Arial" w:eastAsia="Arial" w:hAnsi="Arial"/>
          <w:sz w:val="18"/>
          <w:szCs w:val="18"/>
          <w:color w:val="231F20"/>
        </w:rPr>
      </w:pPr>
      <w:r>
        <w:rPr>
          <w:rFonts w:ascii="Arial" w:cs="Arial" w:eastAsia="Arial" w:hAnsi="Arial"/>
          <w:sz w:val="18"/>
          <w:szCs w:val="18"/>
          <w:color w:val="auto"/>
        </w:rPr>
        <w:t>product seizure or detention, or refusal to permit the import or export of products.</w:t>
      </w:r>
    </w:p>
    <w:p>
      <w:pPr>
        <w:spacing w:after="0" w:line="18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In addition,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these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and our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63"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6"/>
          <w:szCs w:val="16"/>
          <w:color w:val="auto"/>
        </w:rPr>
        <w:t>All entities involved in the preparation of product candidates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or comparable regulatory filing on a timely basis and must adhere to cGMP regulations enforced by the FDA and other regulatory agencies through their facilities inspection programs. The facilities and quality systems of some or all of our third-party contractors must pass a pre-approval inspection for compliance with the applicable regulations as a condition of regulatory approval of our product candidates.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73"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If we or any of our third-party manufacturers fail to maintain regulatory compliance, the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62"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If we fail to comply or are found to have failed to comply with FDA and other regulations related to the promotion of our products for unapproved uses, we could be subject to criminal penalties, substantial fines or other sanctions and damage awards.</w:t>
      </w:r>
    </w:p>
    <w:p>
      <w:pPr>
        <w:spacing w:after="0" w:line="163"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7"/>
          <w:szCs w:val="17"/>
          <w:color w:val="auto"/>
        </w:rPr>
        <w:t>The regulations relating to the promotion of products for unapproved uses are complex and subject to substantial interpretation by the FDA and other government agencies. If tenapanor or our other product candidates receive marketing approval, we and our collaboration partners, if any,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intend to implement compliance and training programs designed to ensure that our sales and marketing practices comply with applicable regulations regarding off-label promotion. Notwithstanding these programs, the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spacing w:after="0" w:line="164"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63"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7"/>
          <w:szCs w:val="17"/>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16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If approved, tenapanor and our other product candidates may cause or contribute to adverse medical events that we are required to report to regulatory agencies and if we fail to do so we could be subject to sanctions that would materially harm our business.</w:t>
      </w:r>
    </w:p>
    <w:p>
      <w:pPr>
        <w:spacing w:after="0" w:line="163" w:lineRule="exact"/>
        <w:rPr>
          <w:sz w:val="20"/>
          <w:szCs w:val="20"/>
          <w:color w:val="auto"/>
        </w:rPr>
      </w:pPr>
    </w:p>
    <w:p>
      <w:pPr>
        <w:jc w:val="both"/>
        <w:ind w:firstLine="324"/>
        <w:spacing w:after="0" w:line="209" w:lineRule="auto"/>
        <w:rPr>
          <w:sz w:val="20"/>
          <w:szCs w:val="20"/>
          <w:color w:val="auto"/>
        </w:rPr>
      </w:pPr>
      <w:r>
        <w:rPr>
          <w:rFonts w:ascii="Arial" w:cs="Arial" w:eastAsia="Arial" w:hAnsi="Arial"/>
          <w:sz w:val="18"/>
          <w:szCs w:val="18"/>
          <w:color w:val="auto"/>
        </w:rPr>
        <w:t>Some participants in clinical studies of tenapanor have reported adverse effects after being treated with tenapanor, including diarrhea, nausea, flatulence, abdominal discomfort, abdominal pain, abdominal distention and changes in electrolytes. If we are successful in commercializing any products, FDA and foreign regulatory agency regulations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FDA or a foreign regulatory agency could take action, including criminal prosecution, the imposition of civil monetary penalties, seizure of our products or delay in approval or clearance of future products.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collaboration partners, consultants and vendors may engage in misconduct or other improper activities, including noncompliance with regulatory standards and requirements.</w:t>
      </w:r>
    </w:p>
    <w:p>
      <w:pPr>
        <w:spacing w:after="0" w:line="163" w:lineRule="exact"/>
        <w:rPr>
          <w:sz w:val="20"/>
          <w:szCs w:val="20"/>
          <w:color w:val="auto"/>
        </w:rPr>
      </w:pPr>
    </w:p>
    <w:p>
      <w:pPr>
        <w:jc w:val="both"/>
        <w:ind w:firstLine="324"/>
        <w:spacing w:after="0"/>
        <w:rPr>
          <w:sz w:val="20"/>
          <w:szCs w:val="20"/>
          <w:color w:val="auto"/>
        </w:rPr>
      </w:pPr>
      <w:r>
        <w:rPr>
          <w:rFonts w:ascii="Arial" w:cs="Arial" w:eastAsia="Arial" w:hAnsi="Arial"/>
          <w:sz w:val="16"/>
          <w:szCs w:val="16"/>
          <w:color w:val="auto"/>
        </w:rPr>
        <w:t>We are exposed to the risk that our employees, independent contractors, principal investigators, CROs, collaboration partners, consultants and vendors may engage in fraudulent conduct or other illegal activity. Misconduct by these parties could include intentional, reckless and/or negligent conduct or unauthorized activities that violate any of the following: FDA regulations, including those laws that require the reporting of true, complete and accurate financial and other information to the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23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Failure to obtain regulatory approvals in foreign jurisdictions would prevent us from marketing our products internationally.</w:t>
      </w:r>
    </w:p>
    <w:p>
      <w:pPr>
        <w:spacing w:after="0" w:line="162"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In order to market any product in the EEA (which is composed of the 28 Member States of the European Union plus Norway, Iceland and Liechtenstein), and many other foreign jurisdictions, separate regulatory approvals are required. In the EEA, medicinal products can only be commercialized after obtaining a Marketing Authorization, or MA. Before granting the MA, the EMA or the competent authorities of the Member States of the EEA make an assessment of the risk-benefit balance of the product on the basis of scientific criteria concerning its quality, safety and efficacy.</w:t>
      </w:r>
    </w:p>
    <w:p>
      <w:pPr>
        <w:spacing w:after="0" w:line="161"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color w:val="auto"/>
        </w:rPr>
        <w:t>The approval procedures vary among countries and can involve additional clinical testing, and the time required to obtain approval may differ from that required to obtain FDA approval. Clinical trials conducted in one country may not be accepted by regulatory authorities in other countries. Approval by the FDA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be able to file for regulatory approvals or to do so on a timely basis, and even if we do file we may not receive necessary approvals to commercialize our products in any market.</w:t>
      </w:r>
    </w:p>
    <w:p>
      <w:pPr>
        <w:spacing w:after="0" w:line="166"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and our collaboration partners may be subject to healthcare laws, regulation and enforcement; our failure or the failure of any such collaboration partners to comply with these laws could have a material adverse effect on our results of operations and financial conditions.</w:t>
      </w:r>
    </w:p>
    <w:p>
      <w:pPr>
        <w:spacing w:after="0" w:line="16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products, we and our collaboration partners may be subject to additional healthcare statutory and regulatory requirements and enforcement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by the federal government and the states and foreign governments in which we conduct our business. The laws that may affect our ability to operate as a commercial organization include:</w:t>
      </w:r>
    </w:p>
    <w:p>
      <w:pPr>
        <w:spacing w:after="0" w:line="162" w:lineRule="exact"/>
        <w:rPr>
          <w:sz w:val="20"/>
          <w:szCs w:val="20"/>
          <w:color w:val="auto"/>
        </w:rPr>
      </w:pPr>
    </w:p>
    <w:p>
      <w:pPr>
        <w:jc w:val="both"/>
        <w:ind w:left="660" w:hanging="333"/>
        <w:spacing w:after="0" w:line="232" w:lineRule="auto"/>
        <w:tabs>
          <w:tab w:leader="none" w:pos="660" w:val="left"/>
        </w:tabs>
        <w:numPr>
          <w:ilvl w:val="0"/>
          <w:numId w:val="32"/>
        </w:numPr>
        <w:rPr>
          <w:rFonts w:ascii="Arial" w:cs="Arial" w:eastAsia="Arial" w:hAnsi="Arial"/>
          <w:sz w:val="17"/>
          <w:szCs w:val="17"/>
          <w:color w:val="231F20"/>
        </w:rPr>
      </w:pPr>
      <w:r>
        <w:rPr>
          <w:rFonts w:ascii="Arial" w:cs="Arial" w:eastAsia="Arial" w:hAnsi="Arial"/>
          <w:sz w:val="17"/>
          <w:szCs w:val="17"/>
          <w:color w:val="auto"/>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162" w:lineRule="exact"/>
        <w:rPr>
          <w:rFonts w:ascii="Arial" w:cs="Arial" w:eastAsia="Arial" w:hAnsi="Arial"/>
          <w:sz w:val="17"/>
          <w:szCs w:val="17"/>
          <w:color w:val="231F20"/>
        </w:rPr>
      </w:pPr>
    </w:p>
    <w:p>
      <w:pPr>
        <w:jc w:val="both"/>
        <w:ind w:left="660" w:hanging="333"/>
        <w:spacing w:after="0" w:line="224" w:lineRule="auto"/>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the federal Health Insurance Portability and Accountability Act of 1996, as amended by the Health Information Technology for Economic and Clinical Health Act, which governs the conduct of certain electronic healthcare transactions and protects the security and privacy of protected health information;</w:t>
      </w:r>
    </w:p>
    <w:p>
      <w:pPr>
        <w:spacing w:after="0" w:line="163" w:lineRule="exact"/>
        <w:rPr>
          <w:rFonts w:ascii="Arial" w:cs="Arial" w:eastAsia="Arial" w:hAnsi="Arial"/>
          <w:sz w:val="18"/>
          <w:szCs w:val="18"/>
          <w:color w:val="231F20"/>
        </w:rPr>
      </w:pPr>
    </w:p>
    <w:p>
      <w:pPr>
        <w:jc w:val="both"/>
        <w:ind w:left="660" w:hanging="333"/>
        <w:spacing w:after="0" w:line="232" w:lineRule="auto"/>
        <w:tabs>
          <w:tab w:leader="none" w:pos="660" w:val="left"/>
        </w:tabs>
        <w:numPr>
          <w:ilvl w:val="0"/>
          <w:numId w:val="32"/>
        </w:numPr>
        <w:rPr>
          <w:rFonts w:ascii="Arial" w:cs="Arial" w:eastAsia="Arial" w:hAnsi="Arial"/>
          <w:sz w:val="17"/>
          <w:szCs w:val="17"/>
          <w:color w:val="231F20"/>
        </w:rPr>
      </w:pPr>
      <w:r>
        <w:rPr>
          <w:rFonts w:ascii="Arial" w:cs="Arial" w:eastAsia="Arial" w:hAnsi="Arial"/>
          <w:sz w:val="17"/>
          <w:szCs w:val="17"/>
          <w:color w:val="auto"/>
        </w:rPr>
        <w:t>the federal physician sunshine requirements under the Affordable Care Act, which requires manufacturers of drugs, devices, biologics, and medical supplies to report annually to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62"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161" w:lineRule="exact"/>
        <w:rPr>
          <w:rFonts w:ascii="Arial" w:cs="Arial" w:eastAsia="Arial" w:hAnsi="Arial"/>
          <w:sz w:val="18"/>
          <w:szCs w:val="18"/>
          <w:color w:val="231F20"/>
        </w:rPr>
      </w:pPr>
    </w:p>
    <w:p>
      <w:pPr>
        <w:jc w:val="both"/>
        <w:ind w:left="660" w:hanging="333"/>
        <w:spacing w:after="0" w:line="238" w:lineRule="auto"/>
        <w:tabs>
          <w:tab w:leader="none" w:pos="660" w:val="left"/>
        </w:tabs>
        <w:numPr>
          <w:ilvl w:val="0"/>
          <w:numId w:val="32"/>
        </w:numPr>
        <w:rPr>
          <w:rFonts w:ascii="Arial" w:cs="Arial" w:eastAsia="Arial" w:hAnsi="Arial"/>
          <w:sz w:val="17"/>
          <w:szCs w:val="17"/>
          <w:color w:val="231F20"/>
        </w:rPr>
      </w:pPr>
      <w:r>
        <w:rPr>
          <w:rFonts w:ascii="Arial" w:cs="Arial" w:eastAsia="Arial" w:hAnsi="Arial"/>
          <w:sz w:val="17"/>
          <w:szCs w:val="17"/>
          <w:color w:val="auto"/>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spacing w:after="0" w:line="161" w:lineRule="exact"/>
        <w:rPr>
          <w:rFonts w:ascii="Arial" w:cs="Arial" w:eastAsia="Arial" w:hAnsi="Arial"/>
          <w:sz w:val="17"/>
          <w:szCs w:val="17"/>
          <w:color w:val="231F20"/>
        </w:rPr>
      </w:pPr>
    </w:p>
    <w:p>
      <w:pPr>
        <w:jc w:val="both"/>
        <w:ind w:left="660" w:hanging="333"/>
        <w:spacing w:after="0" w:line="219" w:lineRule="auto"/>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pricing information and marketing expenditures; and state laws governing the privacy and security of health information in certain circumstances, many of which differ from each other in significant ways, thus complicating compliance efforts; and</w:t>
      </w:r>
    </w:p>
    <w:p>
      <w:pPr>
        <w:spacing w:after="0" w:line="162"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2"/>
        </w:numPr>
        <w:rPr>
          <w:rFonts w:ascii="Arial" w:cs="Arial" w:eastAsia="Arial" w:hAnsi="Arial"/>
          <w:sz w:val="18"/>
          <w:szCs w:val="18"/>
          <w:color w:val="231F20"/>
        </w:rPr>
      </w:pPr>
      <w:r>
        <w:rPr>
          <w:rFonts w:ascii="Arial" w:cs="Arial" w:eastAsia="Arial" w:hAnsi="Arial"/>
          <w:sz w:val="18"/>
          <w:szCs w:val="18"/>
          <w:color w:val="auto"/>
        </w:rPr>
        <w:t>European and other foreign law equivalents of each of the laws, including reporting requirements detailing interactions with and payments to healthcare providers.</w:t>
      </w:r>
    </w:p>
    <w:p>
      <w:pPr>
        <w:spacing w:after="0" w:line="16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Further, the Affordable Care Act, among other things, amends the intent requirement of the federal anti-kickback and criminal health care fraud statutes.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statutes.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our product candidates and to produce, market and distribute our products after clearance or approval is obtained.</w:t>
      </w:r>
    </w:p>
    <w:p>
      <w:pPr>
        <w:spacing w:after="0" w:line="163"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62" w:lineRule="exact"/>
        <w:rPr>
          <w:sz w:val="20"/>
          <w:szCs w:val="20"/>
          <w:color w:val="auto"/>
        </w:rPr>
      </w:pPr>
    </w:p>
    <w:p>
      <w:pPr>
        <w:ind w:left="660" w:hanging="333"/>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additional clinical trials to be conducted prior to obtaining approval;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changes to manufacturing methods;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recall, replacement, or discontinuance of one or more of our products;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3"/>
        </w:numPr>
        <w:rPr>
          <w:rFonts w:ascii="Arial" w:cs="Arial" w:eastAsia="Arial" w:hAnsi="Arial"/>
          <w:sz w:val="18"/>
          <w:szCs w:val="18"/>
          <w:color w:val="231F20"/>
        </w:rPr>
      </w:pPr>
      <w:r>
        <w:rPr>
          <w:rFonts w:ascii="Arial" w:cs="Arial" w:eastAsia="Arial" w:hAnsi="Arial"/>
          <w:sz w:val="18"/>
          <w:szCs w:val="18"/>
          <w:color w:val="auto"/>
        </w:rPr>
        <w:t>additional record keeping.</w:t>
      </w:r>
    </w:p>
    <w:p>
      <w:pPr>
        <w:spacing w:after="0" w:line="185"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spacing w:after="0" w:line="16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In addition, the full impact of recent healthcare reform and other changes in the healthcare industry and in healthcare spending is currently unknown, and may adversely affect our business model. In the United States, the Affordable Care Act was enacted in 2010 with a goal of reducing the cost of healthcare and substantially changing the way healthcare is financed by both government and private insurers. The Affordable Care Act,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The Bipartisan Budget Act of 2018 increased this discount to 70% beginning in January 2019.</w:t>
      </w:r>
    </w:p>
    <w:p>
      <w:pPr>
        <w:spacing w:after="0" w:line="163" w:lineRule="exact"/>
        <w:rPr>
          <w:sz w:val="20"/>
          <w:szCs w:val="20"/>
          <w:color w:val="auto"/>
        </w:rPr>
      </w:pPr>
    </w:p>
    <w:p>
      <w:pPr>
        <w:jc w:val="both"/>
        <w:ind w:firstLine="324"/>
        <w:spacing w:after="0" w:line="221" w:lineRule="auto"/>
        <w:rPr>
          <w:sz w:val="20"/>
          <w:szCs w:val="20"/>
          <w:color w:val="auto"/>
        </w:rPr>
      </w:pPr>
      <w:r>
        <w:rPr>
          <w:rFonts w:ascii="Arial" w:cs="Arial" w:eastAsia="Arial" w:hAnsi="Arial"/>
          <w:sz w:val="17"/>
          <w:szCs w:val="17"/>
          <w:color w:val="auto"/>
        </w:rPr>
        <w:t>We currently expect that federal and state legislatures within the United States and foreign governments will continue to consider changes to existing healthcare legislation, and we currently expect that the current Presidential Administration will continue to seek to modify, or repeal all, or certain provisions of, the Affordable Care Act. There is still uncertainty with respect to any regulatory changes, and such regulatory changes could have an impact on coverage and reimbursement for healthcare items and services covered by plans that were otherwise authorized by the Affordable Care Act. However,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16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6"/>
          <w:szCs w:val="16"/>
          <w:color w:val="auto"/>
        </w:rPr>
        <w:t>Other legislative changes have been proposed and adopted in the United States since the Affordable Care Act was enacted. These new laws, among other things, included aggregate reductions of Medicare payments of 2% per fiscal year to providers that will remain in effect through 2027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Additionally, individual states have become increasingly active in passing legislation and implementing regulations designed to control pharmaceutical product pricing, including price or patient reimbursement constraints,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discounts, restrictions on certain product access, and to encourage importation from other countries and bulk purchasing. 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auto"/>
        </w:rPr>
        <w:t>We may become subject to claims alleging infringement of third parties’ patents or proprietary rights and/or claims seeking to invalidate our patents, which would be costly, time consuming and, if successfully asserted against us, delay or prevent the development and commercialization of tenapanor or our other product candidates, or prevent or delay the continued use of our drug discovery and development platform, including APECCS.</w:t>
      </w:r>
    </w:p>
    <w:p>
      <w:pPr>
        <w:spacing w:after="0" w:line="15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6"/>
          <w:szCs w:val="16"/>
          <w:color w:val="auto"/>
        </w:rPr>
        <w:t>There have been many lawsuits and other proceedings asserting infringement or misappropriation of patents and other intellectual property rights in the pharmaceutical and biotechnology industries. There can be no assurances that we will not be subject to claims alleging that the manufacture, use or sale of tenapanor or any other product candidates, or that the use of our drug discovery and development platform, including APECCS,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tenapanor or other product candidates or by the use of APECCS.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tenapanor or our other product candidates, or by the use of APECCS.</w:t>
      </w:r>
    </w:p>
    <w:p>
      <w:pPr>
        <w:spacing w:after="0" w:line="166"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6"/>
          <w:szCs w:val="16"/>
          <w:color w:val="auto"/>
        </w:rPr>
        <w:t>We may be subject to third-party patent infringement claims in the future against us or our that would cause us to incur substantial expenses and, if successful against us,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research, development, manufacturing or sales of the product or product candidate that is the subject of the suit. In addition, if a patent infringement suit were brought against us regarding the use of aspects of our drug discovery and development platform, we could be forced to stop our use of APECCS or of other aspects of our platform, or we could be forced to modify our processes to avoid infringement, which may not be possible at a reasonable cost, if at all, and which could result in substantial delay in our use of our platform for the discovery of new product candidates or potential targets.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or to cease our use of APECCS or some other aspect of our drug discovery and development platform or our business operations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spacing w:after="0" w:line="170"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color w:val="auto"/>
        </w:rPr>
        <w:t>In addition to infringement claims against us, if third parties prepare and file patent applications in the United States that also claim technology similar or identical to ours, we may have to participate in interference or derivation proceedings in the United States Patent and Trademark Office, or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If our intellectual property related to our product candidates is not adequate or if we are not able to protect our trade secrets or our confidential information, we may not be able to compete effectively in our market.</w:t>
      </w:r>
    </w:p>
    <w:p>
      <w:pPr>
        <w:spacing w:after="0" w:line="147"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product candidates, our drug discovery and development platform and our development programs. Any disclosure to or misappropriation by third parties of our confidential or proprietary information could enable competitors to quickly duplicate or surpass our technological achievements, thus eroding our competitive position in our market.</w:t>
      </w:r>
    </w:p>
    <w:p>
      <w:pPr>
        <w:spacing w:after="0" w:line="155"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6"/>
          <w:szCs w:val="16"/>
          <w:color w:val="auto"/>
        </w:rPr>
        <w:t>The strength of patents in the biotechnology and pharmaceutical field involves complex legal and scientific questions and can be uncertain. The patent applications that we own or license may fail to result in issued patents in the United States or in foreign countries. Additionally, our research and development efforts may result in product candidates for which patent protection is limited or not available. Even if patents do successfully issue, third parties may challenge the validity, enforceability or scope thereof, which may result in such patents being narrowed, invalidated or held unenforceable.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have a material adverse impact on our business. Further, if we encounter delays in our clinical trials, the period of time during which we or our collaboration partners could market tenapanor or other product candidates under patent protection would be reduced.</w:t>
      </w:r>
    </w:p>
    <w:p>
      <w:pPr>
        <w:spacing w:after="0" w:line="175"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17"/>
          <w:szCs w:val="17"/>
          <w:color w:val="auto"/>
        </w:rPr>
        <w:t>Even where laws provide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against our intellectual property related to a product candidate, we would lose at least part, and perhaps all, of the patent protection on such product candidate. Such a loss of patent protection would have a material adverse impact on our business. Moreover, our competitors could counterclaim that we infringe their intellectual property, and some of our competitors have substantially greater intellectual property portfolios than we do.</w:t>
      </w:r>
    </w:p>
    <w:p>
      <w:pPr>
        <w:spacing w:after="0" w:line="16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6"/>
          <w:szCs w:val="16"/>
          <w:color w:val="auto"/>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are actively involved in the discovery and design of our potential drug candidates, or in the development of our discovery and design platform, including APECCS, could require us 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pursue legal action to protect our trade secrets and confidential information, which would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spacing w:after="0" w:line="16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16"/>
          <w:szCs w:val="16"/>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spacing w:after="0" w:line="15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thereby potentially extending the term of marketing exclusivity for our product candidates, our business may be materially harmed.</w:t>
      </w:r>
    </w:p>
    <w:p>
      <w:pPr>
        <w:spacing w:after="0" w:line="163"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if any, one of the U.S. patents covering each of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product candidates. Nevertheless, we may not be granted patent term extension either in the United States or in any foreign country because of, for example,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67"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6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85"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similar efforts in all jurisdictions in which we may wish to market our products.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We may be subject to claims that we or our employees have misappropriated the intellectual property, including know-how or trade secrets, of a third party, or claiming ownership of what we regard as our own intellectual property.</w:t>
      </w:r>
    </w:p>
    <w:p>
      <w:pPr>
        <w:spacing w:after="0" w:line="124"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63"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stock price may be volatile and our stockholders may not be able to resell shares of our common stock at or above the price they paid.</w:t>
      </w:r>
    </w:p>
    <w:p>
      <w:pPr>
        <w:spacing w:after="0" w:line="162"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 those discussed in this “Risk Factors” section and others such as:</w:t>
      </w:r>
    </w:p>
    <w:p>
      <w:pPr>
        <w:spacing w:after="0" w:line="163" w:lineRule="exact"/>
        <w:rPr>
          <w:sz w:val="20"/>
          <w:szCs w:val="20"/>
          <w:color w:val="auto"/>
        </w:rPr>
      </w:pPr>
    </w:p>
    <w:p>
      <w:pPr>
        <w:ind w:left="660" w:hanging="333"/>
        <w:spacing w:after="0" w:line="235" w:lineRule="auto"/>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results from, or any delays in, clinical trial programs relating to our product candidates, including the ongoing clinical trials for tenapanor for hyperphosphatemia;</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the success of our efforts to establish a collaboration partnership for the commercialization of tenapanor for IBS-C in the United States;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4"/>
        </w:numPr>
        <w:rPr>
          <w:rFonts w:ascii="Arial" w:cs="Arial" w:eastAsia="Arial" w:hAnsi="Arial"/>
          <w:sz w:val="18"/>
          <w:szCs w:val="18"/>
          <w:color w:val="231F20"/>
        </w:rPr>
      </w:pPr>
      <w:r>
        <w:rPr>
          <w:rFonts w:ascii="Arial" w:cs="Arial" w:eastAsia="Arial" w:hAnsi="Arial"/>
          <w:sz w:val="18"/>
          <w:szCs w:val="18"/>
          <w:color w:val="auto"/>
        </w:rPr>
        <w:t>our ability, alone or with collaboration partners, to commercialize or obtain regulatory approval for tenapanor, or delays in commercializing or obtaining regulatory approval;</w:t>
      </w:r>
    </w:p>
    <w:p>
      <w:pPr>
        <w:spacing w:after="0" w:line="161" w:lineRule="exact"/>
        <w:rPr>
          <w:rFonts w:ascii="Arial" w:cs="Arial" w:eastAsia="Arial" w:hAnsi="Arial"/>
          <w:sz w:val="18"/>
          <w:szCs w:val="18"/>
          <w:color w:val="231F20"/>
        </w:rPr>
      </w:pPr>
    </w:p>
    <w:p>
      <w:pPr>
        <w:jc w:val="both"/>
        <w:ind w:left="660" w:hanging="333"/>
        <w:spacing w:after="0" w:line="232" w:lineRule="auto"/>
        <w:tabs>
          <w:tab w:leader="none" w:pos="660" w:val="left"/>
        </w:tabs>
        <w:numPr>
          <w:ilvl w:val="0"/>
          <w:numId w:val="34"/>
        </w:numPr>
        <w:rPr>
          <w:rFonts w:ascii="Arial" w:cs="Arial" w:eastAsia="Arial" w:hAnsi="Arial"/>
          <w:sz w:val="17"/>
          <w:szCs w:val="17"/>
          <w:color w:val="231F20"/>
        </w:rPr>
      </w:pPr>
      <w:r>
        <w:rPr>
          <w:rFonts w:ascii="Arial" w:cs="Arial" w:eastAsia="Arial" w:hAnsi="Arial"/>
          <w:sz w:val="17"/>
          <w:szCs w:val="17"/>
          <w:color w:val="auto"/>
        </w:rPr>
        <w:t>announcements of regulatory approval, a complete response letter with respect to our NDA filed with the FDA in September 2018 seeking marketing approval for tenapanor for IBS-C, results of regulatory inspections of our facilities or those of our contract manufacturing organizations, or specific label restrictions or patient populations for tenapanor’s use, or changes or delays in the regulatory review process;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announcements relating to our current or future collaboration partnerships;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announcements of therapeutic innovations or new products by us or our competitors;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adverse actions taken by regulatory agencies with respect to our clinical trials, manufacturing supply chain or sales and marketing activities;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changes or developments in laws or regulations applicable to our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success of our testing and clinical trials;</w:t>
      </w:r>
    </w:p>
    <w:p>
      <w:pPr>
        <w:spacing w:after="0" w:line="184" w:lineRule="exact"/>
        <w:rPr>
          <w:rFonts w:ascii="Arial" w:cs="Arial" w:eastAsia="Arial" w:hAnsi="Arial"/>
          <w:sz w:val="18"/>
          <w:szCs w:val="18"/>
          <w:color w:val="231F20"/>
        </w:rPr>
      </w:pPr>
    </w:p>
    <w:p>
      <w:pPr>
        <w:ind w:left="660" w:hanging="333"/>
        <w:spacing w:after="0" w:line="289" w:lineRule="auto"/>
        <w:tabs>
          <w:tab w:leader="none" w:pos="660" w:val="left"/>
        </w:tabs>
        <w:numPr>
          <w:ilvl w:val="0"/>
          <w:numId w:val="35"/>
        </w:numPr>
        <w:rPr>
          <w:rFonts w:ascii="Arial" w:cs="Arial" w:eastAsia="Arial" w:hAnsi="Arial"/>
          <w:sz w:val="16"/>
          <w:szCs w:val="16"/>
          <w:color w:val="231F20"/>
        </w:rPr>
      </w:pPr>
      <w:r>
        <w:rPr>
          <w:rFonts w:ascii="Arial" w:cs="Arial" w:eastAsia="Arial" w:hAnsi="Arial"/>
          <w:sz w:val="16"/>
          <w:szCs w:val="16"/>
          <w:color w:val="auto"/>
        </w:rPr>
        <w:t>failure to meet any of our projected timelines or goals with regard to the clinical development of any of our product candidates, including the ongoing Phase 3 and adjuvant therapy clinical trials for tenapanor for hyperphosphatemia;</w:t>
      </w:r>
    </w:p>
    <w:p>
      <w:pPr>
        <w:spacing w:after="0" w:line="124" w:lineRule="exact"/>
        <w:rPr>
          <w:rFonts w:ascii="Arial" w:cs="Arial" w:eastAsia="Arial" w:hAnsi="Arial"/>
          <w:sz w:val="16"/>
          <w:szCs w:val="16"/>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success of our efforts to acquire or license or discover additional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any intellectual property infringement actions in which we may become involved;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the success of our efforts to obtain adequate intellectual property protection for our product candidates;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announcements concerning our competitors or the pharmaceutical industry in general;</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achievement of expected product sales and profitability;</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manufacture, supply or distribution shortages;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actual or anticipated fluctuations in our operating results;</w:t>
      </w:r>
    </w:p>
    <w:p>
      <w:pPr>
        <w:spacing w:after="0" w:line="184"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FDA or other U.S. or foreign regulatory actions affecting us or our industry or other healthcare reform measures in the United States;</w:t>
      </w:r>
    </w:p>
    <w:p>
      <w:pPr>
        <w:spacing w:after="0" w:line="161"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changes in financial estimates or recommendations by securities analysts;</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trading volume of our common stock;</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5"/>
        </w:numPr>
        <w:rPr>
          <w:rFonts w:ascii="Arial" w:cs="Arial" w:eastAsia="Arial" w:hAnsi="Arial"/>
          <w:sz w:val="18"/>
          <w:szCs w:val="18"/>
          <w:color w:val="231F20"/>
        </w:rPr>
      </w:pPr>
      <w:r>
        <w:rPr>
          <w:rFonts w:ascii="Arial" w:cs="Arial" w:eastAsia="Arial" w:hAnsi="Arial"/>
          <w:sz w:val="18"/>
          <w:szCs w:val="18"/>
          <w:color w:val="auto"/>
        </w:rPr>
        <w:t>sales of our common stock by us, our executive officers and directors or our stockholders in the future;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sales of debt securities and sales or licensing of assets;</w:t>
      </w:r>
    </w:p>
    <w:p>
      <w:pPr>
        <w:spacing w:after="0" w:line="185" w:lineRule="exact"/>
        <w:rPr>
          <w:sz w:val="20"/>
          <w:szCs w:val="20"/>
          <w:color w:val="auto"/>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general economic and market conditions and overall fluctuations in the United States equity markets; and</w:t>
      </w:r>
    </w:p>
    <w:p>
      <w:pPr>
        <w:spacing w:after="0" w:line="184" w:lineRule="exact"/>
        <w:rPr>
          <w:rFonts w:ascii="Arial" w:cs="Arial" w:eastAsia="Arial" w:hAnsi="Arial"/>
          <w:sz w:val="18"/>
          <w:szCs w:val="18"/>
          <w:color w:val="231F20"/>
        </w:rPr>
      </w:pPr>
    </w:p>
    <w:p>
      <w:pPr>
        <w:ind w:left="660" w:hanging="333"/>
        <w:spacing w:after="0"/>
        <w:tabs>
          <w:tab w:leader="none" w:pos="660" w:val="left"/>
        </w:tabs>
        <w:numPr>
          <w:ilvl w:val="0"/>
          <w:numId w:val="36"/>
        </w:numPr>
        <w:rPr>
          <w:rFonts w:ascii="Arial" w:cs="Arial" w:eastAsia="Arial" w:hAnsi="Arial"/>
          <w:sz w:val="18"/>
          <w:szCs w:val="18"/>
          <w:color w:val="231F20"/>
        </w:rPr>
      </w:pPr>
      <w:r>
        <w:rPr>
          <w:rFonts w:ascii="Arial" w:cs="Arial" w:eastAsia="Arial" w:hAnsi="Arial"/>
          <w:sz w:val="18"/>
          <w:szCs w:val="18"/>
          <w:color w:val="auto"/>
        </w:rPr>
        <w:t>the loss of any of our key scientific or management personnel.</w:t>
      </w:r>
    </w:p>
    <w:p>
      <w:pPr>
        <w:spacing w:after="0" w:line="185"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One of our stockholders owns a significant percentage of our stock and, together with our management, will be able to exert significant control over matters subject to stockholder approval.</w:t>
      </w:r>
    </w:p>
    <w:p>
      <w:pPr>
        <w:spacing w:after="0" w:line="16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6"/>
          <w:szCs w:val="16"/>
          <w:color w:val="auto"/>
        </w:rPr>
        <w:t>Based on the number of shares outstanding as of March 31, 2019, our officers, directors and stockholders who hold at least 5% of our stock together beneficially own approximately 29.6% of our outstanding common stock. If these officers, directors, and principal stockholders or a group of our principal stockholders act together, they will be able to exert a significant degree of influence over our management and affairs and control matters requiring stockholder approval, including the election of directors, amendments to our organizational documents, and approval of any merger, sale of assets or other business combination transactions. The interests of this concentration of ownership may not always coincide with our interests or the interests of other stockholders. For instance, officers, directors and principal stockholders, acting together, could cause us to enter into transactions or agreements that we would not otherwise consider. Similarly, this concentration of ownership may have the effect of delaying or preventing a change in control of our company otherwise favored by our other stockholders. As of March 31, 2019, entities affiliated with New Enterprise Associates, or NEA, a venture capital fund associated with one of our directors, collectively beneficially owned approximately 26.2% of our common stock, including shares that NEA has the right to acquire within 60 days of March 31, 2019 upon exercise of warrants held by NEA.</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62" w:lineRule="exact"/>
        <w:rPr>
          <w:sz w:val="20"/>
          <w:szCs w:val="20"/>
          <w:color w:val="auto"/>
        </w:rPr>
      </w:pPr>
    </w:p>
    <w:p>
      <w:pPr>
        <w:jc w:val="both"/>
        <w:ind w:firstLine="324"/>
        <w:spacing w:after="0" w:line="214"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20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the trading price of our common stock could decline. As of March 31, 2019, we had 62,600,443 shares of common stock outstanding. Of those shares, approximately 15.9 million were held by current directors, executive officers and other affiliates, or may otherwise be subject to Rule 144 under the Securities Act of 1933, or the Securities Act.</w:t>
      </w:r>
    </w:p>
    <w:p>
      <w:pPr>
        <w:spacing w:after="0" w:line="155" w:lineRule="exact"/>
        <w:rPr>
          <w:sz w:val="20"/>
          <w:szCs w:val="20"/>
          <w:color w:val="auto"/>
        </w:rPr>
      </w:pPr>
    </w:p>
    <w:p>
      <w:pPr>
        <w:jc w:val="both"/>
        <w:ind w:firstLine="324"/>
        <w:spacing w:after="0" w:line="212" w:lineRule="auto"/>
        <w:rPr>
          <w:sz w:val="20"/>
          <w:szCs w:val="20"/>
          <w:color w:val="auto"/>
        </w:rPr>
      </w:pPr>
      <w:r>
        <w:rPr>
          <w:rFonts w:ascii="Arial" w:cs="Arial" w:eastAsia="Arial" w:hAnsi="Arial"/>
          <w:sz w:val="18"/>
          <w:szCs w:val="18"/>
          <w:color w:val="auto"/>
        </w:rPr>
        <w:t>As of March 31, 2019, approximately 0.9 million shares of common stock issuable upon vesting of outstanding restricted stock units and approximately 6.9 million shares of common stock issuable upon exercise of outstanding options were eligible for sale in the public market to the extent permitted by the provisions of the applicable vesting schedules, and Rule 144 and Rule 701 under the Securities Act. In addition, as of March 31, 2019, approximately 2.2 million shares of common stock issuable upon exercise of outstanding warrants were eligible for sale in the public market. If these additional shares of common stock are issued and sold, or if it is perceived that they will be sold, in the public market, the trading price of our common stock could decline.</w:t>
      </w:r>
    </w:p>
    <w:p>
      <w:pPr>
        <w:spacing w:after="0" w:line="165"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As of March 31, 2019, the holders of approximately 5.6 million shares of our outstanding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spacing w:after="0" w:line="147" w:lineRule="exact"/>
        <w:rPr>
          <w:sz w:val="20"/>
          <w:szCs w:val="20"/>
          <w:color w:val="auto"/>
        </w:rPr>
      </w:pPr>
    </w:p>
    <w:p>
      <w:pPr>
        <w:ind w:left="660" w:hanging="333"/>
        <w:spacing w:after="0" w:line="235"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61"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to remove a director for cause, and the prohibition on removal of directors without cause;</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163" w:lineRule="exact"/>
        <w:rPr>
          <w:rFonts w:ascii="Arial" w:cs="Arial" w:eastAsia="Arial" w:hAnsi="Arial"/>
          <w:sz w:val="18"/>
          <w:szCs w:val="18"/>
          <w:color w:val="231F20"/>
        </w:rPr>
      </w:pPr>
    </w:p>
    <w:p>
      <w:pPr>
        <w:ind w:left="660" w:hanging="333"/>
        <w:spacing w:after="0"/>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ability of our board of directors to alter our bylaws without obtaining stockholder approval;</w:t>
      </w:r>
    </w:p>
    <w:p>
      <w:pPr>
        <w:spacing w:after="0" w:line="184"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61" w:lineRule="exact"/>
        <w:rPr>
          <w:rFonts w:ascii="Arial" w:cs="Arial" w:eastAsia="Arial" w:hAnsi="Arial"/>
          <w:sz w:val="18"/>
          <w:szCs w:val="18"/>
          <w:color w:val="231F20"/>
        </w:rPr>
      </w:pPr>
    </w:p>
    <w:p>
      <w:pPr>
        <w:jc w:val="both"/>
        <w:ind w:left="660" w:hanging="333"/>
        <w:spacing w:after="0" w:line="238" w:lineRule="auto"/>
        <w:tabs>
          <w:tab w:leader="none" w:pos="660" w:val="left"/>
        </w:tabs>
        <w:numPr>
          <w:ilvl w:val="0"/>
          <w:numId w:val="37"/>
        </w:numPr>
        <w:rPr>
          <w:rFonts w:ascii="Arial" w:cs="Arial" w:eastAsia="Arial" w:hAnsi="Arial"/>
          <w:sz w:val="17"/>
          <w:szCs w:val="17"/>
          <w:color w:val="231F20"/>
        </w:rPr>
      </w:pPr>
      <w:r>
        <w:rPr>
          <w:rFonts w:ascii="Arial" w:cs="Arial" w:eastAsia="Arial" w:hAnsi="Arial"/>
          <w:sz w:val="17"/>
          <w:szCs w:val="17"/>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61" w:lineRule="exact"/>
        <w:rPr>
          <w:rFonts w:ascii="Arial" w:cs="Arial" w:eastAsia="Arial" w:hAnsi="Arial"/>
          <w:sz w:val="17"/>
          <w:szCs w:val="17"/>
          <w:color w:val="231F20"/>
        </w:rPr>
      </w:pPr>
    </w:p>
    <w:p>
      <w:pPr>
        <w:jc w:val="both"/>
        <w:ind w:left="660" w:hanging="333"/>
        <w:spacing w:after="0" w:line="219" w:lineRule="auto"/>
        <w:tabs>
          <w:tab w:leader="none" w:pos="660" w:val="left"/>
        </w:tabs>
        <w:numPr>
          <w:ilvl w:val="0"/>
          <w:numId w:val="37"/>
        </w:numPr>
        <w:rPr>
          <w:rFonts w:ascii="Arial" w:cs="Arial" w:eastAsia="Arial" w:hAnsi="Arial"/>
          <w:sz w:val="18"/>
          <w:szCs w:val="18"/>
          <w:color w:val="231F20"/>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6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62"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62"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ind w:firstLine="324"/>
        <w:spacing w:after="0" w:line="258" w:lineRule="auto"/>
        <w:rPr>
          <w:sz w:val="20"/>
          <w:szCs w:val="20"/>
          <w:color w:val="auto"/>
        </w:rPr>
      </w:pPr>
      <w:r>
        <w:rPr>
          <w:rFonts w:ascii="Arial" w:cs="Arial" w:eastAsia="Arial" w:hAnsi="Arial"/>
          <w:sz w:val="17"/>
          <w:szCs w:val="17"/>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147" w:lineRule="exact"/>
        <w:rPr>
          <w:sz w:val="20"/>
          <w:szCs w:val="20"/>
          <w:color w:val="auto"/>
        </w:rPr>
      </w:pPr>
    </w:p>
    <w:p>
      <w:pPr>
        <w:jc w:val="both"/>
        <w:ind w:left="660" w:hanging="333"/>
        <w:spacing w:after="0" w:line="229" w:lineRule="auto"/>
        <w:tabs>
          <w:tab w:leader="none" w:pos="660" w:val="left"/>
        </w:tabs>
        <w:numPr>
          <w:ilvl w:val="0"/>
          <w:numId w:val="38"/>
        </w:numPr>
        <w:rPr>
          <w:rFonts w:ascii="Arial" w:cs="Arial" w:eastAsia="Arial" w:hAnsi="Arial"/>
          <w:sz w:val="17"/>
          <w:szCs w:val="17"/>
          <w:color w:val="231F20"/>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61" w:lineRule="exact"/>
        <w:rPr>
          <w:rFonts w:ascii="Arial" w:cs="Arial" w:eastAsia="Arial" w:hAnsi="Arial"/>
          <w:sz w:val="17"/>
          <w:szCs w:val="17"/>
          <w:color w:val="231F20"/>
        </w:rPr>
      </w:pPr>
    </w:p>
    <w:p>
      <w:pPr>
        <w:ind w:left="660" w:hanging="333"/>
        <w:spacing w:after="0" w:line="235"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161"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63"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63" w:lineRule="exact"/>
        <w:rPr>
          <w:rFonts w:ascii="Arial" w:cs="Arial" w:eastAsia="Arial" w:hAnsi="Arial"/>
          <w:sz w:val="18"/>
          <w:szCs w:val="18"/>
          <w:color w:val="231F20"/>
        </w:rPr>
      </w:pPr>
    </w:p>
    <w:p>
      <w:pPr>
        <w:jc w:val="both"/>
        <w:ind w:left="660" w:hanging="333"/>
        <w:spacing w:after="0" w:line="224"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63" w:lineRule="exact"/>
        <w:rPr>
          <w:rFonts w:ascii="Arial" w:cs="Arial" w:eastAsia="Arial" w:hAnsi="Arial"/>
          <w:sz w:val="18"/>
          <w:szCs w:val="18"/>
          <w:color w:val="231F20"/>
        </w:rPr>
      </w:pPr>
    </w:p>
    <w:p>
      <w:pPr>
        <w:ind w:left="660" w:hanging="333"/>
        <w:spacing w:after="0" w:line="235" w:lineRule="auto"/>
        <w:tabs>
          <w:tab w:leader="none" w:pos="660" w:val="left"/>
        </w:tabs>
        <w:numPr>
          <w:ilvl w:val="0"/>
          <w:numId w:val="38"/>
        </w:numPr>
        <w:rPr>
          <w:rFonts w:ascii="Arial" w:cs="Arial" w:eastAsia="Arial" w:hAnsi="Arial"/>
          <w:sz w:val="18"/>
          <w:szCs w:val="18"/>
          <w:color w:val="231F20"/>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We do not currently intend to pay dividends on our common stock, and, consequently, our stockholders’ ability to achieve a return on their investment will depend on appreciation in the price of our common stock.</w:t>
      </w:r>
    </w:p>
    <w:p>
      <w:pPr>
        <w:spacing w:after="0" w:line="147"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Additionally, the terms of our loan and security agreements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89"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7"/>
          <w:szCs w:val="17"/>
          <w:color w:val="auto"/>
        </w:rPr>
        <w:t>Effective May 16, 2018, we entered into a loan and security agreement pursuant to which the Lenders agreed to provide us a $50.0 million term loan facility. Covenants in the loan and security agreement limit our ability to pay dividends or make other distributions. For additional information refer to “Note 6. Borrowings” in the notes to our unaudited interim condensed consolidated financial statements in Part I, Item 1 of this Quarterly Report on Form 10 Q.</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Purchases of Equity Securities by the Issuer and Affiliated Purchasers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5"/>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4160" w:type="dxa"/>
            <w:vAlign w:val="bottom"/>
            <w:gridSpan w:val="9"/>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4720" w:type="dxa"/>
            <w:vAlign w:val="bottom"/>
            <w:gridSpan w:val="11"/>
          </w:tcPr>
          <w:p>
            <w:pPr>
              <w:ind w:left="260"/>
              <w:spacing w:after="0"/>
              <w:rPr>
                <w:sz w:val="20"/>
                <w:szCs w:val="20"/>
                <w:color w:val="auto"/>
              </w:rPr>
            </w:pPr>
            <w:r>
              <w:rPr>
                <w:rFonts w:ascii="Arial" w:cs="Arial" w:eastAsia="Arial" w:hAnsi="Arial"/>
                <w:sz w:val="18"/>
                <w:szCs w:val="18"/>
                <w:b w:val="1"/>
                <w:bCs w:val="1"/>
                <w:color w:val="auto"/>
              </w:rPr>
              <w:t>Exhibits</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Incorporated by Reference</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160" w:type="dxa"/>
            <w:vAlign w:val="bottom"/>
            <w:gridSpan w:val="9"/>
            <w:vMerge w:val="restart"/>
          </w:tcPr>
          <w:p>
            <w:pPr>
              <w:ind w:left="1100"/>
              <w:spacing w:after="0"/>
              <w:rPr>
                <w:sz w:val="20"/>
                <w:szCs w:val="20"/>
                <w:color w:val="auto"/>
              </w:rPr>
            </w:pPr>
            <w:r>
              <w:rPr>
                <w:rFonts w:ascii="Arial" w:cs="Arial" w:eastAsia="Arial" w:hAnsi="Arial"/>
                <w:sz w:val="14"/>
                <w:szCs w:val="14"/>
                <w:b w:val="1"/>
                <w:bCs w:val="1"/>
                <w:color w:val="auto"/>
              </w:rPr>
              <w:t>Exhibit Description</w:t>
            </w: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Form</w:t>
            </w:r>
          </w:p>
        </w:tc>
        <w:tc>
          <w:tcPr>
            <w:tcW w:w="10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Date</w:t>
            </w: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Filed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60" w:type="dxa"/>
            <w:vAlign w:val="bottom"/>
            <w:gridSpan w:val="9"/>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10.1</w:t>
            </w:r>
          </w:p>
        </w:tc>
        <w:tc>
          <w:tcPr>
            <w:tcW w:w="180" w:type="dxa"/>
            <w:vAlign w:val="bottom"/>
            <w:vMerge w:val="continue"/>
          </w:tcPr>
          <w:p>
            <w:pPr>
              <w:spacing w:after="0"/>
              <w:rPr>
                <w:sz w:val="13"/>
                <w:szCs w:val="13"/>
                <w:color w:val="auto"/>
              </w:rPr>
            </w:pPr>
          </w:p>
        </w:tc>
        <w:tc>
          <w:tcPr>
            <w:tcW w:w="4540" w:type="dxa"/>
            <w:vAlign w:val="bottom"/>
            <w:tcBorders>
              <w:top w:val="single" w:sz="8" w:color="auto"/>
            </w:tcBorders>
            <w:gridSpan w:val="10"/>
          </w:tcPr>
          <w:p>
            <w:pPr>
              <w:spacing w:after="0" w:line="156" w:lineRule="exact"/>
              <w:rPr>
                <w:rFonts w:ascii="Arial" w:cs="Arial" w:eastAsia="Arial" w:hAnsi="Arial"/>
                <w:sz w:val="18"/>
                <w:szCs w:val="18"/>
                <w:color w:val="0000EE"/>
              </w:rPr>
            </w:pPr>
            <w:hyperlink w:anchor="page70">
              <w:r>
                <w:rPr>
                  <w:rFonts w:ascii="Arial" w:cs="Arial" w:eastAsia="Arial" w:hAnsi="Arial"/>
                  <w:sz w:val="18"/>
                  <w:szCs w:val="18"/>
                  <w:color w:val="0000EE"/>
                </w:rPr>
                <w:t>Amended and Restated Non-Employee Director</w:t>
              </w:r>
            </w:hyperlink>
          </w:p>
        </w:tc>
        <w:tc>
          <w:tcPr>
            <w:tcW w:w="1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540" w:type="dxa"/>
            <w:vAlign w:val="bottom"/>
            <w:gridSpan w:val="2"/>
            <w:vMerge w:val="restart"/>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3"/>
                <w:szCs w:val="13"/>
                <w:color w:val="auto"/>
              </w:rPr>
            </w:pPr>
          </w:p>
        </w:tc>
        <w:tc>
          <w:tcPr>
            <w:tcW w:w="3460" w:type="dxa"/>
            <w:vAlign w:val="bottom"/>
            <w:tcBorders>
              <w:top w:val="single" w:sz="8" w:color="0000EE"/>
            </w:tcBorders>
            <w:gridSpan w:val="4"/>
          </w:tcPr>
          <w:p>
            <w:pPr>
              <w:spacing w:after="0" w:line="156" w:lineRule="exact"/>
              <w:rPr>
                <w:rFonts w:ascii="Arial" w:cs="Arial" w:eastAsia="Arial" w:hAnsi="Arial"/>
                <w:sz w:val="18"/>
                <w:szCs w:val="18"/>
                <w:color w:val="0000EE"/>
              </w:rPr>
            </w:pPr>
            <w:hyperlink w:anchor="page70">
              <w:r>
                <w:rPr>
                  <w:rFonts w:ascii="Arial" w:cs="Arial" w:eastAsia="Arial" w:hAnsi="Arial"/>
                  <w:sz w:val="18"/>
                  <w:szCs w:val="18"/>
                  <w:color w:val="0000EE"/>
                </w:rPr>
                <w:t>Compensation Program.</w:t>
              </w:r>
            </w:hyperlink>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Certification of Chief</w:t>
              </w:r>
            </w:hyperlink>
          </w:p>
        </w:tc>
        <w:tc>
          <w:tcPr>
            <w:tcW w:w="2980" w:type="dxa"/>
            <w:vAlign w:val="bottom"/>
            <w:gridSpan w:val="8"/>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Executive Officer Pursuant to</w:t>
              </w:r>
            </w:hyperlink>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8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Section 302 of the Sarbanes-Oxley Act of 2002.</w:t>
              </w:r>
            </w:hyperlink>
          </w:p>
        </w:tc>
        <w:tc>
          <w:tcPr>
            <w:tcW w:w="260" w:type="dxa"/>
            <w:vAlign w:val="bottom"/>
            <w:tcBorders>
              <w:top w:val="single" w:sz="8" w:color="0000EE"/>
            </w:tcBorders>
            <w:gridSpan w:val="2"/>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540" w:type="dxa"/>
            <w:vAlign w:val="bottom"/>
            <w:gridSpan w:val="2"/>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4720" w:type="dxa"/>
            <w:vAlign w:val="bottom"/>
            <w:gridSpan w:val="11"/>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Certification of Chief Financial Officer Pursuant to</w:t>
              </w:r>
            </w:hyperlink>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8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Section 302 of the Sarbanes-Oxley Act of 2002.</w:t>
              </w:r>
            </w:hyperlink>
          </w:p>
        </w:tc>
        <w:tc>
          <w:tcPr>
            <w:tcW w:w="200" w:type="dxa"/>
            <w:vAlign w:val="bottom"/>
            <w:tcBorders>
              <w:top w:val="single" w:sz="8" w:color="0000EE"/>
            </w:tcBorders>
          </w:tcPr>
          <w:p>
            <w:pPr>
              <w:spacing w:after="0"/>
              <w:rPr>
                <w:sz w:val="13"/>
                <w:szCs w:val="13"/>
                <w:color w:val="auto"/>
              </w:rPr>
            </w:pPr>
          </w:p>
        </w:tc>
        <w:tc>
          <w:tcPr>
            <w:tcW w:w="6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540" w:type="dxa"/>
            <w:vAlign w:val="bottom"/>
            <w:gridSpan w:val="2"/>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43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75">
              <w:r>
                <w:rPr>
                  <w:rFonts w:ascii="Arial" w:cs="Arial" w:eastAsia="Arial" w:hAnsi="Arial"/>
                  <w:sz w:val="18"/>
                  <w:szCs w:val="18"/>
                  <w:color w:val="0000EE"/>
                  <w:w w:val="93"/>
                </w:rPr>
                <w:t>Certification of Chief Executive Officer and Chief Financial</w:t>
              </w:r>
            </w:hyperlink>
          </w:p>
        </w:tc>
        <w:tc>
          <w:tcPr>
            <w:tcW w:w="38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720" w:type="dxa"/>
            <w:vAlign w:val="bottom"/>
            <w:gridSpan w:val="11"/>
          </w:tcPr>
          <w:p>
            <w:pPr>
              <w:spacing w:after="0" w:line="156" w:lineRule="exact"/>
              <w:rPr>
                <w:rFonts w:ascii="Arial" w:cs="Arial" w:eastAsia="Arial" w:hAnsi="Arial"/>
                <w:sz w:val="18"/>
                <w:szCs w:val="18"/>
                <w:color w:val="0000EE"/>
                <w:w w:val="96"/>
              </w:rPr>
            </w:pPr>
            <w:hyperlink w:anchor="page75">
              <w:r>
                <w:rPr>
                  <w:rFonts w:ascii="Arial" w:cs="Arial" w:eastAsia="Arial" w:hAnsi="Arial"/>
                  <w:sz w:val="18"/>
                  <w:szCs w:val="18"/>
                  <w:color w:val="0000EE"/>
                  <w:w w:val="96"/>
                </w:rPr>
                <w:t>Officer Pursuant to Section 906 of the Sarbanes-Oxley Act of</w:t>
              </w:r>
            </w:hyperlink>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4"/>
              </w:rPr>
            </w:pPr>
            <w:hyperlink w:anchor="page75">
              <w:r>
                <w:rPr>
                  <w:rFonts w:ascii="Arial" w:cs="Arial" w:eastAsia="Arial" w:hAnsi="Arial"/>
                  <w:sz w:val="18"/>
                  <w:szCs w:val="18"/>
                  <w:color w:val="0000EE"/>
                  <w:w w:val="84"/>
                </w:rPr>
                <w:t>2002.</w:t>
              </w:r>
            </w:hyperlink>
          </w:p>
        </w:tc>
        <w:tc>
          <w:tcPr>
            <w:tcW w:w="160" w:type="dxa"/>
            <w:vAlign w:val="bottom"/>
            <w:tcBorders>
              <w:top w:val="single" w:sz="8" w:color="0000EE"/>
            </w:tcBorders>
          </w:tcPr>
          <w:p>
            <w:pPr>
              <w:spacing w:after="0"/>
              <w:rPr>
                <w:sz w:val="13"/>
                <w:szCs w:val="13"/>
                <w:color w:val="auto"/>
              </w:rPr>
            </w:pPr>
          </w:p>
        </w:tc>
        <w:tc>
          <w:tcPr>
            <w:tcW w:w="1180" w:type="dxa"/>
            <w:vAlign w:val="bottom"/>
            <w:tcBorders>
              <w:top w:val="single" w:sz="8" w:color="0000EE"/>
            </w:tcBorders>
          </w:tcPr>
          <w:p>
            <w:pPr>
              <w:spacing w:after="0"/>
              <w:rPr>
                <w:sz w:val="13"/>
                <w:szCs w:val="13"/>
                <w:color w:val="auto"/>
              </w:rPr>
            </w:pPr>
          </w:p>
        </w:tc>
        <w:tc>
          <w:tcPr>
            <w:tcW w:w="17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540" w:type="dxa"/>
            <w:vAlign w:val="bottom"/>
            <w:gridSpan w:val="2"/>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4720" w:type="dxa"/>
            <w:vAlign w:val="bottom"/>
            <w:gridSpan w:val="11"/>
          </w:tcPr>
          <w:p>
            <w:pPr>
              <w:spacing w:after="0"/>
              <w:rPr>
                <w:sz w:val="20"/>
                <w:szCs w:val="20"/>
                <w:color w:val="auto"/>
              </w:rPr>
            </w:pPr>
            <w:r>
              <w:rPr>
                <w:rFonts w:ascii="Arial" w:cs="Arial" w:eastAsia="Arial" w:hAnsi="Arial"/>
                <w:sz w:val="18"/>
                <w:szCs w:val="18"/>
                <w:color w:val="auto"/>
              </w:rPr>
              <w:t>The following financial statements, formatted in XBRL:</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ind w:left="720" w:right="3820" w:hanging="1"/>
        <w:spacing w:after="0" w:line="236" w:lineRule="auto"/>
        <w:tabs>
          <w:tab w:leader="none" w:pos="935" w:val="left"/>
        </w:tabs>
        <w:numPr>
          <w:ilvl w:val="1"/>
          <w:numId w:val="39"/>
        </w:numPr>
        <w:rPr>
          <w:rFonts w:ascii="Arial" w:cs="Arial" w:eastAsia="Arial" w:hAnsi="Arial"/>
          <w:sz w:val="16"/>
          <w:szCs w:val="16"/>
          <w:color w:val="auto"/>
        </w:rPr>
      </w:pPr>
      <w:r>
        <w:rPr>
          <w:rFonts w:ascii="Arial" w:cs="Arial" w:eastAsia="Arial" w:hAnsi="Arial"/>
          <w:sz w:val="16"/>
          <w:szCs w:val="16"/>
          <w:color w:val="auto"/>
        </w:rPr>
        <w:t>Condensed Balance Sheets as of March 31, 2019 and December 31, 2018, (ii) Condensed Consolidated Statements of Operations and Comprehensive Loss for the three months ended March 31, 2019 and 2018, (iii) Condensed Consolidated Statements of Cash Flows for the three months ended March 31, 2019 and 2018; and (iv) Notes to Unaudited Condensed Consolidated Financial Statements.</w:t>
      </w:r>
    </w:p>
    <w:p>
      <w:pPr>
        <w:spacing w:after="0" w:line="176" w:lineRule="exact"/>
        <w:rPr>
          <w:rFonts w:ascii="Arial" w:cs="Arial" w:eastAsia="Arial" w:hAnsi="Arial"/>
          <w:sz w:val="16"/>
          <w:szCs w:val="16"/>
          <w:color w:val="auto"/>
        </w:rPr>
      </w:pPr>
    </w:p>
    <w:p>
      <w:pPr>
        <w:ind w:left="180" w:hanging="177"/>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-190500</wp:posOffset>
            </wp:positionV>
            <wp:extent cx="14408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324"/>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6160" w:type="dxa"/>
            <w:vAlign w:val="bottom"/>
            <w:gridSpan w:val="2"/>
          </w:tcPr>
          <w:p>
            <w:pPr>
              <w:ind w:left="1580"/>
              <w:spacing w:after="0"/>
              <w:rPr>
                <w:sz w:val="20"/>
                <w:szCs w:val="20"/>
                <w:color w:val="auto"/>
              </w:rPr>
            </w:pPr>
            <w:r>
              <w:rPr>
                <w:rFonts w:ascii="Arial" w:cs="Arial" w:eastAsia="Arial" w:hAnsi="Arial"/>
                <w:sz w:val="18"/>
                <w:szCs w:val="18"/>
                <w:b w:val="1"/>
                <w:bCs w:val="1"/>
                <w:color w:val="auto"/>
              </w:rPr>
              <w:t>Ardelyx, Inc.</w:t>
            </w:r>
          </w:p>
        </w:tc>
      </w:tr>
      <w:tr>
        <w:trPr>
          <w:trHeight w:val="500"/>
        </w:trPr>
        <w:tc>
          <w:tcPr>
            <w:tcW w:w="2900" w:type="dxa"/>
            <w:vAlign w:val="bottom"/>
          </w:tcPr>
          <w:p>
            <w:pPr>
              <w:spacing w:after="0"/>
              <w:rPr>
                <w:sz w:val="20"/>
                <w:szCs w:val="20"/>
                <w:color w:val="auto"/>
              </w:rPr>
            </w:pPr>
            <w:r>
              <w:rPr>
                <w:rFonts w:ascii="Arial" w:cs="Arial" w:eastAsia="Arial" w:hAnsi="Arial"/>
                <w:sz w:val="18"/>
                <w:szCs w:val="18"/>
                <w:color w:val="auto"/>
              </w:rPr>
              <w:t>Date: May 7, 2019</w:t>
            </w:r>
          </w:p>
        </w:tc>
        <w:tc>
          <w:tcPr>
            <w:tcW w:w="6160" w:type="dxa"/>
            <w:vAlign w:val="bottom"/>
            <w:gridSpan w:val="2"/>
          </w:tcPr>
          <w:p>
            <w:pPr>
              <w:ind w:left="1580"/>
              <w:spacing w:after="0"/>
              <w:rPr>
                <w:sz w:val="20"/>
                <w:szCs w:val="20"/>
                <w:color w:val="auto"/>
              </w:rPr>
            </w:pPr>
            <w:r>
              <w:rPr>
                <w:rFonts w:ascii="Arial" w:cs="Arial" w:eastAsia="Arial" w:hAnsi="Arial"/>
                <w:sz w:val="18"/>
                <w:szCs w:val="18"/>
                <w:color w:val="auto"/>
              </w:rPr>
              <w:t>By: /s/ Mark Kaufmann</w:t>
            </w:r>
          </w:p>
        </w:tc>
      </w:tr>
      <w:tr>
        <w:trPr>
          <w:trHeight w:val="142"/>
        </w:trPr>
        <w:tc>
          <w:tcPr>
            <w:tcW w:w="29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2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b w:val="1"/>
                <w:bCs w:val="1"/>
                <w:color w:val="auto"/>
              </w:rPr>
              <w:t>Mark Kaufmann</w:t>
            </w:r>
          </w:p>
        </w:tc>
      </w:tr>
      <w:tr>
        <w:trPr>
          <w:trHeight w:val="176"/>
        </w:trPr>
        <w:tc>
          <w:tcPr>
            <w:tcW w:w="29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280" w:type="dxa"/>
            <w:vAlign w:val="bottom"/>
          </w:tcPr>
          <w:p>
            <w:pPr>
              <w:spacing w:after="0" w:line="176" w:lineRule="exact"/>
              <w:rPr>
                <w:sz w:val="20"/>
                <w:szCs w:val="20"/>
                <w:color w:val="auto"/>
              </w:rPr>
            </w:pPr>
            <w:r>
              <w:rPr>
                <w:rFonts w:ascii="Arial" w:cs="Arial" w:eastAsia="Arial" w:hAnsi="Arial"/>
                <w:sz w:val="18"/>
                <w:szCs w:val="18"/>
                <w:b w:val="1"/>
                <w:bCs w:val="1"/>
                <w:color w:val="auto"/>
              </w:rPr>
              <w:t>Chief Financial Officer</w:t>
            </w:r>
          </w:p>
        </w:tc>
      </w:tr>
      <w:tr>
        <w:trPr>
          <w:trHeight w:val="234"/>
        </w:trPr>
        <w:tc>
          <w:tcPr>
            <w:tcW w:w="2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(Principal Financial and Accounting Officer)</w:t>
            </w:r>
          </w:p>
        </w:tc>
      </w:tr>
      <w:tr>
        <w:trPr>
          <w:trHeight w:val="805"/>
        </w:trPr>
        <w:tc>
          <w:tcPr>
            <w:tcW w:w="2900" w:type="dxa"/>
            <w:vAlign w:val="bottom"/>
          </w:tcPr>
          <w:p>
            <w:pPr>
              <w:spacing w:after="0"/>
              <w:rPr>
                <w:sz w:val="24"/>
                <w:szCs w:val="24"/>
                <w:color w:val="auto"/>
              </w:rPr>
            </w:pPr>
          </w:p>
        </w:tc>
        <w:tc>
          <w:tcPr>
            <w:tcW w:w="1880" w:type="dxa"/>
            <w:vAlign w:val="bottom"/>
          </w:tcPr>
          <w:p>
            <w:pPr>
              <w:jc w:val="right"/>
              <w:ind w:right="70"/>
              <w:spacing w:after="0"/>
              <w:rPr>
                <w:sz w:val="20"/>
                <w:szCs w:val="20"/>
                <w:color w:val="auto"/>
              </w:rPr>
            </w:pPr>
            <w:r>
              <w:rPr>
                <w:rFonts w:ascii="Arial" w:cs="Arial" w:eastAsia="Arial" w:hAnsi="Arial"/>
                <w:sz w:val="18"/>
                <w:szCs w:val="18"/>
                <w:color w:val="auto"/>
              </w:rPr>
              <w:t>68</w:t>
            </w:r>
          </w:p>
        </w:tc>
        <w:tc>
          <w:tcPr>
            <w:tcW w:w="4280" w:type="dxa"/>
            <w:vAlign w:val="bottom"/>
          </w:tcPr>
          <w:p>
            <w:pPr>
              <w:spacing w:after="0"/>
              <w:rPr>
                <w:sz w:val="24"/>
                <w:szCs w:val="24"/>
                <w:color w:val="auto"/>
              </w:rPr>
            </w:pPr>
          </w:p>
        </w:tc>
      </w:tr>
      <w:tr>
        <w:trPr>
          <w:trHeight w:val="102"/>
        </w:trPr>
        <w:tc>
          <w:tcPr>
            <w:tcW w:w="29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428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2" w:right="1419" w:bottom="1440" w:gutter="0" w:footer="0" w:header="0"/>
        </w:sectPr>
      </w:pPr>
    </w:p>
    <w:bookmarkStart w:id="69" w:name="page70"/>
    <w:bookmarkEnd w:id="69"/>
    <w:p>
      <w:pPr>
        <w:jc w:val="right"/>
        <w:spacing w:after="0"/>
        <w:rPr>
          <w:sz w:val="20"/>
          <w:szCs w:val="20"/>
          <w:color w:val="auto"/>
        </w:rPr>
      </w:pPr>
      <w:r>
        <w:rPr>
          <w:rFonts w:ascii="Arial" w:cs="Arial" w:eastAsia="Arial" w:hAnsi="Arial"/>
          <w:sz w:val="20"/>
          <w:szCs w:val="20"/>
          <w:b w:val="1"/>
          <w:bCs w:val="1"/>
          <w:color w:val="auto"/>
        </w:rPr>
        <w:t>Exhibit 10.1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ARDELYX,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w:t>
      </w:r>
    </w:p>
    <w:p>
      <w:pPr>
        <w:jc w:val="center"/>
        <w:spacing w:after="0"/>
        <w:rPr>
          <w:sz w:val="20"/>
          <w:szCs w:val="20"/>
          <w:color w:val="auto"/>
        </w:rPr>
      </w:pPr>
      <w:r>
        <w:rPr>
          <w:rFonts w:ascii="Arial" w:cs="Arial" w:eastAsia="Arial" w:hAnsi="Arial"/>
          <w:sz w:val="20"/>
          <w:szCs w:val="20"/>
          <w:b w:val="1"/>
          <w:bCs w:val="1"/>
          <w:color w:val="auto"/>
        </w:rPr>
        <w:t>NON-EMPLOYEE DIRECTOR COMPENSATION PROGRAM</w:t>
      </w:r>
    </w:p>
    <w:p>
      <w:pPr>
        <w:spacing w:after="0" w:line="2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Non-employee members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Ardelyx,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be eligible to receive cash and equity compensation as set forth in this Non-Employee Director Compensation Program (this “</w:t>
      </w:r>
      <w:r>
        <w:rPr>
          <w:rFonts w:ascii="Arial" w:cs="Arial" w:eastAsia="Arial" w:hAnsi="Arial"/>
          <w:sz w:val="18"/>
          <w:szCs w:val="18"/>
          <w:b w:val="1"/>
          <w:bCs w:val="1"/>
          <w:i w:val="1"/>
          <w:iCs w:val="1"/>
          <w:color w:val="auto"/>
        </w:rPr>
        <w:t>Program</w:t>
      </w:r>
      <w:r>
        <w:rPr>
          <w:rFonts w:ascii="Arial" w:cs="Arial" w:eastAsia="Arial" w:hAnsi="Arial"/>
          <w:sz w:val="18"/>
          <w:szCs w:val="18"/>
          <w:color w:val="auto"/>
        </w:rPr>
        <w:t>”), which was adopted pursuant to the Board’s resolutions on May 23, 2014, and amended pursuant to the Board’s resolutions on March 3, 2017 and March 14, 2019.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who may be eligible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The terms and conditions of this Program shall supersede any prior cash and/or equity compensation arrangements for service as a member of the Board between the Company and any of its Non-Employee Directors. This Program shall become effective on the date of the closing of the initial public offering of Company common stock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w:t>
      </w:r>
    </w:p>
    <w:p>
      <w:pPr>
        <w:spacing w:after="0" w:line="177" w:lineRule="exact"/>
        <w:rPr>
          <w:sz w:val="20"/>
          <w:szCs w:val="20"/>
          <w:color w:val="auto"/>
        </w:rPr>
      </w:pPr>
    </w:p>
    <w:p>
      <w:pPr>
        <w:ind w:left="1300" w:hanging="652"/>
        <w:spacing w:after="0"/>
        <w:tabs>
          <w:tab w:leader="none" w:pos="130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Cash Compensation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296"/>
        <w:spacing w:after="0" w:line="260" w:lineRule="auto"/>
        <w:tabs>
          <w:tab w:leader="none" w:pos="2110" w:val="left"/>
        </w:tabs>
        <w:numPr>
          <w:ilvl w:val="1"/>
          <w:numId w:val="40"/>
        </w:numPr>
        <w:rPr>
          <w:rFonts w:ascii="Arial" w:cs="Arial" w:eastAsia="Arial" w:hAnsi="Arial"/>
          <w:sz w:val="20"/>
          <w:szCs w:val="20"/>
          <w:color w:val="auto"/>
        </w:rPr>
      </w:pPr>
      <w:r>
        <w:rPr>
          <w:rFonts w:ascii="Arial" w:cs="Arial" w:eastAsia="Arial" w:hAnsi="Arial"/>
          <w:sz w:val="20"/>
          <w:szCs w:val="20"/>
          <w:u w:val="single" w:color="auto"/>
          <w:color w:val="auto"/>
        </w:rPr>
        <w:t>Annual Retainers</w:t>
      </w:r>
      <w:r>
        <w:rPr>
          <w:rFonts w:ascii="Arial" w:cs="Arial" w:eastAsia="Arial" w:hAnsi="Arial"/>
          <w:sz w:val="20"/>
          <w:szCs w:val="20"/>
          <w:color w:val="auto"/>
        </w:rPr>
        <w:t>. Each Non-Employee Director shall be eligible to receive an annual retainer of $40,000 for service on the Board.</w:t>
      </w:r>
    </w:p>
    <w:p>
      <w:pPr>
        <w:spacing w:after="0" w:line="176" w:lineRule="exact"/>
        <w:rPr>
          <w:rFonts w:ascii="Arial" w:cs="Arial" w:eastAsia="Arial" w:hAnsi="Arial"/>
          <w:sz w:val="20"/>
          <w:szCs w:val="20"/>
          <w:color w:val="auto"/>
        </w:rPr>
      </w:pPr>
    </w:p>
    <w:p>
      <w:pPr>
        <w:ind w:left="2180" w:hanging="884"/>
        <w:spacing w:after="0"/>
        <w:tabs>
          <w:tab w:leader="none" w:pos="2180"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Additional Annual Retainers</w:t>
      </w:r>
      <w:r>
        <w:rPr>
          <w:rFonts w:ascii="Arial" w:cs="Arial" w:eastAsia="Arial" w:hAnsi="Arial"/>
          <w:sz w:val="19"/>
          <w:szCs w:val="19"/>
          <w:color w:val="auto"/>
        </w:rPr>
        <w:t>.  In addition, a Non-Employee Director shall receive the following</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annual retainers:</w:t>
      </w:r>
    </w:p>
    <w:p>
      <w:pPr>
        <w:spacing w:after="0" w:line="199" w:lineRule="exact"/>
        <w:rPr>
          <w:rFonts w:ascii="Arial" w:cs="Arial" w:eastAsia="Arial" w:hAnsi="Arial"/>
          <w:sz w:val="19"/>
          <w:szCs w:val="19"/>
          <w:color w:val="auto"/>
        </w:rPr>
      </w:pPr>
    </w:p>
    <w:p>
      <w:pPr>
        <w:ind w:firstLine="1944"/>
        <w:spacing w:after="0" w:line="260" w:lineRule="auto"/>
        <w:tabs>
          <w:tab w:leader="none" w:pos="2721" w:val="left"/>
        </w:tabs>
        <w:numPr>
          <w:ilvl w:val="2"/>
          <w:numId w:val="40"/>
        </w:numPr>
        <w:rPr>
          <w:rFonts w:ascii="Arial" w:cs="Arial" w:eastAsia="Arial" w:hAnsi="Arial"/>
          <w:sz w:val="20"/>
          <w:szCs w:val="20"/>
          <w:color w:val="auto"/>
        </w:rPr>
      </w:pPr>
      <w:r>
        <w:rPr>
          <w:rFonts w:ascii="Arial" w:cs="Arial" w:eastAsia="Arial" w:hAnsi="Arial"/>
          <w:sz w:val="20"/>
          <w:szCs w:val="20"/>
          <w:u w:val="single" w:color="auto"/>
          <w:color w:val="auto"/>
        </w:rPr>
        <w:t>Chairman of the Board</w:t>
      </w:r>
      <w:r>
        <w:rPr>
          <w:rFonts w:ascii="Arial" w:cs="Arial" w:eastAsia="Arial" w:hAnsi="Arial"/>
          <w:sz w:val="20"/>
          <w:szCs w:val="20"/>
          <w:color w:val="auto"/>
        </w:rPr>
        <w:t>. A Non-Employee Director serving as Chairman of the Board shall receive an additional annual retainer of $30,000 for such service.</w:t>
      </w:r>
    </w:p>
    <w:p>
      <w:pPr>
        <w:spacing w:after="0" w:line="176" w:lineRule="exact"/>
        <w:rPr>
          <w:rFonts w:ascii="Arial" w:cs="Arial" w:eastAsia="Arial" w:hAnsi="Arial"/>
          <w:sz w:val="20"/>
          <w:szCs w:val="20"/>
          <w:color w:val="auto"/>
        </w:rPr>
      </w:pPr>
    </w:p>
    <w:p>
      <w:pPr>
        <w:jc w:val="both"/>
        <w:ind w:firstLine="1944"/>
        <w:spacing w:after="0" w:line="246" w:lineRule="auto"/>
        <w:tabs>
          <w:tab w:leader="none" w:pos="3010" w:val="left"/>
        </w:tabs>
        <w:numPr>
          <w:ilvl w:val="2"/>
          <w:numId w:val="40"/>
        </w:numPr>
        <w:rPr>
          <w:rFonts w:ascii="Arial" w:cs="Arial" w:eastAsia="Arial" w:hAnsi="Arial"/>
          <w:sz w:val="20"/>
          <w:szCs w:val="20"/>
          <w:color w:val="auto"/>
        </w:rPr>
      </w:pPr>
      <w:r>
        <w:rPr>
          <w:rFonts w:ascii="Arial" w:cs="Arial" w:eastAsia="Arial" w:hAnsi="Arial"/>
          <w:sz w:val="20"/>
          <w:szCs w:val="20"/>
          <w:u w:val="single" w:color="auto"/>
          <w:color w:val="auto"/>
        </w:rPr>
        <w:t>Audit Committee</w:t>
      </w:r>
      <w:r>
        <w:rPr>
          <w:rFonts w:ascii="Arial" w:cs="Arial" w:eastAsia="Arial" w:hAnsi="Arial"/>
          <w:sz w:val="20"/>
          <w:szCs w:val="20"/>
          <w:color w:val="auto"/>
        </w:rPr>
        <w:t>. A Non-Employee Director serving as Chairperson of the Audit Committee shall receive an additional annual retainer of $20,000 for such service. A Non-Employee Director serving as a member of the Audit Committee (other than the Chairperson) shall receive an additional annual retainer of $10,000 for such service.</w:t>
      </w:r>
    </w:p>
    <w:p>
      <w:pPr>
        <w:spacing w:after="0" w:line="191" w:lineRule="exact"/>
        <w:rPr>
          <w:rFonts w:ascii="Arial" w:cs="Arial" w:eastAsia="Arial" w:hAnsi="Arial"/>
          <w:sz w:val="20"/>
          <w:szCs w:val="20"/>
          <w:color w:val="auto"/>
        </w:rPr>
      </w:pPr>
    </w:p>
    <w:p>
      <w:pPr>
        <w:jc w:val="both"/>
        <w:ind w:firstLine="1944"/>
        <w:spacing w:after="0" w:line="246" w:lineRule="auto"/>
        <w:tabs>
          <w:tab w:leader="none" w:pos="2912" w:val="left"/>
        </w:tabs>
        <w:numPr>
          <w:ilvl w:val="2"/>
          <w:numId w:val="40"/>
        </w:numPr>
        <w:rPr>
          <w:rFonts w:ascii="Arial" w:cs="Arial" w:eastAsia="Arial" w:hAnsi="Arial"/>
          <w:sz w:val="20"/>
          <w:szCs w:val="20"/>
          <w:color w:val="auto"/>
        </w:rPr>
      </w:pPr>
      <w:r>
        <w:rPr>
          <w:rFonts w:ascii="Arial" w:cs="Arial" w:eastAsia="Arial" w:hAnsi="Arial"/>
          <w:sz w:val="20"/>
          <w:szCs w:val="20"/>
          <w:u w:val="single" w:color="auto"/>
          <w:color w:val="auto"/>
        </w:rPr>
        <w:t>Compensation Committee</w:t>
      </w:r>
      <w:r>
        <w:rPr>
          <w:rFonts w:ascii="Arial" w:cs="Arial" w:eastAsia="Arial" w:hAnsi="Arial"/>
          <w:sz w:val="20"/>
          <w:szCs w:val="20"/>
          <w:color w:val="auto"/>
        </w:rPr>
        <w:t>. A Non-Employee Director serving as Chairperson of the Compensation Committee shall receive an additional annual retainer of $15,000 for such service. A Non-Employee Director serving as a member of the Compensation Committee (other than the Chairperson) shall receive an additional annual retainer of $7,500 for such service.</w:t>
      </w:r>
    </w:p>
    <w:p>
      <w:pPr>
        <w:spacing w:after="0" w:line="192" w:lineRule="exact"/>
        <w:rPr>
          <w:sz w:val="20"/>
          <w:szCs w:val="20"/>
          <w:color w:val="auto"/>
        </w:rPr>
      </w:pPr>
    </w:p>
    <w:p>
      <w:pPr>
        <w:jc w:val="both"/>
        <w:ind w:firstLine="1944"/>
        <w:spacing w:after="0" w:line="263" w:lineRule="auto"/>
        <w:tabs>
          <w:tab w:leader="none" w:pos="2721"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Nominating and Corporate Governance Committee</w:t>
      </w:r>
      <w:r>
        <w:rPr>
          <w:rFonts w:ascii="Arial" w:cs="Arial" w:eastAsia="Arial" w:hAnsi="Arial"/>
          <w:sz w:val="19"/>
          <w:szCs w:val="19"/>
          <w:color w:val="auto"/>
        </w:rPr>
        <w:t>. A Non-Employee Director serving as Chairperson of the Nominating and Corporate Governance Committee shall receive an additional annual retainer of $10,000 for such service. A Non-Employee Director serving as a member of the Nominating and Corporate Governance Committee (other than the Chairperson) shall receive an additional annual retainer of $5,000 for such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123190</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6" w:right="919" w:bottom="1440" w:gutter="0" w:footer="0" w:header="0"/>
        </w:sectPr>
      </w:pPr>
    </w:p>
    <w:bookmarkStart w:id="70" w:name="page71"/>
    <w:bookmarkEnd w:id="70"/>
    <w:p>
      <w:pPr>
        <w:jc w:val="both"/>
        <w:ind w:firstLine="1296"/>
        <w:spacing w:after="0" w:line="243" w:lineRule="auto"/>
        <w:tabs>
          <w:tab w:leader="none" w:pos="2232"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Payment of Retainers</w:t>
      </w:r>
      <w:r>
        <w:rPr>
          <w:rFonts w:ascii="Arial" w:cs="Arial" w:eastAsia="Arial" w:hAnsi="Arial"/>
          <w:sz w:val="20"/>
          <w:szCs w:val="20"/>
          <w:color w:val="auto"/>
        </w:rPr>
        <w:t>. The annual retainers described in Sections 1(a) and 1(b) (the “</w:t>
      </w:r>
      <w:r>
        <w:rPr>
          <w:rFonts w:ascii="Arial" w:cs="Arial" w:eastAsia="Arial" w:hAnsi="Arial"/>
          <w:sz w:val="20"/>
          <w:szCs w:val="20"/>
          <w:b w:val="1"/>
          <w:bCs w:val="1"/>
          <w:i w:val="1"/>
          <w:iCs w:val="1"/>
          <w:color w:val="auto"/>
        </w:rPr>
        <w:t>Annual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Retainers</w:t>
      </w:r>
      <w:r>
        <w:rPr>
          <w:rFonts w:ascii="Arial" w:cs="Arial" w:eastAsia="Arial" w:hAnsi="Arial"/>
          <w:sz w:val="20"/>
          <w:szCs w:val="20"/>
          <w:color w:val="auto"/>
        </w:rPr>
        <w:t>”) shall be paid by the Company in a single cash lump sum immediately following the Effective Date and on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date of each annual meeting of the Company’s stockholders after the Effective Date. In the event a Non-Employee Director is initially elected or appointed to the Board or a committee thereunder on a date other than the date of an annual meeting of the Company’s stockholders, the Annual Retainers paid to such Non-Employee Director shall be paid on the date of election or appointment, prorated to reflect the number of months (rounded up to the next whole month) remaining until the next annual meeting of the Company’s stockholders.</w:t>
      </w:r>
    </w:p>
    <w:p>
      <w:pPr>
        <w:spacing w:after="0" w:line="206" w:lineRule="exact"/>
        <w:rPr>
          <w:rFonts w:ascii="Arial" w:cs="Arial" w:eastAsia="Arial" w:hAnsi="Arial"/>
          <w:sz w:val="20"/>
          <w:szCs w:val="20"/>
          <w:color w:val="auto"/>
        </w:rPr>
      </w:pPr>
    </w:p>
    <w:p>
      <w:pPr>
        <w:jc w:val="both"/>
        <w:ind w:firstLine="1296"/>
        <w:spacing w:after="0" w:line="270" w:lineRule="auto"/>
        <w:tabs>
          <w:tab w:leader="none" w:pos="200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Election to Receive Stock in Lieu of Cash</w:t>
      </w:r>
      <w:r>
        <w:rPr>
          <w:rFonts w:ascii="Arial" w:cs="Arial" w:eastAsia="Arial" w:hAnsi="Arial"/>
          <w:sz w:val="18"/>
          <w:szCs w:val="18"/>
          <w:color w:val="auto"/>
        </w:rPr>
        <w:t>. After the first payment of Annual Retainers following the Effective Date, Non-Employee Directors shall have the ability to elect to receive the Annual Retainers in an award of stock in lieu of cash pursuant to an election form provided by the Company for such purpose. Non-Employee Directors must complete and deliver the election form to the Company no later than 15 days prior to the next annual meeting of the Company’s stockholders. In the event that a Non-Employee Director makes an election to receive the Annual Retainers in an award of stock in lieu of cash, on the annual meeting of the Company’s stockholders, he or she will automatically be granted that number of shares of fully vested Company common stock calculated by dividing the aggregate amount of the Annual Retainers by the Fair Market Value (as defined in the Equity Plan (as defined below)) of a share of Company common stock on the date of grant, rounded down to the nearest whole share. The stock awards shall be granted under and shall be subject to the terms and provisions of the Company’s 2014 Equity Incentive Award Plan or any other applicable Company equity incentive plan then-maintained by the Company (the “</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In the event of any inconsistency between the Equity Plan and this Program, the terms of this Program shall control.</w:t>
      </w:r>
    </w:p>
    <w:p>
      <w:pPr>
        <w:spacing w:after="0" w:line="190" w:lineRule="exact"/>
        <w:rPr>
          <w:rFonts w:ascii="Arial" w:cs="Arial" w:eastAsia="Arial" w:hAnsi="Arial"/>
          <w:sz w:val="18"/>
          <w:szCs w:val="18"/>
          <w:color w:val="auto"/>
        </w:rPr>
      </w:pPr>
    </w:p>
    <w:p>
      <w:pPr>
        <w:jc w:val="both"/>
        <w:ind w:firstLine="648"/>
        <w:spacing w:after="0" w:line="276" w:lineRule="auto"/>
        <w:tabs>
          <w:tab w:leader="none" w:pos="14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Equity Compensation</w:t>
      </w:r>
      <w:r>
        <w:rPr>
          <w:rFonts w:ascii="Arial" w:cs="Arial" w:eastAsia="Arial" w:hAnsi="Arial"/>
          <w:sz w:val="18"/>
          <w:szCs w:val="18"/>
          <w:color w:val="auto"/>
        </w:rPr>
        <w:t>. Non-Employee Directors shall be granted the equity awards described below. The awards described below shall be granted under and shall be subject to the terms and provisions of the Equity Plan and shall be granted subject to the execution and delivery of award agreements, including attached exhibits, in substantially the forms previously approved by the Board. All applicable terms of the Equity Plan apply to this Program as if fully set forth herein, and all grants of stock options hereby are subject in all respects to the terms of the Equity Plan. In the event of any inconsistency between the Equity Plan and this Program, the terms of this Program shall control.</w:t>
      </w:r>
    </w:p>
    <w:p>
      <w:pPr>
        <w:spacing w:after="0" w:line="165" w:lineRule="exact"/>
        <w:rPr>
          <w:rFonts w:ascii="Arial" w:cs="Arial" w:eastAsia="Arial" w:hAnsi="Arial"/>
          <w:sz w:val="18"/>
          <w:szCs w:val="18"/>
          <w:color w:val="auto"/>
        </w:rPr>
      </w:pPr>
    </w:p>
    <w:p>
      <w:pPr>
        <w:jc w:val="both"/>
        <w:ind w:firstLine="1296"/>
        <w:spacing w:after="0" w:line="262" w:lineRule="auto"/>
        <w:tabs>
          <w:tab w:leader="none" w:pos="2016"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Initial Awards</w:t>
      </w:r>
      <w:r>
        <w:rPr>
          <w:rFonts w:ascii="Arial" w:cs="Arial" w:eastAsia="Arial" w:hAnsi="Arial"/>
          <w:sz w:val="19"/>
          <w:szCs w:val="19"/>
          <w:color w:val="auto"/>
        </w:rPr>
        <w:t xml:space="preserve">. Each Non-Employee Director who is initially elected or appointed to the Board after the Effective Date shall be eligible to receive, on the date of such initial election or appointment, an option to purchase </w:t>
      </w:r>
      <w:r>
        <w:rPr>
          <w:rFonts w:ascii="Arial" w:cs="Arial" w:eastAsia="Arial" w:hAnsi="Arial"/>
          <w:sz w:val="20"/>
          <w:szCs w:val="20"/>
          <w:color w:val="auto"/>
        </w:rPr>
        <w:t>shares</w:t>
      </w:r>
      <w:r>
        <w:rPr>
          <w:rFonts w:ascii="Arial" w:cs="Arial" w:eastAsia="Arial" w:hAnsi="Arial"/>
          <w:sz w:val="19"/>
          <w:szCs w:val="19"/>
          <w:color w:val="auto"/>
        </w:rPr>
        <w:t xml:space="preserve"> </w:t>
      </w:r>
      <w:r>
        <w:rPr>
          <w:rFonts w:ascii="Arial" w:cs="Arial" w:eastAsia="Arial" w:hAnsi="Arial"/>
          <w:sz w:val="20"/>
          <w:szCs w:val="20"/>
          <w:color w:val="auto"/>
        </w:rPr>
        <w:t xml:space="preserve">of the Company’s common stock with a grant date fair value of $240,000, but with a maximum number of shares of 75,000 shares </w:t>
      </w:r>
      <w:r>
        <w:rPr>
          <w:rFonts w:ascii="Arial" w:cs="Arial" w:eastAsia="Arial" w:hAnsi="Arial"/>
          <w:sz w:val="18"/>
          <w:szCs w:val="18"/>
          <w:color w:val="auto"/>
        </w:rPr>
        <w:t>of the Company’s common stock. The awards described in this Section 2(a) shall be referred to as “</w:t>
      </w:r>
      <w:r>
        <w:rPr>
          <w:rFonts w:ascii="Arial" w:cs="Arial" w:eastAsia="Arial" w:hAnsi="Arial"/>
          <w:sz w:val="18"/>
          <w:szCs w:val="18"/>
          <w:b w:val="1"/>
          <w:bCs w:val="1"/>
          <w:i w:val="1"/>
          <w:iCs w:val="1"/>
          <w:color w:val="auto"/>
        </w:rPr>
        <w:t>Initial</w:t>
      </w:r>
      <w:r>
        <w:rPr>
          <w:rFonts w:ascii="Arial" w:cs="Arial" w:eastAsia="Arial" w:hAnsi="Arial"/>
          <w:sz w:val="20"/>
          <w:szCs w:val="20"/>
          <w:color w:val="auto"/>
        </w:rPr>
        <w:t xml:space="preserve"> </w:t>
      </w:r>
      <w:r>
        <w:rPr>
          <w:rFonts w:ascii="Arial" w:cs="Arial" w:eastAsia="Arial" w:hAnsi="Arial"/>
          <w:sz w:val="18"/>
          <w:szCs w:val="18"/>
          <w:b w:val="1"/>
          <w:bCs w:val="1"/>
          <w:i w:val="1"/>
          <w:iCs w:val="1"/>
          <w:color w:val="auto"/>
        </w:rPr>
        <w:t>Awards</w:t>
      </w:r>
      <w:r>
        <w:rPr>
          <w:rFonts w:ascii="Arial" w:cs="Arial" w:eastAsia="Arial" w:hAnsi="Arial"/>
          <w:sz w:val="18"/>
          <w:szCs w:val="18"/>
          <w:color w:val="auto"/>
        </w:rPr>
        <w:t>.” No Non-Employee Director shall be granted more than one Initial Award.</w:t>
      </w:r>
    </w:p>
    <w:p>
      <w:pPr>
        <w:spacing w:after="0" w:line="174" w:lineRule="exact"/>
        <w:rPr>
          <w:rFonts w:ascii="Arial" w:cs="Arial" w:eastAsia="Arial" w:hAnsi="Arial"/>
          <w:sz w:val="19"/>
          <w:szCs w:val="19"/>
          <w:color w:val="auto"/>
        </w:rPr>
      </w:pPr>
    </w:p>
    <w:p>
      <w:pPr>
        <w:jc w:val="both"/>
        <w:ind w:firstLine="1296"/>
        <w:spacing w:after="0" w:line="275" w:lineRule="auto"/>
        <w:tabs>
          <w:tab w:leader="none" w:pos="1986"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Subsequent Awards</w:t>
      </w:r>
      <w:r>
        <w:rPr>
          <w:rFonts w:ascii="Arial" w:cs="Arial" w:eastAsia="Arial" w:hAnsi="Arial"/>
          <w:sz w:val="18"/>
          <w:szCs w:val="18"/>
          <w:color w:val="auto"/>
        </w:rPr>
        <w:t xml:space="preserve">. A Non-Employee Director who (i) has been serving on the Board for at least six months as of the date of any annual meeting of the Company’s stockholders after the Effective Date and (ii) will continue to serve as a Non-Employee Director immediately following such meeting, shall be automatically granted, on the date of such annual meeting, an option to purchase </w:t>
      </w:r>
      <w:r>
        <w:rPr>
          <w:rFonts w:ascii="Arial" w:cs="Arial" w:eastAsia="Arial" w:hAnsi="Arial"/>
          <w:sz w:val="19"/>
          <w:szCs w:val="19"/>
          <w:color w:val="auto"/>
        </w:rPr>
        <w:t>shares of the Company’s common stock with a grant date fair value of $120,000,</w:t>
      </w:r>
      <w:r>
        <w:rPr>
          <w:rFonts w:ascii="Arial" w:cs="Arial" w:eastAsia="Arial" w:hAnsi="Arial"/>
          <w:sz w:val="18"/>
          <w:szCs w:val="18"/>
          <w:color w:val="auto"/>
        </w:rPr>
        <w:t xml:space="preserve"> </w:t>
      </w:r>
      <w:r>
        <w:rPr>
          <w:rFonts w:ascii="Arial" w:cs="Arial" w:eastAsia="Arial" w:hAnsi="Arial"/>
          <w:sz w:val="19"/>
          <w:szCs w:val="19"/>
          <w:color w:val="auto"/>
        </w:rPr>
        <w:t xml:space="preserve">but with a maximum number of shares of 50,000 shares </w:t>
      </w:r>
      <w:r>
        <w:rPr>
          <w:rFonts w:ascii="Arial" w:cs="Arial" w:eastAsia="Arial" w:hAnsi="Arial"/>
          <w:sz w:val="17"/>
          <w:szCs w:val="17"/>
          <w:color w:val="auto"/>
        </w:rPr>
        <w:t>of the Company’s common stock. The awards described in this</w:t>
      </w:r>
      <w:r>
        <w:rPr>
          <w:rFonts w:ascii="Arial" w:cs="Arial" w:eastAsia="Arial" w:hAnsi="Arial"/>
          <w:sz w:val="19"/>
          <w:szCs w:val="19"/>
          <w:color w:val="auto"/>
        </w:rPr>
        <w:t xml:space="preserve"> </w:t>
      </w:r>
      <w:r>
        <w:rPr>
          <w:rFonts w:ascii="Arial" w:cs="Arial" w:eastAsia="Arial" w:hAnsi="Arial"/>
          <w:sz w:val="17"/>
          <w:szCs w:val="17"/>
          <w:color w:val="auto"/>
        </w:rPr>
        <w:t>Section 2(b) shall be referred to as “</w:t>
      </w:r>
      <w:r>
        <w:rPr>
          <w:rFonts w:ascii="Arial" w:cs="Arial" w:eastAsia="Arial" w:hAnsi="Arial"/>
          <w:sz w:val="17"/>
          <w:szCs w:val="17"/>
          <w:b w:val="1"/>
          <w:bCs w:val="1"/>
          <w:i w:val="1"/>
          <w:iCs w:val="1"/>
          <w:color w:val="auto"/>
        </w:rPr>
        <w:t>Subsequent Awards</w:t>
      </w:r>
      <w:r>
        <w:rPr>
          <w:rFonts w:ascii="Arial" w:cs="Arial" w:eastAsia="Arial" w:hAnsi="Arial"/>
          <w:sz w:val="17"/>
          <w:szCs w:val="17"/>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71" w:name="page72"/>
    <w:bookmarkEnd w:id="71"/>
    <w:p>
      <w:pPr>
        <w:jc w:val="both"/>
        <w:ind w:firstLine="1296"/>
        <w:spacing w:after="0" w:line="278" w:lineRule="auto"/>
        <w:tabs>
          <w:tab w:leader="none" w:pos="211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Termination of Service of Employee Directors</w:t>
      </w:r>
      <w:r>
        <w:rPr>
          <w:rFonts w:ascii="Arial" w:cs="Arial" w:eastAsia="Arial" w:hAnsi="Arial"/>
          <w:sz w:val="18"/>
          <w:szCs w:val="18"/>
          <w:color w:val="auto"/>
        </w:rPr>
        <w:t>. Members of the Board who are employees of the Company or any parent or subsidiary of the Company who subsequently terminate their service with the Company and any parent or subsidiary of the Company and remain on the Board will not receive an Initial Award pursuant to Section 2(a) above, but to the extent that they are otherwise eligible, will be eligible to receive, after termination from service with the Company and any parent or subsidiary of the Company, Subsequent Awards as described in Section 2(b) above.</w:t>
      </w:r>
    </w:p>
    <w:p>
      <w:pPr>
        <w:spacing w:after="0" w:line="165" w:lineRule="exact"/>
        <w:rPr>
          <w:rFonts w:ascii="Arial" w:cs="Arial" w:eastAsia="Arial" w:hAnsi="Arial"/>
          <w:sz w:val="18"/>
          <w:szCs w:val="18"/>
          <w:color w:val="auto"/>
        </w:rPr>
      </w:pPr>
    </w:p>
    <w:p>
      <w:pPr>
        <w:ind w:left="1980" w:hanging="684"/>
        <w:spacing w:after="0"/>
        <w:tabs>
          <w:tab w:leader="none" w:pos="1980" w:val="left"/>
        </w:tabs>
        <w:numPr>
          <w:ilvl w:val="1"/>
          <w:numId w:val="44"/>
        </w:numPr>
        <w:rPr>
          <w:rFonts w:ascii="Arial" w:cs="Arial" w:eastAsia="Arial" w:hAnsi="Arial"/>
          <w:sz w:val="20"/>
          <w:szCs w:val="20"/>
          <w:color w:val="auto"/>
        </w:rPr>
      </w:pPr>
      <w:r>
        <w:rPr>
          <w:rFonts w:ascii="Arial" w:cs="Arial" w:eastAsia="Arial" w:hAnsi="Arial"/>
          <w:sz w:val="20"/>
          <w:szCs w:val="20"/>
          <w:u w:val="single" w:color="auto"/>
          <w:color w:val="auto"/>
        </w:rPr>
        <w:t>Terms of Awards Granted to Non-Employee Directors</w:t>
      </w:r>
    </w:p>
    <w:p>
      <w:pPr>
        <w:spacing w:after="0" w:line="215" w:lineRule="exact"/>
        <w:rPr>
          <w:rFonts w:ascii="Arial" w:cs="Arial" w:eastAsia="Arial" w:hAnsi="Arial"/>
          <w:sz w:val="20"/>
          <w:szCs w:val="20"/>
          <w:color w:val="auto"/>
        </w:rPr>
      </w:pPr>
    </w:p>
    <w:p>
      <w:pPr>
        <w:jc w:val="both"/>
        <w:ind w:firstLine="1944"/>
        <w:spacing w:after="0" w:line="250" w:lineRule="auto"/>
        <w:tabs>
          <w:tab w:leader="none" w:pos="2816" w:val="left"/>
        </w:tabs>
        <w:numPr>
          <w:ilvl w:val="2"/>
          <w:numId w:val="44"/>
        </w:numPr>
        <w:rPr>
          <w:rFonts w:ascii="Arial" w:cs="Arial" w:eastAsia="Arial" w:hAnsi="Arial"/>
          <w:sz w:val="20"/>
          <w:szCs w:val="20"/>
          <w:color w:val="auto"/>
        </w:rPr>
      </w:pPr>
      <w:r>
        <w:rPr>
          <w:rFonts w:ascii="Arial" w:cs="Arial" w:eastAsia="Arial" w:hAnsi="Arial"/>
          <w:sz w:val="20"/>
          <w:szCs w:val="20"/>
          <w:u w:val="single" w:color="auto"/>
          <w:color w:val="auto"/>
        </w:rPr>
        <w:t>Purchase Price</w:t>
      </w:r>
      <w:r>
        <w:rPr>
          <w:rFonts w:ascii="Arial" w:cs="Arial" w:eastAsia="Arial" w:hAnsi="Arial"/>
          <w:sz w:val="20"/>
          <w:szCs w:val="20"/>
          <w:color w:val="auto"/>
        </w:rPr>
        <w:t>. The per share exercise price of each option granted to a Non-Employee Director shall equal the Fair Market Value (as defined in the Equity Plan) of a share of common stock on the date the option is granted.</w:t>
      </w:r>
    </w:p>
    <w:p>
      <w:pPr>
        <w:spacing w:after="0" w:line="186" w:lineRule="exact"/>
        <w:rPr>
          <w:rFonts w:ascii="Arial" w:cs="Arial" w:eastAsia="Arial" w:hAnsi="Arial"/>
          <w:sz w:val="20"/>
          <w:szCs w:val="20"/>
          <w:color w:val="auto"/>
        </w:rPr>
      </w:pPr>
    </w:p>
    <w:p>
      <w:pPr>
        <w:jc w:val="both"/>
        <w:ind w:firstLine="1944"/>
        <w:spacing w:after="0" w:line="271" w:lineRule="auto"/>
        <w:tabs>
          <w:tab w:leader="none" w:pos="2699" w:val="left"/>
        </w:tabs>
        <w:numPr>
          <w:ilvl w:val="2"/>
          <w:numId w:val="44"/>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Each Initial Award shall vest and become exercisable with respect to 1/36th of the shares subject to the Initial Award on each monthly anniversary of the date of grant, subject to the Non-Employee Director continuing in service on the Board through each such vesting date. Each Subsequent Award shall vest and become exercisable with respect to 1/12th of the shares subject to the Subsequent Award on each monthly anniversary of the date of grant, which vesting will accelerate in full immediately prior to the next annual meeting of the Company’s stockholders after the date of grant to the extent unvested as of such date, subject to the Non-Employee Director continuing in service on the Board through each such vesting date. Unless as otherwise specified herein, no portion of an Initial Award or Subsequent Award which is unvested or unexercisable at the time of a Non-Employee Director’s termination of service on the Board shall become vested and exercisable thereafter. All of a Non-Employee Director’s Initial Awards and Subsequent Awards, and any other stock options or other equity-based awards outstanding and held by the Non-Employee Director, shall vest in full immediately prior to the occurrence of a Change in Control (as defined in the Equity Plan), to the extent outstanding at such time.</w:t>
      </w:r>
    </w:p>
    <w:p>
      <w:pPr>
        <w:spacing w:after="0" w:line="170" w:lineRule="exact"/>
        <w:rPr>
          <w:rFonts w:ascii="Arial" w:cs="Arial" w:eastAsia="Arial" w:hAnsi="Arial"/>
          <w:sz w:val="18"/>
          <w:szCs w:val="18"/>
          <w:color w:val="auto"/>
        </w:rPr>
      </w:pPr>
    </w:p>
    <w:p>
      <w:pPr>
        <w:ind w:firstLine="1944"/>
        <w:spacing w:after="0" w:line="260" w:lineRule="auto"/>
        <w:tabs>
          <w:tab w:leader="none" w:pos="2669" w:val="left"/>
        </w:tabs>
        <w:numPr>
          <w:ilvl w:val="2"/>
          <w:numId w:val="44"/>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The term of each stock option granted to a Non-Employee Director shall be ten (10) years from the date the option is granted.</w:t>
      </w:r>
    </w:p>
    <w:p>
      <w:pPr>
        <w:spacing w:after="0" w:line="176" w:lineRule="exact"/>
        <w:rPr>
          <w:rFonts w:ascii="Arial" w:cs="Arial" w:eastAsia="Arial" w:hAnsi="Arial"/>
          <w:sz w:val="20"/>
          <w:szCs w:val="20"/>
          <w:color w:val="auto"/>
        </w:rPr>
      </w:pPr>
    </w:p>
    <w:p>
      <w:pPr>
        <w:jc w:val="both"/>
        <w:ind w:firstLine="648"/>
        <w:spacing w:after="0" w:line="246" w:lineRule="auto"/>
        <w:tabs>
          <w:tab w:leader="none" w:pos="1791"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Reimbursements</w:t>
      </w:r>
      <w:r>
        <w:rPr>
          <w:rFonts w:ascii="Arial" w:cs="Arial" w:eastAsia="Arial" w:hAnsi="Arial"/>
          <w:sz w:val="20"/>
          <w:szCs w:val="20"/>
          <w:color w:val="auto"/>
        </w:rPr>
        <w:t>.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186" w:lineRule="exact"/>
        <w:rPr>
          <w:rFonts w:ascii="Arial" w:cs="Arial" w:eastAsia="Arial" w:hAnsi="Arial"/>
          <w:sz w:val="20"/>
          <w:szCs w:val="20"/>
          <w:color w:val="auto"/>
        </w:rPr>
      </w:pPr>
    </w:p>
    <w:p>
      <w:pPr>
        <w:ind w:left="4660"/>
        <w:spacing w:after="0"/>
        <w:rPr>
          <w:rFonts w:ascii="Arial" w:cs="Arial" w:eastAsia="Arial" w:hAnsi="Arial"/>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52" w:right="91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Michael Raab, certify that:</w:t>
      </w:r>
    </w:p>
    <w:p>
      <w:pPr>
        <w:spacing w:after="0" w:line="185" w:lineRule="exact"/>
        <w:rPr>
          <w:sz w:val="20"/>
          <w:szCs w:val="20"/>
          <w:color w:val="auto"/>
        </w:rPr>
      </w:pPr>
    </w:p>
    <w:p>
      <w:pPr>
        <w:ind w:left="440" w:hanging="437"/>
        <w:spacing w:after="0" w:line="207" w:lineRule="exact"/>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Ardelyx, Inc.;</w:t>
      </w:r>
    </w:p>
    <w:p>
      <w:pPr>
        <w:spacing w:after="0" w:line="184" w:lineRule="exact"/>
        <w:rPr>
          <w:rFonts w:ascii="Arial" w:cs="Arial" w:eastAsia="Arial" w:hAnsi="Arial"/>
          <w:sz w:val="18"/>
          <w:szCs w:val="18"/>
          <w:color w:val="auto"/>
        </w:rPr>
      </w:pPr>
    </w:p>
    <w:p>
      <w:pPr>
        <w:jc w:val="both"/>
        <w:ind w:left="440" w:right="80" w:hanging="437"/>
        <w:spacing w:after="0" w:line="22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right="60" w:hanging="437"/>
        <w:spacing w:after="0" w:line="22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440" w:right="20" w:hanging="437"/>
        <w:spacing w:after="0" w:line="194" w:lineRule="exact"/>
        <w:tabs>
          <w:tab w:leader="none" w:pos="4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860" w:right="220" w:hanging="425"/>
        <w:spacing w:after="0" w:line="219" w:lineRule="auto"/>
        <w:tabs>
          <w:tab w:leader="none" w:pos="8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60" w:right="20" w:hanging="425"/>
        <w:spacing w:after="0" w:line="219" w:lineRule="auto"/>
        <w:tabs>
          <w:tab w:leader="none" w:pos="8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860" w:right="60" w:hanging="425"/>
        <w:spacing w:after="0" w:line="224" w:lineRule="auto"/>
        <w:tabs>
          <w:tab w:leader="none" w:pos="8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60" w:right="300" w:hanging="425"/>
        <w:spacing w:after="0" w:line="219" w:lineRule="auto"/>
        <w:tabs>
          <w:tab w:leader="none" w:pos="8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440" w:right="280" w:hanging="437"/>
        <w:spacing w:after="0" w:line="224"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60" w:right="20" w:hanging="425"/>
        <w:spacing w:after="0" w:line="224" w:lineRule="auto"/>
        <w:tabs>
          <w:tab w:leader="none" w:pos="8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60" w:right="100" w:hanging="425"/>
        <w:spacing w:after="0" w:line="235" w:lineRule="auto"/>
        <w:tabs>
          <w:tab w:leader="none" w:pos="8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0" w:lineRule="exact"/>
        <w:rPr>
          <w:sz w:val="20"/>
          <w:szCs w:val="20"/>
          <w:color w:val="auto"/>
        </w:rPr>
      </w:pPr>
    </w:p>
    <w:p>
      <w:pPr>
        <w:spacing w:after="0"/>
        <w:tabs>
          <w:tab w:leader="none" w:pos="4380" w:val="left"/>
          <w:tab w:leader="none" w:pos="6280" w:val="left"/>
        </w:tabs>
        <w:rPr>
          <w:sz w:val="20"/>
          <w:szCs w:val="20"/>
          <w:color w:val="auto"/>
        </w:rPr>
      </w:pPr>
      <w:r>
        <w:rPr>
          <w:rFonts w:ascii="Arial" w:cs="Arial" w:eastAsia="Arial" w:hAnsi="Arial"/>
          <w:sz w:val="18"/>
          <w:szCs w:val="18"/>
          <w:color w:val="auto"/>
        </w:rPr>
        <w:t>Date: May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-635</wp:posOffset>
            </wp:positionV>
            <wp:extent cx="2735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4760"/>
        <w:spacing w:after="0" w:line="203" w:lineRule="auto"/>
        <w:rPr>
          <w:sz w:val="20"/>
          <w:szCs w:val="20"/>
          <w:color w:val="auto"/>
        </w:rPr>
      </w:pPr>
      <w:r>
        <w:rPr>
          <w:rFonts w:ascii="Arial" w:cs="Arial" w:eastAsia="Arial" w:hAnsi="Arial"/>
          <w:sz w:val="18"/>
          <w:szCs w:val="18"/>
          <w:b w:val="1"/>
          <w:bCs w:val="1"/>
          <w:color w:val="auto"/>
        </w:rPr>
        <w:t>Michael Raab</w:t>
      </w:r>
    </w:p>
    <w:p>
      <w:pPr>
        <w:jc w:val="center"/>
        <w:ind w:left="4760"/>
        <w:spacing w:after="0" w:line="204" w:lineRule="auto"/>
        <w:rPr>
          <w:sz w:val="20"/>
          <w:szCs w:val="20"/>
          <w:color w:val="auto"/>
        </w:rPr>
      </w:pPr>
      <w:r>
        <w:rPr>
          <w:rFonts w:ascii="Arial" w:cs="Arial" w:eastAsia="Arial" w:hAnsi="Arial"/>
          <w:sz w:val="18"/>
          <w:szCs w:val="18"/>
          <w:b w:val="1"/>
          <w:bCs w:val="1"/>
          <w:color w:val="auto"/>
        </w:rPr>
        <w:t>President Chief Executive Officer and Director</w:t>
      </w:r>
    </w:p>
    <w:p>
      <w:pPr>
        <w:jc w:val="center"/>
        <w:ind w:left="47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Mark Kaufmann, certify that:</w:t>
      </w:r>
    </w:p>
    <w:p>
      <w:pPr>
        <w:spacing w:after="0" w:line="185" w:lineRule="exact"/>
        <w:rPr>
          <w:sz w:val="20"/>
          <w:szCs w:val="20"/>
          <w:color w:val="auto"/>
        </w:rPr>
      </w:pPr>
    </w:p>
    <w:p>
      <w:pPr>
        <w:ind w:left="440" w:hanging="437"/>
        <w:spacing w:after="0" w:line="207" w:lineRule="exact"/>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Ardelyx, Inc.;</w:t>
      </w:r>
    </w:p>
    <w:p>
      <w:pPr>
        <w:spacing w:after="0" w:line="184" w:lineRule="exact"/>
        <w:rPr>
          <w:rFonts w:ascii="Arial" w:cs="Arial" w:eastAsia="Arial" w:hAnsi="Arial"/>
          <w:sz w:val="18"/>
          <w:szCs w:val="18"/>
          <w:color w:val="auto"/>
        </w:rPr>
      </w:pPr>
    </w:p>
    <w:p>
      <w:pPr>
        <w:jc w:val="both"/>
        <w:ind w:left="440" w:right="80" w:hanging="437"/>
        <w:spacing w:after="0" w:line="224"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right="60" w:hanging="437"/>
        <w:spacing w:after="0" w:line="224"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440" w:right="20" w:hanging="437"/>
        <w:spacing w:after="0" w:line="194" w:lineRule="exact"/>
        <w:tabs>
          <w:tab w:leader="none" w:pos="4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860" w:right="220" w:hanging="425"/>
        <w:spacing w:after="0" w:line="219" w:lineRule="auto"/>
        <w:tabs>
          <w:tab w:leader="none" w:pos="8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60" w:right="20" w:hanging="425"/>
        <w:spacing w:after="0" w:line="219" w:lineRule="auto"/>
        <w:tabs>
          <w:tab w:leader="none" w:pos="8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860" w:right="60" w:hanging="425"/>
        <w:spacing w:after="0" w:line="224" w:lineRule="auto"/>
        <w:tabs>
          <w:tab w:leader="none" w:pos="8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60" w:right="300" w:hanging="425"/>
        <w:spacing w:after="0" w:line="219" w:lineRule="auto"/>
        <w:tabs>
          <w:tab w:leader="none" w:pos="8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jc w:val="both"/>
        <w:ind w:left="440" w:right="280" w:hanging="437"/>
        <w:spacing w:after="0" w:line="224"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60" w:right="20" w:hanging="425"/>
        <w:spacing w:after="0" w:line="224" w:lineRule="auto"/>
        <w:tabs>
          <w:tab w:leader="none" w:pos="8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60" w:right="100" w:hanging="425"/>
        <w:spacing w:after="0" w:line="235" w:lineRule="auto"/>
        <w:tabs>
          <w:tab w:leader="none" w:pos="8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0" w:lineRule="exact"/>
        <w:rPr>
          <w:sz w:val="20"/>
          <w:szCs w:val="20"/>
          <w:color w:val="auto"/>
        </w:rPr>
      </w:pPr>
    </w:p>
    <w:p>
      <w:pPr>
        <w:spacing w:after="0"/>
        <w:tabs>
          <w:tab w:leader="none" w:pos="4600" w:val="left"/>
          <w:tab w:leader="none" w:pos="6260" w:val="left"/>
        </w:tabs>
        <w:rPr>
          <w:sz w:val="20"/>
          <w:szCs w:val="20"/>
          <w:color w:val="auto"/>
        </w:rPr>
      </w:pPr>
      <w:r>
        <w:rPr>
          <w:rFonts w:ascii="Arial" w:cs="Arial" w:eastAsia="Arial" w:hAnsi="Arial"/>
          <w:sz w:val="18"/>
          <w:szCs w:val="18"/>
          <w:color w:val="auto"/>
        </w:rPr>
        <w:t>Date: May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-635</wp:posOffset>
            </wp:positionV>
            <wp:extent cx="26416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jc w:val="center"/>
        <w:ind w:left="4900"/>
        <w:spacing w:after="0" w:line="203" w:lineRule="auto"/>
        <w:rPr>
          <w:sz w:val="20"/>
          <w:szCs w:val="20"/>
          <w:color w:val="auto"/>
        </w:rPr>
      </w:pPr>
      <w:r>
        <w:rPr>
          <w:rFonts w:ascii="Arial" w:cs="Arial" w:eastAsia="Arial" w:hAnsi="Arial"/>
          <w:sz w:val="18"/>
          <w:szCs w:val="18"/>
          <w:b w:val="1"/>
          <w:bCs w:val="1"/>
          <w:color w:val="auto"/>
        </w:rPr>
        <w:t>Mark Kaufmann</w:t>
      </w:r>
    </w:p>
    <w:p>
      <w:pPr>
        <w:jc w:val="center"/>
        <w:ind w:left="4900"/>
        <w:spacing w:after="0" w:line="204" w:lineRule="auto"/>
        <w:rPr>
          <w:sz w:val="20"/>
          <w:szCs w:val="20"/>
          <w:color w:val="auto"/>
        </w:rPr>
      </w:pPr>
      <w:r>
        <w:rPr>
          <w:rFonts w:ascii="Arial" w:cs="Arial" w:eastAsia="Arial" w:hAnsi="Arial"/>
          <w:sz w:val="18"/>
          <w:szCs w:val="18"/>
          <w:b w:val="1"/>
          <w:bCs w:val="1"/>
          <w:color w:val="auto"/>
        </w:rPr>
        <w:t>Chief Financial Officer</w:t>
      </w:r>
    </w:p>
    <w:p>
      <w:pPr>
        <w:jc w:val="center"/>
        <w:ind w:left="49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2200" w:right="2180" w:firstLine="62"/>
        <w:spacing w:after="0" w:line="239" w:lineRule="auto"/>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162" w:lineRule="exact"/>
        <w:rPr>
          <w:sz w:val="20"/>
          <w:szCs w:val="20"/>
          <w:color w:val="auto"/>
        </w:rPr>
      </w:pPr>
    </w:p>
    <w:p>
      <w:pPr>
        <w:ind w:right="60" w:firstLine="324"/>
        <w:spacing w:after="0" w:line="187" w:lineRule="exact"/>
        <w:rPr>
          <w:sz w:val="20"/>
          <w:szCs w:val="20"/>
          <w:color w:val="auto"/>
        </w:rPr>
      </w:pPr>
      <w:r>
        <w:rPr>
          <w:rFonts w:ascii="Arial" w:cs="Arial" w:eastAsia="Arial" w:hAnsi="Arial"/>
          <w:sz w:val="18"/>
          <w:szCs w:val="18"/>
          <w:color w:val="auto"/>
        </w:rPr>
        <w:t>In connection with the Quarterly Report of Ardelyx,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ending March 31, 2019, as filed with the Securities and Exchange Commission on the date hereof (the “Report”), Michael Raab, President and Chief Executive Officer of the Company, and Mark Kaufmann, Chief Financial Officer of the Company, respectively, do each hereby certify, pursuant to 18 U.S.C. Section 1350, as adopted pursuant to Section 906 of the Sarbanes-Oxley Act of 2002, that:</w:t>
      </w:r>
    </w:p>
    <w:p>
      <w:pPr>
        <w:spacing w:after="0" w:line="162" w:lineRule="exact"/>
        <w:rPr>
          <w:sz w:val="20"/>
          <w:szCs w:val="20"/>
          <w:color w:val="auto"/>
        </w:rPr>
      </w:pPr>
    </w:p>
    <w:p>
      <w:pPr>
        <w:ind w:left="760" w:right="60" w:hanging="433"/>
        <w:spacing w:after="0" w:line="235"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760" w:right="160" w:hanging="433"/>
        <w:spacing w:after="0" w:line="235"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90" w:lineRule="exact"/>
        <w:rPr>
          <w:sz w:val="20"/>
          <w:szCs w:val="20"/>
          <w:color w:val="auto"/>
        </w:rPr>
      </w:pPr>
    </w:p>
    <w:p>
      <w:pPr>
        <w:spacing w:after="0"/>
        <w:tabs>
          <w:tab w:leader="none" w:pos="4600" w:val="left"/>
          <w:tab w:leader="none" w:pos="6380" w:val="left"/>
        </w:tabs>
        <w:rPr>
          <w:sz w:val="20"/>
          <w:szCs w:val="20"/>
          <w:color w:val="auto"/>
        </w:rPr>
      </w:pPr>
      <w:r>
        <w:rPr>
          <w:rFonts w:ascii="Arial" w:cs="Arial" w:eastAsia="Arial" w:hAnsi="Arial"/>
          <w:sz w:val="18"/>
          <w:szCs w:val="18"/>
          <w:color w:val="auto"/>
        </w:rPr>
        <w:t>Date: May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-635</wp:posOffset>
            </wp:positionV>
            <wp:extent cx="26155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jc w:val="center"/>
        <w:ind w:left="4940"/>
        <w:spacing w:after="0" w:line="203" w:lineRule="auto"/>
        <w:rPr>
          <w:sz w:val="20"/>
          <w:szCs w:val="20"/>
          <w:color w:val="auto"/>
        </w:rPr>
      </w:pPr>
      <w:r>
        <w:rPr>
          <w:rFonts w:ascii="Arial" w:cs="Arial" w:eastAsia="Arial" w:hAnsi="Arial"/>
          <w:sz w:val="18"/>
          <w:szCs w:val="18"/>
          <w:b w:val="1"/>
          <w:bCs w:val="1"/>
          <w:color w:val="auto"/>
        </w:rPr>
        <w:t>Michael Raab</w:t>
      </w:r>
    </w:p>
    <w:p>
      <w:pPr>
        <w:jc w:val="center"/>
        <w:ind w:left="4940"/>
        <w:spacing w:after="0" w:line="204" w:lineRule="auto"/>
        <w:rPr>
          <w:sz w:val="20"/>
          <w:szCs w:val="20"/>
          <w:color w:val="auto"/>
        </w:rPr>
      </w:pPr>
      <w:r>
        <w:rPr>
          <w:rFonts w:ascii="Arial" w:cs="Arial" w:eastAsia="Arial" w:hAnsi="Arial"/>
          <w:sz w:val="18"/>
          <w:szCs w:val="18"/>
          <w:b w:val="1"/>
          <w:bCs w:val="1"/>
          <w:color w:val="auto"/>
        </w:rPr>
        <w:t>President Chief Executive Officer and Director</w:t>
      </w:r>
    </w:p>
    <w:p>
      <w:pPr>
        <w:jc w:val="center"/>
        <w:ind w:left="4940"/>
        <w:spacing w:after="0"/>
        <w:rPr>
          <w:sz w:val="20"/>
          <w:szCs w:val="20"/>
          <w:color w:val="auto"/>
        </w:rPr>
      </w:pPr>
      <w:r>
        <w:rPr>
          <w:rFonts w:ascii="Arial" w:cs="Arial" w:eastAsia="Arial" w:hAnsi="Arial"/>
          <w:sz w:val="18"/>
          <w:szCs w:val="18"/>
          <w:b w:val="1"/>
          <w:bCs w:val="1"/>
          <w:color w:val="auto"/>
        </w:rPr>
        <w:t>(Principal Executive Officer)</w:t>
      </w:r>
    </w:p>
    <w:p>
      <w:pPr>
        <w:spacing w:after="0" w:line="302" w:lineRule="exact"/>
        <w:rPr>
          <w:sz w:val="20"/>
          <w:szCs w:val="20"/>
          <w:color w:val="auto"/>
        </w:rPr>
      </w:pPr>
    </w:p>
    <w:p>
      <w:pPr>
        <w:spacing w:after="0"/>
        <w:tabs>
          <w:tab w:leader="none" w:pos="4600" w:val="left"/>
          <w:tab w:leader="none" w:pos="6280" w:val="left"/>
        </w:tabs>
        <w:rPr>
          <w:sz w:val="20"/>
          <w:szCs w:val="20"/>
          <w:color w:val="auto"/>
        </w:rPr>
      </w:pPr>
      <w:r>
        <w:rPr>
          <w:rFonts w:ascii="Arial" w:cs="Arial" w:eastAsia="Arial" w:hAnsi="Arial"/>
          <w:sz w:val="18"/>
          <w:szCs w:val="18"/>
          <w:color w:val="auto"/>
        </w:rPr>
        <w:t>Date: May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3140710</wp:posOffset>
            </wp:positionH>
            <wp:positionV relativeFrom="paragraph">
              <wp:posOffset>-635</wp:posOffset>
            </wp:positionV>
            <wp:extent cx="26155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jc w:val="center"/>
        <w:ind w:left="4940"/>
        <w:spacing w:after="0" w:line="203" w:lineRule="auto"/>
        <w:rPr>
          <w:sz w:val="20"/>
          <w:szCs w:val="20"/>
          <w:color w:val="auto"/>
        </w:rPr>
      </w:pPr>
      <w:r>
        <w:rPr>
          <w:rFonts w:ascii="Arial" w:cs="Arial" w:eastAsia="Arial" w:hAnsi="Arial"/>
          <w:sz w:val="18"/>
          <w:szCs w:val="18"/>
          <w:b w:val="1"/>
          <w:bCs w:val="1"/>
          <w:color w:val="auto"/>
        </w:rPr>
        <w:t>Mark Kaufmann</w:t>
      </w:r>
    </w:p>
    <w:p>
      <w:pPr>
        <w:jc w:val="center"/>
        <w:ind w:left="4940"/>
        <w:spacing w:after="0" w:line="204" w:lineRule="auto"/>
        <w:rPr>
          <w:sz w:val="20"/>
          <w:szCs w:val="20"/>
          <w:color w:val="auto"/>
        </w:rPr>
      </w:pPr>
      <w:r>
        <w:rPr>
          <w:rFonts w:ascii="Arial" w:cs="Arial" w:eastAsia="Arial" w:hAnsi="Arial"/>
          <w:sz w:val="18"/>
          <w:szCs w:val="18"/>
          <w:b w:val="1"/>
          <w:bCs w:val="1"/>
          <w:color w:val="auto"/>
        </w:rPr>
        <w:t>Chief Financial Officer</w:t>
      </w:r>
    </w:p>
    <w:p>
      <w:pPr>
        <w:jc w:val="center"/>
        <w:ind w:left="49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lowerRoman"/>
      <w:start w:val="2"/>
    </w:lvl>
  </w:abstractNum>
  <w:abstractNum w:abstractNumId="5">
    <w:nsid w:val="54E49EB4"/>
    <w:multiLevelType w:val="hybridMultilevel"/>
    <w:lvl w:ilvl="0">
      <w:lvlJc w:val="left"/>
      <w:lvlText w:val="(%1)"/>
      <w:numFmt w:val="lowerRoman"/>
      <w:start w:val="4"/>
    </w:lvl>
  </w:abstractNum>
  <w:abstractNum w:abstractNumId="6">
    <w:nsid w:val="71F32454"/>
    <w:multiLevelType w:val="hybridMultilevel"/>
    <w:lvl w:ilvl="0">
      <w:lvlJc w:val="left"/>
      <w:lvlText w:val="%1."/>
      <w:numFmt w:val="decimal"/>
      <w:start w:val="6"/>
    </w:lvl>
  </w:abstractNum>
  <w:abstractNum w:abstractNumId="7">
    <w:nsid w:val="2CA88611"/>
    <w:multiLevelType w:val="hybridMultilevel"/>
    <w:lvl w:ilvl="0">
      <w:lvlJc w:val="left"/>
      <w:lvlText w:val="%1)"/>
      <w:numFmt w:val="lowerRoman"/>
      <w:start w:val="1"/>
    </w:lvl>
  </w:abstractNum>
  <w:abstractNum w:abstractNumId="8">
    <w:nsid w:val="836C40E"/>
    <w:multiLevelType w:val="hybridMultilevel"/>
    <w:lvl w:ilvl="0">
      <w:lvlJc w:val="left"/>
      <w:lvlText w:val="(%1)"/>
      <w:numFmt w:val="lowerRoman"/>
      <w:start w:val="3"/>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lvl w:ilvl="1">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lvl w:ilvl="1">
      <w:lvlJc w:val="left"/>
      <w:lvlText w:val="(%2)"/>
      <w:numFmt w:val="lowerRoman"/>
      <w:start w:val="1"/>
    </w:lvl>
  </w:abstractNum>
  <w:abstractNum w:abstractNumId="39">
    <w:nsid w:val="725A06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
    <w:nsid w:val="2CD89A32"/>
    <w:multiLevelType w:val="hybridMultilevel"/>
    <w:lvl w:ilvl="0">
      <w:lvlJc w:val="left"/>
      <w:lvlText w:val="(%1)"/>
      <w:numFmt w:val="lowerRoman"/>
      <w:start w:val="6"/>
    </w:lvl>
  </w:abstractNum>
  <w:abstractNum w:abstractNumId="41">
    <w:nsid w:val="57E4CCAF"/>
    <w:multiLevelType w:val="hybridMultilevel"/>
    <w:lvl w:ilvl="0">
      <w:lvlJc w:val="left"/>
      <w:lvlText w:val="%1"/>
      <w:numFmt w:val="decimal"/>
      <w:start w:val="1"/>
    </w:lvl>
    <w:lvl w:ilvl="1">
      <w:lvlJc w:val="left"/>
      <w:lvlText w:val="(%2)"/>
      <w:numFmt w:val="lowerLetter"/>
      <w:start w:val="3"/>
    </w:lvl>
  </w:abstractNum>
  <w:abstractNum w:abstractNumId="42">
    <w:nsid w:val="7A6D8D3C"/>
    <w:multiLevelType w:val="hybridMultilevel"/>
    <w:lvl w:ilvl="0">
      <w:lvlJc w:val="left"/>
      <w:lvlText w:val="%1."/>
      <w:numFmt w:val="decimal"/>
      <w:start w:val="2"/>
    </w:lvl>
    <w:lvl w:ilvl="1">
      <w:lvlJc w:val="left"/>
      <w:lvlText w:val="(%2)"/>
      <w:numFmt w:val="lowerLetter"/>
      <w:start w:val="1"/>
    </w:lvl>
  </w:abstractNum>
  <w:abstractNum w:abstractNumId="43">
    <w:nsid w:val="4B588F5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44">
    <w:nsid w:val="542289E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2019-12-28T12:56:10Z</dcterms:created>
  <dcterms:modified xsi:type="dcterms:W3CDTF">2019-12-28T12:56:10Z</dcterms:modified>
</cp:coreProperties>
</file>