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034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0344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RAAB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6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2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President &amp;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2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11,357</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887,655</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24,364</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vMerge w:val="restart"/>
          </w:tcPr>
          <w:p>
            <w:pPr>
              <w:jc w:val="center"/>
              <w:ind w:right="356"/>
              <w:spacing w:after="0"/>
              <w:rPr>
                <w:sz w:val="20"/>
                <w:szCs w:val="20"/>
                <w:color w:val="auto"/>
              </w:rPr>
            </w:pPr>
            <w:r>
              <w:rPr>
                <w:rFonts w:ascii="Arial" w:cs="Arial" w:eastAsia="Arial" w:hAnsi="Arial"/>
                <w:sz w:val="18"/>
                <w:szCs w:val="18"/>
                <w:color w:val="0000FF"/>
                <w:w w:val="88"/>
              </w:rPr>
              <w:t>1,000</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adjusted total which includes the purchase of 3,000 shares under the Ardelyx Employee Stock Purchase Plan in February 2023.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Michael G. Raab, Trustee of the Michael G. Raab Living Trust dated July 25,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owned directly by trusts for the benefit of the Reporting Person's children.</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29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2023-05-25T08:29:01Z</dcterms:created>
  <dcterms:modified xsi:type="dcterms:W3CDTF">2023-05-25T08:29:01Z</dcterms:modified>
</cp:coreProperties>
</file>