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November 3, 2025</w:t>
      </w:r>
    </w:p>
    <w:p>
      <w:pPr>
        <w:spacing w:after="0" w:line="16"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3"/>
          <w:szCs w:val="13"/>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154940</wp:posOffset>
            </wp:positionH>
            <wp:positionV relativeFrom="paragraph">
              <wp:posOffset>53340</wp:posOffset>
            </wp:positionV>
            <wp:extent cx="541718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17185" cy="6350"/>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86995</wp:posOffset>
            </wp:positionV>
            <wp:extent cx="541718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7185" cy="6350"/>
                    </a:xfrm>
                    <a:prstGeom prst="rect">
                      <a:avLst/>
                    </a:prstGeom>
                    <a:noFill/>
                  </pic:spPr>
                </pic:pic>
              </a:graphicData>
            </a:graphic>
          </wp:anchor>
        </w:drawing>
      </w:r>
    </w:p>
    <w:p>
      <w:pPr>
        <w:spacing w:after="0" w:line="1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2292350</wp:posOffset>
            </wp:positionH>
            <wp:positionV relativeFrom="paragraph">
              <wp:posOffset>96520</wp:posOffset>
            </wp:positionV>
            <wp:extent cx="113538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S-3</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i w:val="1"/>
          <w:iCs w:val="1"/>
          <w:color w:val="auto"/>
        </w:rPr>
        <w:t>UNDER</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2292350</wp:posOffset>
            </wp:positionH>
            <wp:positionV relativeFrom="paragraph">
              <wp:posOffset>103505</wp:posOffset>
            </wp:positionV>
            <wp:extent cx="11353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1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Ardelyx, Inc.</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2292350</wp:posOffset>
            </wp:positionH>
            <wp:positionV relativeFrom="paragraph">
              <wp:posOffset>95250</wp:posOffset>
            </wp:positionV>
            <wp:extent cx="11353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222" w:lineRule="exact"/>
        <w:rPr>
          <w:sz w:val="24"/>
          <w:szCs w:val="24"/>
          <w:color w:val="auto"/>
        </w:rPr>
      </w:pPr>
    </w:p>
    <w:tbl>
      <w:tblPr>
        <w:tblLayout w:type="fixed"/>
        <w:tblInd w:w="1760" w:type="dxa"/>
        <w:tblCellMar>
          <w:top w:w="0" w:type="dxa"/>
          <w:left w:w="0" w:type="dxa"/>
          <w:bottom w:w="0" w:type="dxa"/>
          <w:right w:w="0" w:type="dxa"/>
        </w:tblCellMar>
      </w:tblPr>
      <w:tr>
        <w:trPr>
          <w:trHeight w:val="154"/>
        </w:trPr>
        <w:tc>
          <w:tcPr>
            <w:tcW w:w="2860" w:type="dxa"/>
            <w:vAlign w:val="bottom"/>
          </w:tcPr>
          <w:p>
            <w:pPr>
              <w:jc w:val="center"/>
              <w:ind w:right="154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560" w:type="dxa"/>
            <w:vAlign w:val="bottom"/>
          </w:tcPr>
          <w:p>
            <w:pPr>
              <w:jc w:val="center"/>
              <w:ind w:left="1547"/>
              <w:spacing w:after="0"/>
              <w:rPr>
                <w:sz w:val="20"/>
                <w:szCs w:val="20"/>
                <w:color w:val="auto"/>
              </w:rPr>
            </w:pPr>
            <w:r>
              <w:rPr>
                <w:rFonts w:ascii="Times New Roman" w:cs="Times New Roman" w:eastAsia="Times New Roman" w:hAnsi="Times New Roman"/>
                <w:sz w:val="13"/>
                <w:szCs w:val="13"/>
                <w:b w:val="1"/>
                <w:bCs w:val="1"/>
                <w:color w:val="auto"/>
                <w:w w:val="95"/>
              </w:rPr>
              <w:t>26-1303944</w:t>
            </w:r>
          </w:p>
        </w:tc>
      </w:tr>
      <w:tr>
        <w:trPr>
          <w:trHeight w:val="105"/>
        </w:trPr>
        <w:tc>
          <w:tcPr>
            <w:tcW w:w="2860" w:type="dxa"/>
            <w:vAlign w:val="bottom"/>
          </w:tcPr>
          <w:p>
            <w:pPr>
              <w:jc w:val="center"/>
              <w:ind w:right="1547"/>
              <w:spacing w:after="0" w:line="105" w:lineRule="exact"/>
              <w:rPr>
                <w:sz w:val="20"/>
                <w:szCs w:val="20"/>
                <w:color w:val="auto"/>
              </w:rPr>
            </w:pPr>
            <w:r>
              <w:rPr>
                <w:rFonts w:ascii="Times New Roman" w:cs="Times New Roman" w:eastAsia="Times New Roman" w:hAnsi="Times New Roman"/>
                <w:sz w:val="10"/>
                <w:szCs w:val="10"/>
                <w:b w:val="1"/>
                <w:bCs w:val="1"/>
                <w:color w:val="auto"/>
                <w:w w:val="97"/>
              </w:rPr>
              <w:t>(State or other jurisdiction of</w:t>
            </w:r>
          </w:p>
        </w:tc>
        <w:tc>
          <w:tcPr>
            <w:tcW w:w="2560" w:type="dxa"/>
            <w:vAlign w:val="bottom"/>
          </w:tcPr>
          <w:p>
            <w:pPr>
              <w:jc w:val="center"/>
              <w:ind w:left="1547"/>
              <w:spacing w:after="0" w:line="105" w:lineRule="exact"/>
              <w:rPr>
                <w:sz w:val="20"/>
                <w:szCs w:val="20"/>
                <w:color w:val="auto"/>
              </w:rPr>
            </w:pPr>
            <w:r>
              <w:rPr>
                <w:rFonts w:ascii="Times New Roman" w:cs="Times New Roman" w:eastAsia="Times New Roman" w:hAnsi="Times New Roman"/>
                <w:sz w:val="10"/>
                <w:szCs w:val="10"/>
                <w:b w:val="1"/>
                <w:bCs w:val="1"/>
                <w:color w:val="auto"/>
                <w:w w:val="99"/>
              </w:rPr>
              <w:t>(I.R.S. Employer</w:t>
            </w:r>
          </w:p>
        </w:tc>
      </w:tr>
      <w:tr>
        <w:trPr>
          <w:trHeight w:val="127"/>
        </w:trPr>
        <w:tc>
          <w:tcPr>
            <w:tcW w:w="2860" w:type="dxa"/>
            <w:vAlign w:val="bottom"/>
          </w:tcPr>
          <w:p>
            <w:pPr>
              <w:jc w:val="center"/>
              <w:ind w:right="1547"/>
              <w:spacing w:after="0"/>
              <w:rPr>
                <w:sz w:val="20"/>
                <w:szCs w:val="20"/>
                <w:color w:val="auto"/>
              </w:rPr>
            </w:pPr>
            <w:r>
              <w:rPr>
                <w:rFonts w:ascii="Times New Roman" w:cs="Times New Roman" w:eastAsia="Times New Roman" w:hAnsi="Times New Roman"/>
                <w:sz w:val="10"/>
                <w:szCs w:val="10"/>
                <w:b w:val="1"/>
                <w:bCs w:val="1"/>
                <w:color w:val="auto"/>
                <w:w w:val="96"/>
              </w:rPr>
              <w:t>incorporation or organization)</w:t>
            </w:r>
          </w:p>
        </w:tc>
        <w:tc>
          <w:tcPr>
            <w:tcW w:w="2560" w:type="dxa"/>
            <w:vAlign w:val="bottom"/>
          </w:tcPr>
          <w:p>
            <w:pPr>
              <w:jc w:val="center"/>
              <w:ind w:left="1547"/>
              <w:spacing w:after="0"/>
              <w:rPr>
                <w:sz w:val="20"/>
                <w:szCs w:val="20"/>
                <w:color w:val="auto"/>
              </w:rPr>
            </w:pPr>
            <w:r>
              <w:rPr>
                <w:rFonts w:ascii="Times New Roman" w:cs="Times New Roman" w:eastAsia="Times New Roman" w:hAnsi="Times New Roman"/>
                <w:sz w:val="10"/>
                <w:szCs w:val="10"/>
                <w:b w:val="1"/>
                <w:bCs w:val="1"/>
                <w:color w:val="auto"/>
                <w:w w:val="96"/>
              </w:rPr>
              <w:t>Identification Number)</w:t>
            </w:r>
          </w:p>
        </w:tc>
      </w:tr>
    </w:tbl>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400 Fifth Avenue, Suite 210</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Waltham, MA 02451</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(510) 745-1700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2292350</wp:posOffset>
            </wp:positionH>
            <wp:positionV relativeFrom="paragraph">
              <wp:posOffset>95250</wp:posOffset>
            </wp:positionV>
            <wp:extent cx="113538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1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Michael Raab</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President &amp; Chief Executive Officer</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Ardelyx, Inc.</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400 Fifth Avenue, Suite 210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Waltham, MA 02451</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(510) 745-1700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2292350</wp:posOffset>
            </wp:positionH>
            <wp:positionV relativeFrom="paragraph">
              <wp:posOffset>88900</wp:posOffset>
            </wp:positionV>
            <wp:extent cx="113538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180" w:lineRule="exact"/>
        <w:rPr>
          <w:sz w:val="24"/>
          <w:szCs w:val="24"/>
          <w:color w:val="auto"/>
        </w:rPr>
      </w:pPr>
    </w:p>
    <w:tbl>
      <w:tblPr>
        <w:tblLayout w:type="fixed"/>
        <w:tblInd w:w="1740" w:type="dxa"/>
        <w:tblCellMar>
          <w:top w:w="0" w:type="dxa"/>
          <w:left w:w="0" w:type="dxa"/>
          <w:bottom w:w="0" w:type="dxa"/>
          <w:right w:w="0" w:type="dxa"/>
        </w:tblCellMar>
      </w:tblPr>
      <w:tr>
        <w:trPr>
          <w:trHeight w:val="166"/>
        </w:trPr>
        <w:tc>
          <w:tcPr>
            <w:tcW w:w="1900" w:type="dxa"/>
            <w:vAlign w:val="bottom"/>
          </w:tcPr>
          <w:p>
            <w:pPr>
              <w:spacing w:after="0"/>
              <w:rPr>
                <w:sz w:val="14"/>
                <w:szCs w:val="14"/>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tc>
      </w:tr>
      <w:tr>
        <w:trPr>
          <w:trHeight w:val="211"/>
        </w:trPr>
        <w:tc>
          <w:tcPr>
            <w:tcW w:w="1900" w:type="dxa"/>
            <w:vAlign w:val="bottom"/>
          </w:tcPr>
          <w:p>
            <w:pPr>
              <w:jc w:val="center"/>
              <w:ind w:right="537"/>
              <w:spacing w:after="0"/>
              <w:rPr>
                <w:sz w:val="20"/>
                <w:szCs w:val="20"/>
                <w:color w:val="auto"/>
              </w:rPr>
            </w:pPr>
            <w:r>
              <w:rPr>
                <w:rFonts w:ascii="Times New Roman" w:cs="Times New Roman" w:eastAsia="Times New Roman" w:hAnsi="Times New Roman"/>
                <w:sz w:val="13"/>
                <w:szCs w:val="13"/>
                <w:b w:val="1"/>
                <w:bCs w:val="1"/>
                <w:color w:val="auto"/>
                <w:w w:val="93"/>
              </w:rPr>
              <w:t>Mark V. Roeder, Esq.</w:t>
            </w:r>
          </w:p>
        </w:tc>
        <w:tc>
          <w:tcPr>
            <w:tcW w:w="4120" w:type="dxa"/>
            <w:vAlign w:val="bottom"/>
          </w:tcPr>
          <w:p>
            <w:pPr>
              <w:jc w:val="center"/>
              <w:ind w:left="1937"/>
              <w:spacing w:after="0"/>
              <w:rPr>
                <w:sz w:val="20"/>
                <w:szCs w:val="20"/>
                <w:color w:val="auto"/>
              </w:rPr>
            </w:pPr>
            <w:r>
              <w:rPr>
                <w:rFonts w:ascii="Times New Roman" w:cs="Times New Roman" w:eastAsia="Times New Roman" w:hAnsi="Times New Roman"/>
                <w:sz w:val="13"/>
                <w:szCs w:val="13"/>
                <w:b w:val="1"/>
                <w:bCs w:val="1"/>
                <w:color w:val="auto"/>
                <w:w w:val="95"/>
              </w:rPr>
              <w:t>Elizabeth Grammer, Esq.</w:t>
            </w:r>
          </w:p>
        </w:tc>
      </w:tr>
      <w:tr>
        <w:trPr>
          <w:trHeight w:val="157"/>
        </w:trPr>
        <w:tc>
          <w:tcPr>
            <w:tcW w:w="1900" w:type="dxa"/>
            <w:vAlign w:val="bottom"/>
          </w:tcPr>
          <w:p>
            <w:pPr>
              <w:jc w:val="center"/>
              <w:ind w:right="537"/>
              <w:spacing w:after="0"/>
              <w:rPr>
                <w:sz w:val="20"/>
                <w:szCs w:val="20"/>
                <w:color w:val="auto"/>
              </w:rPr>
            </w:pPr>
            <w:r>
              <w:rPr>
                <w:rFonts w:ascii="Times New Roman" w:cs="Times New Roman" w:eastAsia="Times New Roman" w:hAnsi="Times New Roman"/>
                <w:sz w:val="13"/>
                <w:szCs w:val="13"/>
                <w:b w:val="1"/>
                <w:bCs w:val="1"/>
                <w:color w:val="auto"/>
                <w:w w:val="95"/>
              </w:rPr>
              <w:t>John C. Williams, Esq.</w:t>
            </w:r>
          </w:p>
        </w:tc>
        <w:tc>
          <w:tcPr>
            <w:tcW w:w="4120" w:type="dxa"/>
            <w:vAlign w:val="bottom"/>
          </w:tcPr>
          <w:p>
            <w:pPr>
              <w:jc w:val="center"/>
              <w:ind w:left="1937"/>
              <w:spacing w:after="0"/>
              <w:rPr>
                <w:sz w:val="20"/>
                <w:szCs w:val="20"/>
                <w:color w:val="auto"/>
              </w:rPr>
            </w:pPr>
            <w:r>
              <w:rPr>
                <w:rFonts w:ascii="Times New Roman" w:cs="Times New Roman" w:eastAsia="Times New Roman" w:hAnsi="Times New Roman"/>
                <w:sz w:val="13"/>
                <w:szCs w:val="13"/>
                <w:b w:val="1"/>
                <w:bCs w:val="1"/>
                <w:color w:val="auto"/>
                <w:w w:val="96"/>
              </w:rPr>
              <w:t>Chief Legal and Administrative Officer</w:t>
            </w:r>
          </w:p>
        </w:tc>
      </w:tr>
      <w:tr>
        <w:trPr>
          <w:trHeight w:val="157"/>
        </w:trPr>
        <w:tc>
          <w:tcPr>
            <w:tcW w:w="1900" w:type="dxa"/>
            <w:vAlign w:val="bottom"/>
          </w:tcPr>
          <w:p>
            <w:pPr>
              <w:jc w:val="center"/>
              <w:ind w:right="537"/>
              <w:spacing w:after="0"/>
              <w:rPr>
                <w:sz w:val="20"/>
                <w:szCs w:val="20"/>
                <w:color w:val="auto"/>
              </w:rPr>
            </w:pPr>
            <w:r>
              <w:rPr>
                <w:rFonts w:ascii="Times New Roman" w:cs="Times New Roman" w:eastAsia="Times New Roman" w:hAnsi="Times New Roman"/>
                <w:sz w:val="13"/>
                <w:szCs w:val="13"/>
                <w:b w:val="1"/>
                <w:bCs w:val="1"/>
                <w:color w:val="auto"/>
                <w:w w:val="94"/>
              </w:rPr>
              <w:t>Latham &amp; Watkins LLP</w:t>
            </w:r>
          </w:p>
        </w:tc>
        <w:tc>
          <w:tcPr>
            <w:tcW w:w="4120" w:type="dxa"/>
            <w:vAlign w:val="bottom"/>
          </w:tcPr>
          <w:p>
            <w:pPr>
              <w:jc w:val="center"/>
              <w:ind w:left="1917"/>
              <w:spacing w:after="0"/>
              <w:rPr>
                <w:sz w:val="20"/>
                <w:szCs w:val="20"/>
                <w:color w:val="auto"/>
              </w:rPr>
            </w:pPr>
            <w:r>
              <w:rPr>
                <w:rFonts w:ascii="Times New Roman" w:cs="Times New Roman" w:eastAsia="Times New Roman" w:hAnsi="Times New Roman"/>
                <w:sz w:val="13"/>
                <w:szCs w:val="13"/>
                <w:b w:val="1"/>
                <w:bCs w:val="1"/>
                <w:color w:val="auto"/>
                <w:w w:val="96"/>
              </w:rPr>
              <w:t>Ardelyx, Inc.</w:t>
            </w:r>
          </w:p>
        </w:tc>
      </w:tr>
      <w:tr>
        <w:trPr>
          <w:trHeight w:val="157"/>
        </w:trPr>
        <w:tc>
          <w:tcPr>
            <w:tcW w:w="1900" w:type="dxa"/>
            <w:vAlign w:val="bottom"/>
          </w:tcPr>
          <w:p>
            <w:pPr>
              <w:jc w:val="center"/>
              <w:ind w:right="537"/>
              <w:spacing w:after="0"/>
              <w:rPr>
                <w:sz w:val="20"/>
                <w:szCs w:val="20"/>
                <w:color w:val="auto"/>
              </w:rPr>
            </w:pPr>
            <w:r>
              <w:rPr>
                <w:rFonts w:ascii="Times New Roman" w:cs="Times New Roman" w:eastAsia="Times New Roman" w:hAnsi="Times New Roman"/>
                <w:sz w:val="13"/>
                <w:szCs w:val="13"/>
                <w:b w:val="1"/>
                <w:bCs w:val="1"/>
                <w:color w:val="auto"/>
                <w:w w:val="96"/>
              </w:rPr>
              <w:t>140 Scott Drive</w:t>
            </w:r>
          </w:p>
        </w:tc>
        <w:tc>
          <w:tcPr>
            <w:tcW w:w="4120" w:type="dxa"/>
            <w:vAlign w:val="bottom"/>
          </w:tcPr>
          <w:p>
            <w:pPr>
              <w:jc w:val="center"/>
              <w:ind w:left="1937"/>
              <w:spacing w:after="0"/>
              <w:rPr>
                <w:sz w:val="20"/>
                <w:szCs w:val="20"/>
                <w:color w:val="auto"/>
              </w:rPr>
            </w:pPr>
            <w:r>
              <w:rPr>
                <w:rFonts w:ascii="Times New Roman" w:cs="Times New Roman" w:eastAsia="Times New Roman" w:hAnsi="Times New Roman"/>
                <w:sz w:val="13"/>
                <w:szCs w:val="13"/>
                <w:b w:val="1"/>
                <w:bCs w:val="1"/>
                <w:color w:val="auto"/>
                <w:w w:val="94"/>
              </w:rPr>
              <w:t>400 Fifth Avenue, Suite 210</w:t>
            </w:r>
          </w:p>
        </w:tc>
      </w:tr>
      <w:tr>
        <w:trPr>
          <w:trHeight w:val="157"/>
        </w:trPr>
        <w:tc>
          <w:tcPr>
            <w:tcW w:w="1900" w:type="dxa"/>
            <w:vAlign w:val="bottom"/>
          </w:tcPr>
          <w:p>
            <w:pPr>
              <w:jc w:val="center"/>
              <w:ind w:right="537"/>
              <w:spacing w:after="0"/>
              <w:rPr>
                <w:sz w:val="20"/>
                <w:szCs w:val="20"/>
                <w:color w:val="auto"/>
              </w:rPr>
            </w:pPr>
            <w:r>
              <w:rPr>
                <w:rFonts w:ascii="Times New Roman" w:cs="Times New Roman" w:eastAsia="Times New Roman" w:hAnsi="Times New Roman"/>
                <w:sz w:val="13"/>
                <w:szCs w:val="13"/>
                <w:b w:val="1"/>
                <w:bCs w:val="1"/>
                <w:color w:val="auto"/>
                <w:w w:val="95"/>
              </w:rPr>
              <w:t>Menlo Park, CA 94025</w:t>
            </w:r>
          </w:p>
        </w:tc>
        <w:tc>
          <w:tcPr>
            <w:tcW w:w="4120" w:type="dxa"/>
            <w:vAlign w:val="bottom"/>
          </w:tcPr>
          <w:p>
            <w:pPr>
              <w:jc w:val="center"/>
              <w:ind w:left="1937"/>
              <w:spacing w:after="0"/>
              <w:rPr>
                <w:sz w:val="20"/>
                <w:szCs w:val="20"/>
                <w:color w:val="auto"/>
              </w:rPr>
            </w:pPr>
            <w:r>
              <w:rPr>
                <w:rFonts w:ascii="Times New Roman" w:cs="Times New Roman" w:eastAsia="Times New Roman" w:hAnsi="Times New Roman"/>
                <w:sz w:val="13"/>
                <w:szCs w:val="13"/>
                <w:b w:val="1"/>
                <w:bCs w:val="1"/>
                <w:color w:val="auto"/>
                <w:w w:val="96"/>
              </w:rPr>
              <w:t>Waltham, MA 02451</w:t>
            </w:r>
          </w:p>
        </w:tc>
      </w:tr>
      <w:tr>
        <w:trPr>
          <w:trHeight w:val="166"/>
        </w:trPr>
        <w:tc>
          <w:tcPr>
            <w:tcW w:w="1900" w:type="dxa"/>
            <w:vAlign w:val="bottom"/>
          </w:tcPr>
          <w:p>
            <w:pPr>
              <w:jc w:val="center"/>
              <w:ind w:right="537"/>
              <w:spacing w:after="0"/>
              <w:rPr>
                <w:sz w:val="20"/>
                <w:szCs w:val="20"/>
                <w:color w:val="auto"/>
              </w:rPr>
            </w:pPr>
            <w:r>
              <w:rPr>
                <w:rFonts w:ascii="Times New Roman" w:cs="Times New Roman" w:eastAsia="Times New Roman" w:hAnsi="Times New Roman"/>
                <w:sz w:val="13"/>
                <w:szCs w:val="13"/>
                <w:b w:val="1"/>
                <w:bCs w:val="1"/>
                <w:color w:val="auto"/>
                <w:w w:val="95"/>
              </w:rPr>
              <w:t>(650) 328-4600</w:t>
            </w:r>
          </w:p>
        </w:tc>
        <w:tc>
          <w:tcPr>
            <w:tcW w:w="4120" w:type="dxa"/>
            <w:vAlign w:val="bottom"/>
          </w:tcPr>
          <w:p>
            <w:pPr>
              <w:jc w:val="center"/>
              <w:ind w:left="1937"/>
              <w:spacing w:after="0"/>
              <w:rPr>
                <w:sz w:val="20"/>
                <w:szCs w:val="20"/>
                <w:color w:val="auto"/>
              </w:rPr>
            </w:pPr>
            <w:r>
              <w:rPr>
                <w:rFonts w:ascii="Times New Roman" w:cs="Times New Roman" w:eastAsia="Times New Roman" w:hAnsi="Times New Roman"/>
                <w:sz w:val="13"/>
                <w:szCs w:val="13"/>
                <w:b w:val="1"/>
                <w:bCs w:val="1"/>
                <w:color w:val="auto"/>
                <w:w w:val="98"/>
              </w:rPr>
              <w:t>(510) 745-1700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2292350</wp:posOffset>
            </wp:positionH>
            <wp:positionV relativeFrom="paragraph">
              <wp:posOffset>102235</wp:posOffset>
            </wp:positionV>
            <wp:extent cx="113538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191" w:lineRule="exact"/>
        <w:rPr>
          <w:sz w:val="24"/>
          <w:szCs w:val="24"/>
          <w:color w:val="auto"/>
        </w:rPr>
      </w:pPr>
    </w:p>
    <w:p>
      <w:pPr>
        <w:ind w:left="240" w:right="699"/>
        <w:spacing w:after="0" w:line="277" w:lineRule="auto"/>
        <w:rPr>
          <w:sz w:val="20"/>
          <w:szCs w:val="20"/>
          <w:color w:val="auto"/>
        </w:rPr>
      </w:pPr>
      <w:r>
        <w:rPr>
          <w:rFonts w:ascii="Times New Roman" w:cs="Times New Roman" w:eastAsia="Times New Roman" w:hAnsi="Times New Roman"/>
          <w:sz w:val="13"/>
          <w:szCs w:val="13"/>
          <w:b w:val="1"/>
          <w:bCs w:val="1"/>
          <w:color w:val="auto"/>
        </w:rPr>
        <w:t xml:space="preserve">APPROXIMATE DATE OF COMMENCEMENT OF PROPOSED SALE TO THE PUBLIC: </w:t>
      </w:r>
      <w:r>
        <w:rPr>
          <w:rFonts w:ascii="Times New Roman" w:cs="Times New Roman" w:eastAsia="Times New Roman" w:hAnsi="Times New Roman"/>
          <w:sz w:val="13"/>
          <w:szCs w:val="13"/>
          <w:color w:val="auto"/>
        </w:rPr>
        <w:t>From time to time after the effective date of this registration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statement.</w:t>
      </w:r>
    </w:p>
    <w:p>
      <w:pPr>
        <w:spacing w:after="0" w:line="5" w:lineRule="exact"/>
        <w:rPr>
          <w:sz w:val="24"/>
          <w:szCs w:val="24"/>
          <w:color w:val="auto"/>
        </w:rPr>
      </w:pPr>
    </w:p>
    <w:p>
      <w:pPr>
        <w:ind w:left="240"/>
        <w:spacing w:after="0" w:line="150"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88" w:lineRule="exact"/>
        <w:rPr>
          <w:sz w:val="24"/>
          <w:szCs w:val="24"/>
          <w:color w:val="auto"/>
        </w:rPr>
      </w:pPr>
    </w:p>
    <w:p>
      <w:pPr>
        <w:ind w:left="240" w:right="319"/>
        <w:spacing w:after="0" w:line="169"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spacing w:after="0" w:line="28" w:lineRule="exact"/>
        <w:rPr>
          <w:sz w:val="24"/>
          <w:szCs w:val="24"/>
          <w:color w:val="auto"/>
        </w:rPr>
      </w:pPr>
    </w:p>
    <w:p>
      <w:pPr>
        <w:ind w:left="240" w:right="279"/>
        <w:spacing w:after="0" w:line="169"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39" w:lineRule="exact"/>
        <w:rPr>
          <w:sz w:val="24"/>
          <w:szCs w:val="24"/>
          <w:color w:val="auto"/>
        </w:rPr>
      </w:pPr>
    </w:p>
    <w:p>
      <w:pPr>
        <w:ind w:left="240" w:right="719"/>
        <w:spacing w:after="0" w:line="169"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left="240" w:right="699"/>
        <w:spacing w:after="0" w:line="169"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spacing w:after="0" w:line="28" w:lineRule="exact"/>
        <w:rPr>
          <w:sz w:val="24"/>
          <w:szCs w:val="24"/>
          <w:color w:val="auto"/>
        </w:rPr>
      </w:pPr>
    </w:p>
    <w:p>
      <w:pPr>
        <w:ind w:left="240" w:right="339"/>
        <w:spacing w:after="0" w:line="169"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39" w:lineRule="exact"/>
        <w:rPr>
          <w:sz w:val="24"/>
          <w:szCs w:val="24"/>
          <w:color w:val="auto"/>
        </w:rPr>
      </w:pPr>
    </w:p>
    <w:p>
      <w:pPr>
        <w:ind w:left="240" w:right="279"/>
        <w:spacing w:after="0" w:line="26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240" w:type="dxa"/>
        <w:tblCellMar>
          <w:top w:w="0" w:type="dxa"/>
          <w:left w:w="0" w:type="dxa"/>
          <w:bottom w:w="0" w:type="dxa"/>
          <w:right w:w="0" w:type="dxa"/>
        </w:tblCellMar>
      </w:tblPr>
      <w:tr>
        <w:trPr>
          <w:trHeight w:val="178"/>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86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4120" w:type="dxa"/>
            <w:vAlign w:val="bottom"/>
          </w:tcPr>
          <w:p>
            <w:pPr>
              <w:ind w:left="2640"/>
              <w:spacing w:after="0"/>
              <w:rPr>
                <w:sz w:val="20"/>
                <w:szCs w:val="20"/>
                <w:color w:val="auto"/>
              </w:rPr>
            </w:pPr>
            <w:r>
              <w:rPr>
                <w:rFonts w:ascii="Times New Roman" w:cs="Times New Roman" w:eastAsia="Times New Roman" w:hAnsi="Times New Roman"/>
                <w:sz w:val="13"/>
                <w:szCs w:val="13"/>
                <w:color w:val="auto"/>
              </w:rPr>
              <w:t>Accelerated filer</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8"/>
        </w:trPr>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860" w:type="dxa"/>
            <w:vAlign w:val="bottom"/>
          </w:tcPr>
          <w:p>
            <w:pPr>
              <w:ind w:left="120"/>
              <w:spacing w:after="0" w:line="131" w:lineRule="exact"/>
              <w:rPr>
                <w:sz w:val="20"/>
                <w:szCs w:val="20"/>
                <w:color w:val="auto"/>
              </w:rPr>
            </w:pPr>
            <w:r>
              <w:rPr>
                <w:rFonts w:ascii="MS PGothic" w:cs="MS PGothic" w:eastAsia="MS PGothic" w:hAnsi="MS PGothic"/>
                <w:sz w:val="13"/>
                <w:szCs w:val="13"/>
                <w:color w:val="auto"/>
              </w:rPr>
              <w:t>☐</w:t>
            </w:r>
          </w:p>
        </w:tc>
        <w:tc>
          <w:tcPr>
            <w:tcW w:w="4120" w:type="dxa"/>
            <w:vAlign w:val="bottom"/>
          </w:tcPr>
          <w:p>
            <w:pPr>
              <w:ind w:left="26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0"/>
        </w:trPr>
        <w:tc>
          <w:tcPr>
            <w:tcW w:w="12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120" w:type="dxa"/>
            <w:vAlign w:val="bottom"/>
          </w:tcPr>
          <w:p>
            <w:pPr>
              <w:ind w:left="2640"/>
              <w:spacing w:after="0"/>
              <w:rPr>
                <w:sz w:val="20"/>
                <w:szCs w:val="20"/>
                <w:color w:val="auto"/>
              </w:rPr>
            </w:pPr>
            <w:r>
              <w:rPr>
                <w:rFonts w:ascii="Times New Roman" w:cs="Times New Roman" w:eastAsia="Times New Roman" w:hAnsi="Times New Roman"/>
                <w:sz w:val="13"/>
                <w:szCs w:val="13"/>
                <w:color w:val="auto"/>
              </w:rPr>
              <w:t>Emerging growth company</w:t>
            </w:r>
          </w:p>
        </w:tc>
        <w:tc>
          <w:tcPr>
            <w:tcW w:w="240" w:type="dxa"/>
            <w:vAlign w:val="bottom"/>
          </w:tcPr>
          <w:p>
            <w:pPr>
              <w:ind w:left="12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27" w:lineRule="exact"/>
        <w:rPr>
          <w:sz w:val="24"/>
          <w:szCs w:val="24"/>
          <w:color w:val="auto"/>
        </w:rPr>
      </w:pPr>
    </w:p>
    <w:p>
      <w:pPr>
        <w:ind w:left="240" w:right="539"/>
        <w:spacing w:after="0" w:line="16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154940</wp:posOffset>
            </wp:positionH>
            <wp:positionV relativeFrom="paragraph">
              <wp:posOffset>57785</wp:posOffset>
            </wp:positionV>
            <wp:extent cx="541718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17185" cy="6350"/>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91440</wp:posOffset>
            </wp:positionV>
            <wp:extent cx="541718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17185" cy="6350"/>
                    </a:xfrm>
                    <a:prstGeom prst="rect">
                      <a:avLst/>
                    </a:prstGeom>
                    <a:noFill/>
                  </pic:spPr>
                </pic:pic>
              </a:graphicData>
            </a:graphic>
          </wp:anchor>
        </w:drawing>
      </w:r>
    </w:p>
    <w:p>
      <w:pPr>
        <w:sectPr>
          <w:pgSz w:w="11900" w:h="16838" w:orient="portrait"/>
          <w:cols w:equalWidth="0" w:num="1">
            <w:col w:w="9019"/>
          </w:cols>
          <w:pgMar w:left="1440" w:top="21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EXPLANATORY NOTE</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This registration statement contains two prospectuses:</w:t>
      </w:r>
    </w:p>
    <w:p>
      <w:pPr>
        <w:spacing w:after="0" w:line="100" w:lineRule="exact"/>
        <w:rPr>
          <w:sz w:val="20"/>
          <w:szCs w:val="20"/>
          <w:color w:val="auto"/>
        </w:rPr>
      </w:pPr>
    </w:p>
    <w:p>
      <w:pPr>
        <w:ind w:left="1000" w:right="839" w:hanging="343"/>
        <w:spacing w:after="0" w:line="280" w:lineRule="auto"/>
        <w:tabs>
          <w:tab w:leader="none" w:pos="10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base prospectus, which covers the offering, issuance and sale from time to time in one or more offerings by the registrant of the registrant’s common stock, preferred stock, debt securities, warrants and/or units; and</w:t>
      </w:r>
    </w:p>
    <w:p>
      <w:pPr>
        <w:spacing w:after="0" w:line="53" w:lineRule="exact"/>
        <w:rPr>
          <w:rFonts w:ascii="Times New Roman" w:cs="Times New Roman" w:eastAsia="Times New Roman" w:hAnsi="Times New Roman"/>
          <w:sz w:val="14"/>
          <w:szCs w:val="14"/>
          <w:color w:val="auto"/>
        </w:rPr>
      </w:pPr>
    </w:p>
    <w:p>
      <w:pPr>
        <w:ind w:left="1000" w:right="299" w:hanging="343"/>
        <w:spacing w:after="0" w:line="277" w:lineRule="auto"/>
        <w:tabs>
          <w:tab w:leader="none" w:pos="10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sales agreement prospectus supplement, which covers the offering, issuance and sale by the registrant of up to a maximum aggregate offering price of $100,000,000 of the registrant’s common stock that may be issued and sold from time to time under an Open Market Sale Agreement</w:t>
      </w:r>
      <w:r>
        <w:rPr>
          <w:rFonts w:ascii="Times New Roman" w:cs="Times New Roman" w:eastAsia="Times New Roman" w:hAnsi="Times New Roman"/>
          <w:sz w:val="20"/>
          <w:szCs w:val="20"/>
          <w:color w:val="auto"/>
          <w:vertAlign w:val="superscript"/>
        </w:rPr>
        <w:t>SM</w:t>
      </w:r>
      <w:r>
        <w:rPr>
          <w:rFonts w:ascii="Times New Roman" w:cs="Times New Roman" w:eastAsia="Times New Roman" w:hAnsi="Times New Roman"/>
          <w:sz w:val="14"/>
          <w:szCs w:val="14"/>
          <w:color w:val="auto"/>
        </w:rPr>
        <w:t xml:space="preserve"> (the “Sales Agreement”) with Jefferies LLC, as sales agent.</w:t>
      </w:r>
    </w:p>
    <w:p>
      <w:pPr>
        <w:spacing w:after="0" w:line="32" w:lineRule="exact"/>
        <w:rPr>
          <w:sz w:val="20"/>
          <w:szCs w:val="20"/>
          <w:color w:val="auto"/>
        </w:rPr>
      </w:pPr>
    </w:p>
    <w:p>
      <w:pPr>
        <w:ind w:left="240" w:right="379"/>
        <w:spacing w:after="0" w:line="265" w:lineRule="auto"/>
        <w:rPr>
          <w:sz w:val="20"/>
          <w:szCs w:val="20"/>
          <w:color w:val="auto"/>
        </w:rPr>
      </w:pPr>
      <w:r>
        <w:rPr>
          <w:rFonts w:ascii="Times New Roman" w:cs="Times New Roman" w:eastAsia="Times New Roman" w:hAnsi="Times New Roman"/>
          <w:sz w:val="14"/>
          <w:szCs w:val="14"/>
          <w:color w:val="auto"/>
        </w:rPr>
        <w:t>The base prospectus immediately follows this explanatory note. The specific terms of any other securities to be offered pursuant to the base prospectus will be specified in one or more prospectus supplements to the base prospectus. The sales agreement prospectus supplement immediately follows the base prospectus.</w:t>
      </w:r>
    </w:p>
    <w:p>
      <w:pPr>
        <w:sectPr>
          <w:pgSz w:w="11900" w:h="16838" w:orient="portrait"/>
          <w:cols w:equalWidth="0" w:num="1">
            <w:col w:w="9019"/>
          </w:cols>
          <w:pgMar w:left="1440" w:top="238" w:right="1440" w:bottom="1440" w:gutter="0" w:footer="0" w:header="0"/>
        </w:sectPr>
      </w:pPr>
    </w:p>
    <w:bookmarkStart w:id="2" w:name="page3"/>
    <w:bookmarkEnd w:id="2"/>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2571115</wp:posOffset>
            </wp:positionH>
            <wp:positionV relativeFrom="paragraph">
              <wp:posOffset>133985</wp:posOffset>
            </wp:positionV>
            <wp:extent cx="584200" cy="5842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200" cy="584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ARDELYX, INC.</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Preferred Stock</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Debt Securities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Warrants</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170180</wp:posOffset>
            </wp:positionV>
            <wp:extent cx="113538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40" w:right="579" w:firstLine="341"/>
        <w:spacing w:after="0" w:line="280" w:lineRule="auto"/>
        <w:rPr>
          <w:sz w:val="20"/>
          <w:szCs w:val="20"/>
          <w:color w:val="auto"/>
        </w:rPr>
      </w:pPr>
      <w:r>
        <w:rPr>
          <w:rFonts w:ascii="Times New Roman" w:cs="Times New Roman" w:eastAsia="Times New Roman" w:hAnsi="Times New Roman"/>
          <w:sz w:val="14"/>
          <w:szCs w:val="14"/>
          <w:color w:val="auto"/>
        </w:rPr>
        <w:t>We may offer and sell the securities identified above from time to time in one or more offerings. This prospectus provides you with a general description of the securities.</w:t>
      </w:r>
    </w:p>
    <w:p>
      <w:pPr>
        <w:spacing w:after="0" w:line="126" w:lineRule="exact"/>
        <w:rPr>
          <w:sz w:val="20"/>
          <w:szCs w:val="20"/>
          <w:color w:val="auto"/>
        </w:rPr>
      </w:pPr>
    </w:p>
    <w:p>
      <w:pPr>
        <w:ind w:left="240" w:right="259" w:firstLine="341"/>
        <w:spacing w:after="0" w:line="259" w:lineRule="auto"/>
        <w:rPr>
          <w:sz w:val="20"/>
          <w:szCs w:val="20"/>
          <w:color w:val="auto"/>
        </w:rPr>
      </w:pPr>
      <w:r>
        <w:rPr>
          <w:rFonts w:ascii="Times New Roman" w:cs="Times New Roman" w:eastAsia="Times New Roman" w:hAnsi="Times New Roman"/>
          <w:sz w:val="14"/>
          <w:szCs w:val="14"/>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or incorporated by reference in this prospectus with respect to that offering. You should carefully read this prospectus and the applicable prospectus supplement before you invest in any of our securities.</w:t>
      </w:r>
    </w:p>
    <w:p>
      <w:pPr>
        <w:spacing w:after="0" w:line="141" w:lineRule="exact"/>
        <w:rPr>
          <w:sz w:val="20"/>
          <w:szCs w:val="20"/>
          <w:color w:val="auto"/>
        </w:rPr>
      </w:pPr>
    </w:p>
    <w:p>
      <w:pPr>
        <w:ind w:left="240" w:right="259" w:firstLine="341"/>
        <w:spacing w:after="0" w:line="255" w:lineRule="auto"/>
        <w:rPr>
          <w:sz w:val="20"/>
          <w:szCs w:val="20"/>
          <w:color w:val="auto"/>
        </w:rPr>
      </w:pPr>
      <w:r>
        <w:rPr>
          <w:rFonts w:ascii="Times New Roman" w:cs="Times New Roman" w:eastAsia="Times New Roman" w:hAnsi="Times New Roman"/>
          <w:sz w:val="14"/>
          <w:szCs w:val="14"/>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45" w:lineRule="exact"/>
        <w:rPr>
          <w:sz w:val="20"/>
          <w:szCs w:val="20"/>
          <w:color w:val="auto"/>
        </w:rPr>
      </w:pPr>
    </w:p>
    <w:p>
      <w:pPr>
        <w:ind w:left="240" w:right="519" w:firstLine="341"/>
        <w:spacing w:after="0" w:line="280" w:lineRule="auto"/>
        <w:rPr>
          <w:sz w:val="20"/>
          <w:szCs w:val="20"/>
          <w:color w:val="auto"/>
        </w:rPr>
      </w:pPr>
      <w:r>
        <w:rPr>
          <w:rFonts w:ascii="Times New Roman" w:cs="Times New Roman" w:eastAsia="Times New Roman" w:hAnsi="Times New Roman"/>
          <w:sz w:val="14"/>
          <w:szCs w:val="14"/>
          <w:color w:val="auto"/>
        </w:rPr>
        <w:t>Our common stock is listed on the Nasdaq Global Market under the symbol “ARDX.” On October 31, 2025, the last reported sale price of our common stock on the Nasdaq Global Market was $6.06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162560</wp:posOffset>
            </wp:positionV>
            <wp:extent cx="113538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389" w:lineRule="exact"/>
        <w:rPr>
          <w:sz w:val="20"/>
          <w:szCs w:val="20"/>
          <w:color w:val="auto"/>
        </w:rPr>
      </w:pPr>
    </w:p>
    <w:p>
      <w:pPr>
        <w:ind w:left="240" w:right="499" w:firstLine="341"/>
        <w:spacing w:after="0" w:line="241"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SEE THE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5 OF THIS PROSPECTUS AND ANY SIMILAR SECTION CONTAINED IN THE APPLICABLE PROSPECTUS SUPPLEMENT CONCERNING FACTORS YOU SHOULD CONSIDER BEFORE INVESTING IN OUR SECURITIES.</w:t>
      </w:r>
    </w:p>
    <w:p>
      <w:pPr>
        <w:spacing w:after="0" w:line="143" w:lineRule="exact"/>
        <w:rPr>
          <w:sz w:val="20"/>
          <w:szCs w:val="20"/>
          <w:color w:val="auto"/>
        </w:rPr>
      </w:pPr>
    </w:p>
    <w:p>
      <w:pPr>
        <w:ind w:left="240" w:right="359" w:firstLine="341"/>
        <w:spacing w:after="0" w:line="283"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November 3, 2025.</w:t>
      </w:r>
    </w:p>
    <w:p>
      <w:pPr>
        <w:sectPr>
          <w:pgSz w:w="11900" w:h="16838" w:orient="portrait"/>
          <w:cols w:equalWidth="0" w:num="1">
            <w:col w:w="9019"/>
          </w:cols>
          <w:pgMar w:left="1440" w:top="238" w:right="1440" w:bottom="1440" w:gutter="0" w:footer="0" w:header="0"/>
        </w:sectPr>
      </w:pPr>
    </w:p>
    <w:bookmarkStart w:id="3" w:name="page4"/>
    <w:bookmarkEnd w:id="3"/>
    <w:tbl>
      <w:tblPr>
        <w:tblLayout w:type="fixed"/>
        <w:tblInd w:w="24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280" w:type="dxa"/>
            <w:vAlign w:val="bottom"/>
          </w:tcPr>
          <w:p>
            <w:pPr>
              <w:spacing w:after="0"/>
              <w:rPr>
                <w:sz w:val="16"/>
                <w:szCs w:val="16"/>
                <w:color w:val="auto"/>
              </w:rPr>
            </w:pPr>
          </w:p>
        </w:tc>
      </w:tr>
      <w:tr>
        <w:trPr>
          <w:trHeight w:val="324"/>
        </w:trPr>
        <w:tc>
          <w:tcPr>
            <w:tcW w:w="5200" w:type="dxa"/>
            <w:vAlign w:val="bottom"/>
            <w:gridSpan w:val="12"/>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3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147"/>
        </w:trPr>
        <w:tc>
          <w:tcPr>
            <w:tcW w:w="5200" w:type="dxa"/>
            <w:vAlign w:val="bottom"/>
            <w:tcBorders>
              <w:bottom w:val="single" w:sz="8" w:color="0000EE"/>
            </w:tcBorders>
            <w:gridSpan w:val="12"/>
          </w:tcPr>
          <w:p>
            <w:pPr>
              <w:spacing w:after="0" w:line="147" w:lineRule="exact"/>
              <w:rPr>
                <w:sz w:val="20"/>
                <w:szCs w:val="20"/>
                <w:color w:val="auto"/>
              </w:rPr>
            </w:pPr>
            <w:r>
              <w:rPr>
                <w:rFonts w:ascii="Times New Roman" w:cs="Times New Roman" w:eastAsia="Times New Roman" w:hAnsi="Times New Roman"/>
                <w:sz w:val="14"/>
                <w:szCs w:val="14"/>
                <w:color w:val="0000EE"/>
                <w:w w:val="98"/>
              </w:rPr>
              <w:t>WHERE YOU CAN FIND MORE INFORMATION; INCORPORATION BY REFERENCE</w:t>
            </w:r>
          </w:p>
        </w:tc>
        <w:tc>
          <w:tcPr>
            <w:tcW w:w="3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w:t>
            </w:r>
          </w:p>
        </w:tc>
      </w:tr>
      <w:tr>
        <w:trPr>
          <w:trHeight w:val="147"/>
        </w:trPr>
        <w:tc>
          <w:tcPr>
            <w:tcW w:w="5200" w:type="dxa"/>
            <w:vAlign w:val="bottom"/>
            <w:gridSpan w:val="12"/>
          </w:tcPr>
          <w:p>
            <w:pPr>
              <w:spacing w:after="0" w:line="147" w:lineRule="exact"/>
              <w:rPr>
                <w:sz w:val="20"/>
                <w:szCs w:val="20"/>
                <w:color w:val="auto"/>
              </w:rPr>
            </w:pPr>
            <w:r>
              <w:rPr>
                <w:rFonts w:ascii="Times New Roman" w:cs="Times New Roman" w:eastAsia="Times New Roman" w:hAnsi="Times New Roman"/>
                <w:sz w:val="14"/>
                <w:szCs w:val="14"/>
                <w:color w:val="0000EE"/>
              </w:rPr>
              <w:t>THE COMPANY</w:t>
            </w:r>
          </w:p>
        </w:tc>
        <w:tc>
          <w:tcPr>
            <w:tcW w:w="3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w:t>
            </w:r>
          </w:p>
        </w:tc>
      </w:tr>
      <w:tr>
        <w:trPr>
          <w:trHeight w:val="147"/>
        </w:trPr>
        <w:tc>
          <w:tcPr>
            <w:tcW w:w="980" w:type="dxa"/>
            <w:vAlign w:val="bottom"/>
            <w:tcBorders>
              <w:top w:val="single" w:sz="8" w:color="0000EE"/>
            </w:tcBorders>
            <w:gridSpan w:val="3"/>
          </w:tcPr>
          <w:p>
            <w:pPr>
              <w:spacing w:after="0" w:line="147" w:lineRule="exact"/>
              <w:rPr>
                <w:sz w:val="20"/>
                <w:szCs w:val="20"/>
                <w:color w:val="auto"/>
              </w:rPr>
            </w:pPr>
            <w:r>
              <w:rPr>
                <w:rFonts w:ascii="Times New Roman" w:cs="Times New Roman" w:eastAsia="Times New Roman" w:hAnsi="Times New Roman"/>
                <w:sz w:val="14"/>
                <w:szCs w:val="14"/>
                <w:color w:val="0000EE"/>
                <w:w w:val="97"/>
              </w:rPr>
              <w:t>RISK FACTORS</w:t>
            </w:r>
          </w:p>
        </w:tc>
        <w:tc>
          <w:tcPr>
            <w:tcW w:w="4220" w:type="dxa"/>
            <w:vAlign w:val="bottom"/>
            <w:gridSpan w:val="9"/>
          </w:tcPr>
          <w:p>
            <w:pPr>
              <w:spacing w:after="0"/>
              <w:rPr>
                <w:sz w:val="12"/>
                <w:szCs w:val="12"/>
                <w:color w:val="auto"/>
              </w:rPr>
            </w:pPr>
          </w:p>
        </w:tc>
        <w:tc>
          <w:tcPr>
            <w:tcW w:w="3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w:t>
            </w:r>
          </w:p>
        </w:tc>
      </w:tr>
      <w:tr>
        <w:trPr>
          <w:trHeight w:val="20"/>
        </w:trPr>
        <w:tc>
          <w:tcPr>
            <w:tcW w:w="6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147"/>
        </w:trPr>
        <w:tc>
          <w:tcPr>
            <w:tcW w:w="5200" w:type="dxa"/>
            <w:vAlign w:val="bottom"/>
            <w:gridSpan w:val="12"/>
          </w:tcPr>
          <w:p>
            <w:pPr>
              <w:spacing w:after="0" w:line="147" w:lineRule="exact"/>
              <w:rPr>
                <w:sz w:val="20"/>
                <w:szCs w:val="20"/>
                <w:color w:val="auto"/>
              </w:rPr>
            </w:pPr>
            <w:r>
              <w:rPr>
                <w:rFonts w:ascii="Times New Roman" w:cs="Times New Roman" w:eastAsia="Times New Roman" w:hAnsi="Times New Roman"/>
                <w:sz w:val="14"/>
                <w:szCs w:val="14"/>
                <w:color w:val="0000EE"/>
              </w:rPr>
              <w:t>USE OF PROCEEDS</w:t>
            </w:r>
          </w:p>
        </w:tc>
        <w:tc>
          <w:tcPr>
            <w:tcW w:w="3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w:t>
            </w: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147"/>
        </w:trPr>
        <w:tc>
          <w:tcPr>
            <w:tcW w:w="2220" w:type="dxa"/>
            <w:vAlign w:val="bottom"/>
            <w:tcBorders>
              <w:bottom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w w:val="98"/>
              </w:rPr>
              <w:t>DESCRIPTION OF CAPITAL STOCK</w:t>
            </w:r>
          </w:p>
        </w:tc>
        <w:tc>
          <w:tcPr>
            <w:tcW w:w="2980" w:type="dxa"/>
            <w:vAlign w:val="bottom"/>
            <w:gridSpan w:val="3"/>
          </w:tcPr>
          <w:p>
            <w:pPr>
              <w:spacing w:after="0"/>
              <w:rPr>
                <w:sz w:val="12"/>
                <w:szCs w:val="12"/>
                <w:color w:val="auto"/>
              </w:rPr>
            </w:pPr>
          </w:p>
        </w:tc>
        <w:tc>
          <w:tcPr>
            <w:tcW w:w="3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7</w:t>
            </w:r>
          </w:p>
        </w:tc>
      </w:tr>
      <w:tr>
        <w:trPr>
          <w:trHeight w:val="147"/>
        </w:trPr>
        <w:tc>
          <w:tcPr>
            <w:tcW w:w="5200" w:type="dxa"/>
            <w:vAlign w:val="bottom"/>
            <w:gridSpan w:val="12"/>
          </w:tcPr>
          <w:p>
            <w:pPr>
              <w:spacing w:after="0" w:line="147"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3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w:t>
            </w: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147"/>
        </w:trPr>
        <w:tc>
          <w:tcPr>
            <w:tcW w:w="5200" w:type="dxa"/>
            <w:vAlign w:val="bottom"/>
            <w:gridSpan w:val="12"/>
          </w:tcPr>
          <w:p>
            <w:pPr>
              <w:spacing w:after="0" w:line="147" w:lineRule="exact"/>
              <w:rPr>
                <w:sz w:val="20"/>
                <w:szCs w:val="20"/>
                <w:color w:val="auto"/>
              </w:rPr>
            </w:pPr>
            <w:r>
              <w:rPr>
                <w:rFonts w:ascii="Times New Roman" w:cs="Times New Roman" w:eastAsia="Times New Roman" w:hAnsi="Times New Roman"/>
                <w:sz w:val="14"/>
                <w:szCs w:val="14"/>
                <w:color w:val="0000EE"/>
              </w:rPr>
              <w:t>DESCRIPTION OF OTHER SECURITIES</w:t>
            </w:r>
          </w:p>
        </w:tc>
        <w:tc>
          <w:tcPr>
            <w:tcW w:w="3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20</w:t>
            </w:r>
          </w:p>
        </w:tc>
      </w:tr>
      <w:tr>
        <w:trPr>
          <w:trHeight w:val="147"/>
        </w:trPr>
        <w:tc>
          <w:tcPr>
            <w:tcW w:w="2440" w:type="dxa"/>
            <w:vAlign w:val="bottom"/>
            <w:tcBorders>
              <w:top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4"/>
                <w:szCs w:val="14"/>
                <w:color w:val="0000EE"/>
              </w:rPr>
              <w:t>GLOBAL SECURITIES</w:t>
            </w:r>
          </w:p>
        </w:tc>
        <w:tc>
          <w:tcPr>
            <w:tcW w:w="2760" w:type="dxa"/>
            <w:vAlign w:val="bottom"/>
          </w:tcPr>
          <w:p>
            <w:pPr>
              <w:spacing w:after="0"/>
              <w:rPr>
                <w:sz w:val="12"/>
                <w:szCs w:val="12"/>
                <w:color w:val="auto"/>
              </w:rPr>
            </w:pPr>
          </w:p>
        </w:tc>
        <w:tc>
          <w:tcPr>
            <w:tcW w:w="3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w:t>
            </w:r>
          </w:p>
        </w:tc>
      </w:tr>
      <w:tr>
        <w:trPr>
          <w:trHeight w:val="20"/>
        </w:trPr>
        <w:tc>
          <w:tcPr>
            <w:tcW w:w="6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147"/>
        </w:trPr>
        <w:tc>
          <w:tcPr>
            <w:tcW w:w="5200" w:type="dxa"/>
            <w:vAlign w:val="bottom"/>
            <w:gridSpan w:val="12"/>
          </w:tcPr>
          <w:p>
            <w:pPr>
              <w:spacing w:after="0" w:line="147" w:lineRule="exact"/>
              <w:rPr>
                <w:sz w:val="20"/>
                <w:szCs w:val="20"/>
                <w:color w:val="auto"/>
              </w:rPr>
            </w:pPr>
            <w:r>
              <w:rPr>
                <w:rFonts w:ascii="Times New Roman" w:cs="Times New Roman" w:eastAsia="Times New Roman" w:hAnsi="Times New Roman"/>
                <w:sz w:val="14"/>
                <w:szCs w:val="14"/>
                <w:color w:val="0000EE"/>
              </w:rPr>
              <w:t>PLAN OF DISTRIBUTION</w:t>
            </w:r>
          </w:p>
        </w:tc>
        <w:tc>
          <w:tcPr>
            <w:tcW w:w="3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25</w:t>
            </w:r>
          </w:p>
        </w:tc>
      </w:tr>
      <w:tr>
        <w:trPr>
          <w:trHeight w:val="147"/>
        </w:trPr>
        <w:tc>
          <w:tcPr>
            <w:tcW w:w="1580" w:type="dxa"/>
            <w:vAlign w:val="bottom"/>
            <w:tcBorders>
              <w:top w:val="single" w:sz="8" w:color="0000EE"/>
            </w:tcBorders>
            <w:gridSpan w:val="7"/>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3620" w:type="dxa"/>
            <w:vAlign w:val="bottom"/>
            <w:gridSpan w:val="5"/>
          </w:tcPr>
          <w:p>
            <w:pPr>
              <w:spacing w:after="0"/>
              <w:rPr>
                <w:sz w:val="12"/>
                <w:szCs w:val="12"/>
                <w:color w:val="auto"/>
              </w:rPr>
            </w:pPr>
          </w:p>
        </w:tc>
        <w:tc>
          <w:tcPr>
            <w:tcW w:w="3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26</w:t>
            </w:r>
          </w:p>
        </w:tc>
      </w:tr>
      <w:tr>
        <w:trPr>
          <w:trHeight w:val="147"/>
        </w:trPr>
        <w:tc>
          <w:tcPr>
            <w:tcW w:w="600" w:type="dxa"/>
            <w:vAlign w:val="bottom"/>
            <w:tcBorders>
              <w:top w:val="single" w:sz="8" w:color="0000EE"/>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color w:val="0000EE"/>
                <w:w w:val="95"/>
              </w:rPr>
              <w:t>EXPERTS</w:t>
            </w:r>
          </w:p>
        </w:tc>
        <w:tc>
          <w:tcPr>
            <w:tcW w:w="520" w:type="dxa"/>
            <w:vAlign w:val="bottom"/>
            <w:tcBorders>
              <w:top w:val="single" w:sz="8" w:color="0000EE"/>
            </w:tcBorders>
            <w:gridSpan w:val="3"/>
          </w:tcPr>
          <w:p>
            <w:pPr>
              <w:spacing w:after="0"/>
              <w:rPr>
                <w:sz w:val="12"/>
                <w:szCs w:val="12"/>
                <w:color w:val="auto"/>
              </w:rPr>
            </w:pPr>
          </w:p>
        </w:tc>
        <w:tc>
          <w:tcPr>
            <w:tcW w:w="4080" w:type="dxa"/>
            <w:vAlign w:val="bottom"/>
            <w:gridSpan w:val="8"/>
          </w:tcPr>
          <w:p>
            <w:pPr>
              <w:spacing w:after="0"/>
              <w:rPr>
                <w:sz w:val="12"/>
                <w:szCs w:val="12"/>
                <w:color w:val="auto"/>
              </w:rPr>
            </w:pPr>
          </w:p>
        </w:tc>
        <w:tc>
          <w:tcPr>
            <w:tcW w:w="32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26</w:t>
            </w: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8"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ABOUT THIS PROSPECTUS</w:t>
      </w:r>
    </w:p>
    <w:p>
      <w:pPr>
        <w:spacing w:after="0" w:line="176" w:lineRule="exact"/>
        <w:rPr>
          <w:sz w:val="20"/>
          <w:szCs w:val="20"/>
          <w:color w:val="auto"/>
        </w:rPr>
      </w:pPr>
    </w:p>
    <w:p>
      <w:pPr>
        <w:ind w:left="240" w:right="259" w:firstLine="341"/>
        <w:spacing w:after="0" w:line="252" w:lineRule="auto"/>
        <w:rPr>
          <w:sz w:val="20"/>
          <w:szCs w:val="20"/>
          <w:color w:val="auto"/>
        </w:rPr>
      </w:pPr>
      <w:r>
        <w:rPr>
          <w:rFonts w:ascii="Times New Roman" w:cs="Times New Roman" w:eastAsia="Times New Roman" w:hAnsi="Times New Roman"/>
          <w:sz w:val="14"/>
          <w:szCs w:val="14"/>
          <w:color w:val="auto"/>
        </w:rPr>
        <w:t>This prospectus is part of a registration statement on Form S-3 that we filed with the U.S. Securities and Exchange Commission (the “SEC”), as a “well-known seasoned issuer” as defined in Rule 405 under the Securities Act of 1933, as amended (the “Securities Act”),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or incorporated by reference, in this prospectus with respect to that offering. If there is any inconsistency between the information in this prospectus and the applicable prospectus supplement or free writing prospectus, you should rely on the prospectus supplement or free writing prospectus, as applicable; provided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 Before purchasing any securities, you should carefully read both this prospectus and the applicable prospectus supplement (and any applicable free writing prospectuses), together with the additional information described under the section titled “Where You Can Find More Information; Incorporation by Reference.”</w:t>
      </w:r>
    </w:p>
    <w:p>
      <w:pPr>
        <w:spacing w:after="0" w:line="144" w:lineRule="exact"/>
        <w:rPr>
          <w:sz w:val="20"/>
          <w:szCs w:val="20"/>
          <w:color w:val="auto"/>
        </w:rPr>
      </w:pPr>
    </w:p>
    <w:p>
      <w:pPr>
        <w:jc w:val="both"/>
        <w:ind w:left="240" w:right="319" w:firstLine="341"/>
        <w:spacing w:after="0" w:line="276" w:lineRule="auto"/>
        <w:rPr>
          <w:sz w:val="20"/>
          <w:szCs w:val="20"/>
          <w:color w:val="auto"/>
        </w:rPr>
      </w:pPr>
      <w:r>
        <w:rPr>
          <w:rFonts w:ascii="Times New Roman" w:cs="Times New Roman" w:eastAsia="Times New Roman" w:hAnsi="Times New Roman"/>
          <w:sz w:val="13"/>
          <w:szCs w:val="13"/>
          <w:color w:val="auto"/>
        </w:rPr>
        <w:t>We have not authorized anyone to provide you with any information or to make any representations other than those contained in, or incorporated by reference into,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w:t>
      </w:r>
    </w:p>
    <w:p>
      <w:pPr>
        <w:spacing w:after="0" w:line="1" w:lineRule="exact"/>
        <w:rPr>
          <w:sz w:val="20"/>
          <w:szCs w:val="20"/>
          <w:color w:val="auto"/>
        </w:rPr>
      </w:pPr>
    </w:p>
    <w:p>
      <w:pPr>
        <w:ind w:left="240" w:right="259"/>
        <w:spacing w:after="0" w:line="250" w:lineRule="auto"/>
        <w:rPr>
          <w:sz w:val="20"/>
          <w:szCs w:val="20"/>
          <w:color w:val="auto"/>
        </w:rPr>
      </w:pPr>
      <w:r>
        <w:rPr>
          <w:rFonts w:ascii="Times New Roman" w:cs="Times New Roman" w:eastAsia="Times New Roman" w:hAnsi="Times New Roman"/>
          <w:sz w:val="14"/>
          <w:szCs w:val="14"/>
          <w:color w:val="auto"/>
        </w:rPr>
        <w:t>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section titled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47" w:lineRule="exact"/>
        <w:rPr>
          <w:sz w:val="20"/>
          <w:szCs w:val="20"/>
          <w:color w:val="auto"/>
        </w:rPr>
      </w:pPr>
    </w:p>
    <w:p>
      <w:pPr>
        <w:ind w:left="240" w:right="399" w:firstLine="341"/>
        <w:spacing w:after="0" w:line="280" w:lineRule="auto"/>
        <w:rPr>
          <w:sz w:val="20"/>
          <w:szCs w:val="20"/>
          <w:color w:val="auto"/>
        </w:rPr>
      </w:pPr>
      <w:r>
        <w:rPr>
          <w:rFonts w:ascii="Times New Roman" w:cs="Times New Roman" w:eastAsia="Times New Roman" w:hAnsi="Times New Roman"/>
          <w:sz w:val="14"/>
          <w:szCs w:val="14"/>
          <w:color w:val="auto"/>
        </w:rPr>
        <w:t>When we refer to “Ardelyx,” “we,” “our,” “us,” “our company” and the “Company” in this prospectus, we mean Ardelyx, Inc., unless otherwise specified. When we refer to “you,” we mean the potential holders of the applicable series of securities.</w:t>
      </w:r>
    </w:p>
    <w:p>
      <w:pPr>
        <w:spacing w:after="0" w:line="126" w:lineRule="exact"/>
        <w:rPr>
          <w:sz w:val="20"/>
          <w:szCs w:val="20"/>
          <w:color w:val="auto"/>
        </w:rPr>
      </w:pPr>
    </w:p>
    <w:p>
      <w:pPr>
        <w:ind w:left="240" w:right="319" w:firstLine="341"/>
        <w:spacing w:after="0" w:line="209" w:lineRule="auto"/>
        <w:rPr>
          <w:sz w:val="20"/>
          <w:szCs w:val="20"/>
          <w:color w:val="auto"/>
        </w:rPr>
      </w:pPr>
      <w:r>
        <w:rPr>
          <w:rFonts w:ascii="Times New Roman" w:cs="Times New Roman" w:eastAsia="Times New Roman" w:hAnsi="Times New Roman"/>
          <w:sz w:val="14"/>
          <w:szCs w:val="14"/>
          <w:color w:val="auto"/>
        </w:rPr>
        <w:t>ARDELYX</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IBSRELA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XPHOZAH</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and our logos are some of our trademarks used in this prospectus. This prospectus also includes trademarks, tradenames, and service marks that are the property of other organizations. Solely for convenience, our trademarks and tradenames referred to in this prospectus appear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symbols, but those references are not intended to indicate, in any way, that we will not assert, to the fullest extent under applicable law, our rights to these trademarks and tradenames.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8"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WHERE YOU CAN FIND MORE INFORMATION; INCORPORATION BY REFERENCE</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92" w:lineRule="exact"/>
        <w:rPr>
          <w:sz w:val="20"/>
          <w:szCs w:val="20"/>
          <w:color w:val="auto"/>
        </w:rPr>
      </w:pPr>
    </w:p>
    <w:p>
      <w:pPr>
        <w:ind w:left="240" w:right="379" w:firstLine="341"/>
        <w:spacing w:after="0" w:line="321" w:lineRule="auto"/>
        <w:rPr>
          <w:sz w:val="20"/>
          <w:szCs w:val="20"/>
          <w:color w:val="auto"/>
        </w:rPr>
      </w:pPr>
      <w:r>
        <w:rPr>
          <w:rFonts w:ascii="Times New Roman" w:cs="Times New Roman" w:eastAsia="Times New Roman" w:hAnsi="Times New Roman"/>
          <w:sz w:val="13"/>
          <w:szCs w:val="13"/>
          <w:color w:val="auto"/>
        </w:rPr>
        <w:t xml:space="preserve">We file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3"/>
          <w:szCs w:val="13"/>
          <w:i w:val="1"/>
          <w:iCs w:val="1"/>
          <w:color w:val="auto"/>
        </w:rPr>
        <w:t>www.sec.gov</w:t>
      </w:r>
      <w:r>
        <w:rPr>
          <w:rFonts w:ascii="Times New Roman" w:cs="Times New Roman" w:eastAsia="Times New Roman" w:hAnsi="Times New Roman"/>
          <w:sz w:val="13"/>
          <w:szCs w:val="13"/>
          <w:color w:val="auto"/>
        </w:rPr>
        <w:t>.</w:t>
      </w:r>
    </w:p>
    <w:p>
      <w:pPr>
        <w:spacing w:after="0" w:line="100" w:lineRule="exact"/>
        <w:rPr>
          <w:sz w:val="20"/>
          <w:szCs w:val="20"/>
          <w:color w:val="auto"/>
        </w:rPr>
      </w:pPr>
    </w:p>
    <w:p>
      <w:pPr>
        <w:ind w:left="240" w:right="259" w:firstLine="341"/>
        <w:spacing w:after="0" w:line="283" w:lineRule="auto"/>
        <w:rPr>
          <w:sz w:val="20"/>
          <w:szCs w:val="20"/>
          <w:color w:val="auto"/>
        </w:rPr>
      </w:pPr>
      <w:r>
        <w:rPr>
          <w:rFonts w:ascii="Times New Roman" w:cs="Times New Roman" w:eastAsia="Times New Roman" w:hAnsi="Times New Roman"/>
          <w:sz w:val="14"/>
          <w:szCs w:val="14"/>
          <w:color w:val="auto"/>
        </w:rPr>
        <w:t xml:space="preserve">Our website address is </w:t>
      </w:r>
      <w:r>
        <w:rPr>
          <w:rFonts w:ascii="Times New Roman" w:cs="Times New Roman" w:eastAsia="Times New Roman" w:hAnsi="Times New Roman"/>
          <w:sz w:val="14"/>
          <w:szCs w:val="14"/>
          <w:i w:val="1"/>
          <w:iCs w:val="1"/>
          <w:color w:val="auto"/>
        </w:rPr>
        <w:t>www.ardelyx.com</w:t>
      </w:r>
      <w:r>
        <w:rPr>
          <w:rFonts w:ascii="Times New Roman" w:cs="Times New Roman" w:eastAsia="Times New Roman" w:hAnsi="Times New Roman"/>
          <w:sz w:val="14"/>
          <w:szCs w:val="14"/>
          <w:color w:val="auto"/>
        </w:rPr>
        <w:t>. The information on, or accessible through, our website, however, is not, and should not be deemed to be, a part of this prospectus or any prospectus supplement. We have included our website address as an inactive textual reference only.</w:t>
      </w:r>
    </w:p>
    <w:p>
      <w:pPr>
        <w:spacing w:after="0" w:line="124" w:lineRule="exact"/>
        <w:rPr>
          <w:sz w:val="20"/>
          <w:szCs w:val="20"/>
          <w:color w:val="auto"/>
        </w:rPr>
      </w:pPr>
    </w:p>
    <w:p>
      <w:pPr>
        <w:ind w:left="240" w:right="299" w:firstLine="341"/>
        <w:spacing w:after="0" w:line="279" w:lineRule="auto"/>
        <w:rPr>
          <w:sz w:val="20"/>
          <w:szCs w:val="20"/>
          <w:color w:val="auto"/>
        </w:rPr>
      </w:pPr>
      <w:r>
        <w:rPr>
          <w:rFonts w:ascii="Times New Roman" w:cs="Times New Roman" w:eastAsia="Times New Roman" w:hAnsi="Times New Roman"/>
          <w:sz w:val="13"/>
          <w:szCs w:val="13"/>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92" w:lineRule="exact"/>
        <w:rPr>
          <w:sz w:val="20"/>
          <w:szCs w:val="20"/>
          <w:color w:val="auto"/>
        </w:rPr>
      </w:pPr>
    </w:p>
    <w:p>
      <w:pPr>
        <w:ind w:left="240" w:right="319" w:firstLine="341"/>
        <w:spacing w:after="0" w:line="281" w:lineRule="auto"/>
        <w:rPr>
          <w:sz w:val="20"/>
          <w:szCs w:val="20"/>
          <w:color w:val="auto"/>
        </w:rPr>
      </w:pPr>
      <w:r>
        <w:rPr>
          <w:rFonts w:ascii="Times New Roman" w:cs="Times New Roman" w:eastAsia="Times New Roman" w:hAnsi="Times New Roman"/>
          <w:sz w:val="13"/>
          <w:szCs w:val="13"/>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29" w:lineRule="exact"/>
        <w:rPr>
          <w:sz w:val="20"/>
          <w:szCs w:val="20"/>
          <w:color w:val="auto"/>
        </w:rPr>
      </w:pPr>
    </w:p>
    <w:p>
      <w:pPr>
        <w:ind w:left="240" w:right="279" w:firstLine="341"/>
        <w:spacing w:after="0" w:line="255" w:lineRule="auto"/>
        <w:rPr>
          <w:sz w:val="20"/>
          <w:szCs w:val="20"/>
          <w:color w:val="auto"/>
        </w:rPr>
      </w:pPr>
      <w:r>
        <w:rPr>
          <w:rFonts w:ascii="Times New Roman" w:cs="Times New Roman" w:eastAsia="Times New Roman" w:hAnsi="Times New Roman"/>
          <w:sz w:val="14"/>
          <w:szCs w:val="14"/>
          <w:color w:val="auto"/>
        </w:rPr>
        <w:t>We incorporate by reference our documents listed below and any future filings made by us with the SEC under Sections 13(a), 13(c), 14 or 15(d) of the Securities Exchange Act of 1934, as amended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Compensation Committee report, Audit Committee report, performance graph or any information furnished pursuant to Items 2.02 or 7.01 of Form 8-K or related exhibits furnished pursuant to Item 9.01 of Form 8-K.</w:t>
      </w:r>
    </w:p>
    <w:p>
      <w:pPr>
        <w:spacing w:after="0" w:line="145" w:lineRule="exact"/>
        <w:rPr>
          <w:sz w:val="20"/>
          <w:szCs w:val="20"/>
          <w:color w:val="auto"/>
        </w:rPr>
      </w:pPr>
    </w:p>
    <w:p>
      <w:pPr>
        <w:ind w:left="240" w:right="359" w:firstLine="341"/>
        <w:spacing w:after="0" w:line="280"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incorporate by reference the documents set forth below that have previously been filed with the SEC:</w:t>
      </w:r>
    </w:p>
    <w:p>
      <w:pPr>
        <w:spacing w:after="0" w:line="147" w:lineRule="exact"/>
        <w:rPr>
          <w:sz w:val="20"/>
          <w:szCs w:val="20"/>
          <w:color w:val="auto"/>
        </w:rPr>
      </w:pPr>
    </w:p>
    <w:p>
      <w:pPr>
        <w:ind w:left="580" w:hanging="258"/>
        <w:spacing w:after="0"/>
        <w:tabs>
          <w:tab w:leader="none" w:pos="5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26">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filed with the SEC on February 20, 2025;</w:t>
      </w:r>
    </w:p>
    <w:p>
      <w:pPr>
        <w:spacing w:after="0" w:line="100" w:lineRule="exact"/>
        <w:rPr>
          <w:rFonts w:ascii="Times New Roman" w:cs="Times New Roman" w:eastAsia="Times New Roman" w:hAnsi="Times New Roman"/>
          <w:sz w:val="14"/>
          <w:szCs w:val="14"/>
          <w:color w:val="auto"/>
        </w:rPr>
      </w:pPr>
    </w:p>
    <w:p>
      <w:pPr>
        <w:ind w:left="580" w:right="479" w:hanging="258"/>
        <w:spacing w:after="0" w:line="280" w:lineRule="auto"/>
        <w:tabs>
          <w:tab w:leader="none" w:pos="580" w:val="left"/>
        </w:tabs>
        <w:numPr>
          <w:ilvl w:val="0"/>
          <w:numId w:val="2"/>
        </w:numPr>
        <w:rPr>
          <w:rFonts w:ascii="Times New Roman" w:cs="Times New Roman" w:eastAsia="Times New Roman" w:hAnsi="Times New Roman"/>
          <w:sz w:val="14"/>
          <w:szCs w:val="14"/>
          <w:color w:val="0000EE"/>
        </w:rPr>
      </w:pPr>
      <w:hyperlink r:id="rId27">
        <w:r>
          <w:rPr>
            <w:rFonts w:ascii="Times New Roman" w:cs="Times New Roman" w:eastAsia="Times New Roman" w:hAnsi="Times New Roman"/>
            <w:sz w:val="14"/>
            <w:szCs w:val="14"/>
            <w:color w:val="auto"/>
          </w:rPr>
          <w:t xml:space="preserve">the information specifically incorporated by reference into our Annual Report on Form 10-K from our Definitive Proxy Statement on </w:t>
        </w:r>
        <w:r>
          <w:rPr>
            <w:rFonts w:ascii="Times New Roman" w:cs="Times New Roman" w:eastAsia="Times New Roman" w:hAnsi="Times New Roman"/>
            <w:sz w:val="14"/>
            <w:szCs w:val="14"/>
            <w:u w:val="single" w:color="auto"/>
            <w:color w:val="0000EE"/>
          </w:rPr>
          <w:t>Schedule</w:t>
        </w:r>
      </w:hyperlink>
      <w:r>
        <w:rPr>
          <w:rFonts w:ascii="Times New Roman" w:cs="Times New Roman" w:eastAsia="Times New Roman" w:hAnsi="Times New Roman"/>
          <w:sz w:val="14"/>
          <w:szCs w:val="14"/>
          <w:color w:val="auto"/>
        </w:rPr>
        <w:t xml:space="preserve"> </w:t>
      </w:r>
      <w:hyperlink r:id="rId27">
        <w:r>
          <w:rPr>
            <w:rFonts w:ascii="Times New Roman" w:cs="Times New Roman" w:eastAsia="Times New Roman" w:hAnsi="Times New Roman"/>
            <w:sz w:val="14"/>
            <w:szCs w:val="14"/>
            <w:u w:val="single" w:color="auto"/>
            <w:color w:val="0000EE"/>
          </w:rPr>
          <w:t>14A</w:t>
        </w:r>
        <w:r>
          <w:rPr>
            <w:rFonts w:ascii="Times New Roman" w:cs="Times New Roman" w:eastAsia="Times New Roman" w:hAnsi="Times New Roman"/>
            <w:sz w:val="14"/>
            <w:szCs w:val="14"/>
            <w:color w:val="000000"/>
          </w:rPr>
          <w:t>, filed with the SEC on April 30, 2025;</w:t>
        </w:r>
      </w:hyperlink>
    </w:p>
    <w:p>
      <w:pPr>
        <w:spacing w:after="0" w:line="53" w:lineRule="exact"/>
        <w:rPr>
          <w:rFonts w:ascii="Times New Roman" w:cs="Times New Roman" w:eastAsia="Times New Roman" w:hAnsi="Times New Roman"/>
          <w:sz w:val="14"/>
          <w:szCs w:val="14"/>
          <w:color w:val="0000EE"/>
        </w:rPr>
      </w:pPr>
    </w:p>
    <w:p>
      <w:pPr>
        <w:ind w:left="580" w:right="499" w:hanging="258"/>
        <w:spacing w:after="0" w:line="280" w:lineRule="auto"/>
        <w:tabs>
          <w:tab w:leader="none" w:pos="5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quarters ended March 31, 2025, filed with the SEC on </w:t>
      </w:r>
      <w:hyperlink r:id="rId28">
        <w:r>
          <w:rPr>
            <w:rFonts w:ascii="Times New Roman" w:cs="Times New Roman" w:eastAsia="Times New Roman" w:hAnsi="Times New Roman"/>
            <w:sz w:val="14"/>
            <w:szCs w:val="14"/>
            <w:u w:val="single" w:color="auto"/>
            <w:color w:val="0000EE"/>
          </w:rPr>
          <w:t>May 1, 2025</w:t>
        </w:r>
      </w:hyperlink>
      <w:r>
        <w:rPr>
          <w:rFonts w:ascii="Times New Roman" w:cs="Times New Roman" w:eastAsia="Times New Roman" w:hAnsi="Times New Roman"/>
          <w:sz w:val="14"/>
          <w:szCs w:val="14"/>
          <w:color w:val="auto"/>
        </w:rPr>
        <w:t xml:space="preserve">, June 30, 2025, filed with the SEC on </w:t>
      </w:r>
      <w:hyperlink r:id="rId29">
        <w:r>
          <w:rPr>
            <w:rFonts w:ascii="Times New Roman" w:cs="Times New Roman" w:eastAsia="Times New Roman" w:hAnsi="Times New Roman"/>
            <w:sz w:val="14"/>
            <w:szCs w:val="14"/>
            <w:u w:val="single" w:color="auto"/>
            <w:color w:val="0000EE"/>
          </w:rPr>
          <w:t>August 4,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September 30, 2025, filed with the SEC on </w:t>
      </w:r>
      <w:hyperlink r:id="rId30">
        <w:r>
          <w:rPr>
            <w:rFonts w:ascii="Times New Roman" w:cs="Times New Roman" w:eastAsia="Times New Roman" w:hAnsi="Times New Roman"/>
            <w:sz w:val="14"/>
            <w:szCs w:val="14"/>
            <w:u w:val="single" w:color="auto"/>
            <w:color w:val="0000EE"/>
          </w:rPr>
          <w:t>October 30, 2025</w:t>
        </w:r>
      </w:hyperlink>
      <w:r>
        <w:rPr>
          <w:rFonts w:ascii="Times New Roman" w:cs="Times New Roman" w:eastAsia="Times New Roman" w:hAnsi="Times New Roman"/>
          <w:sz w:val="14"/>
          <w:szCs w:val="14"/>
          <w:color w:val="auto"/>
        </w:rPr>
        <w:t>;</w:t>
      </w:r>
    </w:p>
    <w:p>
      <w:pPr>
        <w:spacing w:after="0" w:line="74"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8" w:right="1440" w:bottom="1440" w:gutter="0" w:footer="0" w:header="0"/>
        </w:sectPr>
      </w:pPr>
    </w:p>
    <w:bookmarkStart w:id="6" w:name="page7"/>
    <w:bookmarkEnd w:id="6"/>
    <w:p>
      <w:pPr>
        <w:ind w:left="580" w:right="399" w:hanging="258"/>
        <w:spacing w:after="0" w:line="280" w:lineRule="auto"/>
        <w:tabs>
          <w:tab w:leader="none" w:pos="5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our Current Reports on Form 8-K filed with the SEC on </w:t>
      </w:r>
      <w:hyperlink r:id="rId32">
        <w:r>
          <w:rPr>
            <w:rFonts w:ascii="Times New Roman" w:cs="Times New Roman" w:eastAsia="Times New Roman" w:hAnsi="Times New Roman"/>
            <w:sz w:val="14"/>
            <w:szCs w:val="14"/>
            <w:u w:val="single" w:color="auto"/>
            <w:color w:val="0000EE"/>
          </w:rPr>
          <w:t>January 13, 2025</w:t>
        </w:r>
      </w:hyperlink>
      <w:r>
        <w:rPr>
          <w:rFonts w:ascii="Times New Roman" w:cs="Times New Roman" w:eastAsia="Times New Roman" w:hAnsi="Times New Roman"/>
          <w:sz w:val="14"/>
          <w:szCs w:val="14"/>
          <w:color w:val="auto"/>
        </w:rPr>
        <w:t xml:space="preserve">, </w:t>
      </w:r>
      <w:hyperlink r:id="rId33">
        <w:r>
          <w:rPr>
            <w:rFonts w:ascii="Times New Roman" w:cs="Times New Roman" w:eastAsia="Times New Roman" w:hAnsi="Times New Roman"/>
            <w:sz w:val="14"/>
            <w:szCs w:val="14"/>
            <w:u w:val="single" w:color="auto"/>
            <w:color w:val="0000EE"/>
          </w:rPr>
          <w:t>April 29, 2025</w:t>
        </w:r>
      </w:hyperlink>
      <w:r>
        <w:rPr>
          <w:rFonts w:ascii="Times New Roman" w:cs="Times New Roman" w:eastAsia="Times New Roman" w:hAnsi="Times New Roman"/>
          <w:sz w:val="14"/>
          <w:szCs w:val="14"/>
          <w:color w:val="auto"/>
        </w:rPr>
        <w:t xml:space="preserve">, </w:t>
      </w:r>
      <w:hyperlink r:id="rId34">
        <w:r>
          <w:rPr>
            <w:rFonts w:ascii="Times New Roman" w:cs="Times New Roman" w:eastAsia="Times New Roman" w:hAnsi="Times New Roman"/>
            <w:sz w:val="14"/>
            <w:szCs w:val="14"/>
            <w:u w:val="single" w:color="auto"/>
            <w:color w:val="0000EE"/>
          </w:rPr>
          <w:t>June 18, 2025</w:t>
        </w:r>
      </w:hyperlink>
      <w:r>
        <w:rPr>
          <w:rFonts w:ascii="Times New Roman" w:cs="Times New Roman" w:eastAsia="Times New Roman" w:hAnsi="Times New Roman"/>
          <w:sz w:val="14"/>
          <w:szCs w:val="14"/>
          <w:color w:val="auto"/>
        </w:rPr>
        <w:t xml:space="preserve">, </w:t>
      </w:r>
      <w:hyperlink r:id="rId35">
        <w:r>
          <w:rPr>
            <w:rFonts w:ascii="Times New Roman" w:cs="Times New Roman" w:eastAsia="Times New Roman" w:hAnsi="Times New Roman"/>
            <w:sz w:val="14"/>
            <w:szCs w:val="14"/>
            <w:u w:val="single" w:color="auto"/>
            <w:color w:val="0000EE"/>
          </w:rPr>
          <w:t>July 3, 2025</w:t>
        </w:r>
      </w:hyperlink>
      <w:r>
        <w:rPr>
          <w:rFonts w:ascii="Times New Roman" w:cs="Times New Roman" w:eastAsia="Times New Roman" w:hAnsi="Times New Roman"/>
          <w:sz w:val="14"/>
          <w:szCs w:val="14"/>
          <w:color w:val="auto"/>
        </w:rPr>
        <w:t xml:space="preserve">, </w:t>
      </w:r>
      <w:hyperlink r:id="rId36">
        <w:r>
          <w:rPr>
            <w:rFonts w:ascii="Times New Roman" w:cs="Times New Roman" w:eastAsia="Times New Roman" w:hAnsi="Times New Roman"/>
            <w:sz w:val="14"/>
            <w:szCs w:val="14"/>
            <w:u w:val="single" w:color="auto"/>
            <w:color w:val="0000EE"/>
          </w:rPr>
          <w:t>August 4,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(solely with respect to Items 5.02 and 5.03 and Exhibit 3.1 thereto) and </w:t>
      </w:r>
      <w:hyperlink r:id="rId37">
        <w:r>
          <w:rPr>
            <w:rFonts w:ascii="Times New Roman" w:cs="Times New Roman" w:eastAsia="Times New Roman" w:hAnsi="Times New Roman"/>
            <w:sz w:val="14"/>
            <w:szCs w:val="14"/>
            <w:u w:val="single" w:color="auto"/>
            <w:color w:val="0000EE"/>
          </w:rPr>
          <w:t>October 14, 2025</w:t>
        </w:r>
      </w:hyperlink>
      <w:r>
        <w:rPr>
          <w:rFonts w:ascii="Times New Roman" w:cs="Times New Roman" w:eastAsia="Times New Roman" w:hAnsi="Times New Roman"/>
          <w:sz w:val="14"/>
          <w:szCs w:val="14"/>
          <w:color w:val="auto"/>
        </w:rPr>
        <w:t>; and</w:t>
      </w:r>
    </w:p>
    <w:p>
      <w:pPr>
        <w:spacing w:after="0" w:line="53" w:lineRule="exact"/>
        <w:rPr>
          <w:rFonts w:ascii="Times New Roman" w:cs="Times New Roman" w:eastAsia="Times New Roman" w:hAnsi="Times New Roman"/>
          <w:sz w:val="14"/>
          <w:szCs w:val="14"/>
          <w:color w:val="auto"/>
        </w:rPr>
      </w:pPr>
    </w:p>
    <w:p>
      <w:pPr>
        <w:ind w:left="580" w:right="259" w:hanging="258"/>
        <w:spacing w:after="0" w:line="259" w:lineRule="auto"/>
        <w:tabs>
          <w:tab w:leader="none" w:pos="5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incorporated by reference in our Registration Statement on </w:t>
      </w:r>
      <w:hyperlink r:id="rId38">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xml:space="preserve">, filed with the SEC on June 9, 2014, as amended by the description of the Registrant’s Common Stock contained in </w:t>
      </w:r>
      <w:hyperlink r:id="rId39">
        <w:r>
          <w:rPr>
            <w:rFonts w:ascii="Times New Roman" w:cs="Times New Roman" w:eastAsia="Times New Roman" w:hAnsi="Times New Roman"/>
            <w:sz w:val="14"/>
            <w:szCs w:val="14"/>
            <w:u w:val="single" w:color="auto"/>
            <w:color w:val="0000EE"/>
          </w:rPr>
          <w:t>Exhibit 4.4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the Registrant’s Annual Report on Form 10-K for the fiscal year ended December 31, 2020, filed on March 8, 2021, and any amendment or report filed with the SEC for the purpose of updating the description and any amendment or report filed with the SEC for the purpose of updating the description.</w:t>
      </w:r>
    </w:p>
    <w:p>
      <w:pPr>
        <w:spacing w:after="0" w:line="141" w:lineRule="exact"/>
        <w:rPr>
          <w:rFonts w:ascii="Times New Roman" w:cs="Times New Roman" w:eastAsia="Times New Roman" w:hAnsi="Times New Roman"/>
          <w:sz w:val="14"/>
          <w:szCs w:val="14"/>
          <w:color w:val="auto"/>
        </w:rPr>
      </w:pPr>
    </w:p>
    <w:p>
      <w:pPr>
        <w:ind w:left="240" w:right="259" w:firstLine="341"/>
        <w:spacing w:after="0" w:line="265" w:lineRule="auto"/>
        <w:rPr>
          <w:sz w:val="20"/>
          <w:szCs w:val="20"/>
          <w:color w:val="auto"/>
        </w:rPr>
      </w:pPr>
      <w:r>
        <w:rPr>
          <w:rFonts w:ascii="Times New Roman" w:cs="Times New Roman" w:eastAsia="Times New Roman" w:hAnsi="Times New Roman"/>
          <w:sz w:val="14"/>
          <w:szCs w:val="14"/>
          <w:color w:val="auto"/>
        </w:rPr>
        <w:t>All reports and other documents we subsequently file pursuant to Sections 13(a), 13(c), 14 or 15(d) of the Exchange Act prior to the termination of this offering, but excluding any information furnished to, rather than filed with, the SEC, will also be incorporated by reference into this prospectus and deemed to be part of this prospectus from the date of the filing of such reports and documents.</w:t>
      </w:r>
    </w:p>
    <w:p>
      <w:pPr>
        <w:spacing w:after="0" w:line="136" w:lineRule="exact"/>
        <w:rPr>
          <w:rFonts w:ascii="Times New Roman" w:cs="Times New Roman" w:eastAsia="Times New Roman" w:hAnsi="Times New Roman"/>
          <w:sz w:val="14"/>
          <w:szCs w:val="14"/>
          <w:color w:val="auto"/>
        </w:rPr>
      </w:pPr>
    </w:p>
    <w:p>
      <w:pPr>
        <w:ind w:left="240" w:right="459" w:firstLine="341"/>
        <w:spacing w:after="0" w:line="280" w:lineRule="auto"/>
        <w:rPr>
          <w:sz w:val="20"/>
          <w:szCs w:val="20"/>
          <w:color w:val="auto"/>
        </w:rPr>
      </w:pPr>
      <w:r>
        <w:rPr>
          <w:rFonts w:ascii="Times New Roman" w:cs="Times New Roman" w:eastAsia="Times New Roman" w:hAnsi="Times New Roman"/>
          <w:sz w:val="14"/>
          <w:szCs w:val="14"/>
          <w:color w:val="auto"/>
        </w:rPr>
        <w:t>You may request a free copy of any of the documents incorporated by reference in this prospectus by writing or telephoning us at the following address:</w:t>
      </w:r>
    </w:p>
    <w:p>
      <w:pPr>
        <w:spacing w:after="0" w:line="12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Ardelyx, Inc.</w:t>
      </w:r>
    </w:p>
    <w:p>
      <w:pPr>
        <w:spacing w:after="0" w:line="21"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400 Fifth Avenue, Suite 210</w:t>
      </w:r>
    </w:p>
    <w:p>
      <w:pPr>
        <w:spacing w:after="0" w:line="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Waltham, MA 02451</w:t>
      </w:r>
    </w:p>
    <w:p>
      <w:pPr>
        <w:spacing w:after="0" w:line="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(510) 745-1700</w:t>
      </w:r>
    </w:p>
    <w:p>
      <w:pPr>
        <w:spacing w:after="0" w:line="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Attention: Chief Legal and Administrative Officer</w:t>
      </w:r>
    </w:p>
    <w:p>
      <w:pPr>
        <w:spacing w:after="0" w:line="159" w:lineRule="exact"/>
        <w:rPr>
          <w:rFonts w:ascii="Times New Roman" w:cs="Times New Roman" w:eastAsia="Times New Roman" w:hAnsi="Times New Roman"/>
          <w:sz w:val="14"/>
          <w:szCs w:val="14"/>
          <w:color w:val="auto"/>
        </w:rPr>
      </w:pPr>
    </w:p>
    <w:p>
      <w:pPr>
        <w:ind w:left="240" w:right="439" w:firstLine="341"/>
        <w:spacing w:after="0" w:line="280" w:lineRule="auto"/>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 or any accompanying prospectus supplement.</w:t>
      </w:r>
    </w:p>
    <w:p>
      <w:pPr>
        <w:spacing w:after="0" w:line="74"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0"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COMPANY</w:t>
      </w:r>
    </w:p>
    <w:p>
      <w:pPr>
        <w:spacing w:after="0" w:line="176" w:lineRule="exact"/>
        <w:rPr>
          <w:sz w:val="20"/>
          <w:szCs w:val="20"/>
          <w:color w:val="auto"/>
        </w:rPr>
      </w:pPr>
    </w:p>
    <w:p>
      <w:pPr>
        <w:ind w:left="240" w:right="399" w:firstLine="341"/>
        <w:spacing w:after="0" w:line="254" w:lineRule="auto"/>
        <w:rPr>
          <w:sz w:val="20"/>
          <w:szCs w:val="20"/>
          <w:color w:val="auto"/>
        </w:rPr>
      </w:pPr>
      <w:r>
        <w:rPr>
          <w:rFonts w:ascii="Times New Roman" w:cs="Times New Roman" w:eastAsia="Times New Roman" w:hAnsi="Times New Roman"/>
          <w:sz w:val="14"/>
          <w:szCs w:val="14"/>
          <w:color w:val="auto"/>
        </w:rPr>
        <w:t>We are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minimally absorbed, first-in-class, oral, small molecule therapy. Tenapanor, branded as IBSRELA, is approved in the United States for the treatment of adults with IBS-C. Tenapanor, branded as XPHOZAH, is approved in the United States to reduce serum phosphorus in adults with CKD on dialysis as add-on therapy in patients who have an inadequate response to phosphate binders or who are intolerant of any dose of phosphate binder therapy.</w:t>
      </w:r>
    </w:p>
    <w:p>
      <w:pPr>
        <w:spacing w:after="0" w:line="146" w:lineRule="exact"/>
        <w:rPr>
          <w:sz w:val="20"/>
          <w:szCs w:val="20"/>
          <w:color w:val="auto"/>
        </w:rPr>
      </w:pPr>
    </w:p>
    <w:p>
      <w:pPr>
        <w:ind w:left="240" w:right="259" w:firstLine="341"/>
        <w:spacing w:after="0" w:line="259" w:lineRule="auto"/>
        <w:rPr>
          <w:sz w:val="20"/>
          <w:szCs w:val="20"/>
          <w:color w:val="auto"/>
        </w:rPr>
      </w:pPr>
      <w:r>
        <w:rPr>
          <w:rFonts w:ascii="Times New Roman" w:cs="Times New Roman" w:eastAsia="Times New Roman" w:hAnsi="Times New Roman"/>
          <w:sz w:val="14"/>
          <w:szCs w:val="14"/>
          <w:color w:val="auto"/>
        </w:rPr>
        <w:t xml:space="preserve">We were founded in October 2007 as a Delaware corporation under the name Nteryx, Inc. Our principal executive offices are located at 400 Fifth Avenue, Suite 210, Waltham, MA 02451, and our telephone number is (510) 745-1700. Our website address is </w:t>
      </w:r>
      <w:r>
        <w:rPr>
          <w:rFonts w:ascii="Times New Roman" w:cs="Times New Roman" w:eastAsia="Times New Roman" w:hAnsi="Times New Roman"/>
          <w:sz w:val="14"/>
          <w:szCs w:val="14"/>
          <w:i w:val="1"/>
          <w:iCs w:val="1"/>
          <w:color w:val="auto"/>
        </w:rPr>
        <w:t>www.ardelyx.com</w:t>
      </w:r>
      <w:r>
        <w:rPr>
          <w:rFonts w:ascii="Times New Roman" w:cs="Times New Roman" w:eastAsia="Times New Roman" w:hAnsi="Times New Roman"/>
          <w:sz w:val="14"/>
          <w:szCs w:val="14"/>
          <w:color w:val="auto"/>
        </w:rPr>
        <w:t>. The information on, or that can be accessed through, our website is not part of this prospectus and is not incorporated by reference herein. We have included our website address as an inactive textual reference only.</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8" w:right="1440"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RISK FACTORS</w:t>
      </w:r>
    </w:p>
    <w:p>
      <w:pPr>
        <w:spacing w:after="0" w:line="176" w:lineRule="exact"/>
        <w:rPr>
          <w:sz w:val="20"/>
          <w:szCs w:val="20"/>
          <w:color w:val="auto"/>
        </w:rPr>
      </w:pPr>
    </w:p>
    <w:p>
      <w:pPr>
        <w:ind w:left="240" w:right="279" w:firstLine="341"/>
        <w:spacing w:after="0" w:line="252" w:lineRule="auto"/>
        <w:rPr>
          <w:sz w:val="20"/>
          <w:szCs w:val="20"/>
          <w:color w:val="auto"/>
        </w:rPr>
      </w:pPr>
      <w:r>
        <w:rPr>
          <w:rFonts w:ascii="Times New Roman" w:cs="Times New Roman" w:eastAsia="Times New Roman" w:hAnsi="Times New Roman"/>
          <w:sz w:val="14"/>
          <w:szCs w:val="14"/>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titled “Note Regarding Forward-Looking Statements” included in our most recent Annual Report on Form 10-K and any subsequent Quarterly Reports on Form 10-Q or Current Reports on Form 8-K.</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8"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USE OF PROCEEDS</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We intend to use the net proceeds from the sale of the securities as set forth in the applicable prospectus supplement.</w:t>
      </w:r>
    </w:p>
    <w:p>
      <w:pPr>
        <w:spacing w:after="0" w:line="1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8"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DESCRIPTION OF CAPITAL STOCK</w:t>
      </w:r>
    </w:p>
    <w:p>
      <w:pPr>
        <w:spacing w:after="0" w:line="174" w:lineRule="exact"/>
        <w:rPr>
          <w:sz w:val="20"/>
          <w:szCs w:val="20"/>
          <w:color w:val="auto"/>
        </w:rPr>
      </w:pPr>
    </w:p>
    <w:p>
      <w:pPr>
        <w:ind w:left="240" w:right="299"/>
        <w:spacing w:after="0" w:line="258" w:lineRule="auto"/>
        <w:rPr>
          <w:sz w:val="20"/>
          <w:szCs w:val="20"/>
          <w:color w:val="auto"/>
        </w:rPr>
      </w:pPr>
      <w:r>
        <w:rPr>
          <w:rFonts w:ascii="Times New Roman" w:cs="Times New Roman" w:eastAsia="Times New Roman" w:hAnsi="Times New Roman"/>
          <w:sz w:val="14"/>
          <w:szCs w:val="14"/>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the section titled “Where You Can Find More Information; Incorporation by Reference.” For a complete description, you should refer to our amended and restated certificate of incorporation and second amended and restated bylaws, copies of which are incorporated by reference as exhibits to the registration statement of which this prospectus is a part.</w:t>
      </w:r>
    </w:p>
    <w:p>
      <w:pPr>
        <w:spacing w:after="0" w:line="2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2" w:lineRule="exact"/>
        <w:rPr>
          <w:sz w:val="20"/>
          <w:szCs w:val="20"/>
          <w:color w:val="auto"/>
        </w:rPr>
      </w:pPr>
    </w:p>
    <w:p>
      <w:pPr>
        <w:ind w:left="240" w:right="259" w:firstLine="341"/>
        <w:spacing w:after="0" w:line="280" w:lineRule="auto"/>
        <w:rPr>
          <w:sz w:val="20"/>
          <w:szCs w:val="20"/>
          <w:color w:val="auto"/>
        </w:rPr>
      </w:pPr>
      <w:r>
        <w:rPr>
          <w:rFonts w:ascii="Times New Roman" w:cs="Times New Roman" w:eastAsia="Times New Roman" w:hAnsi="Times New Roman"/>
          <w:sz w:val="14"/>
          <w:szCs w:val="14"/>
          <w:color w:val="auto"/>
        </w:rPr>
        <w:t>Our amended and restated certificate of incorporation authorizes 500,000,000 shares of common stock, $0.0001 par value per share, and 5,000,000 shares of preferred stock, $0.0001 par value per share.</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2" w:lineRule="exact"/>
        <w:rPr>
          <w:sz w:val="20"/>
          <w:szCs w:val="20"/>
          <w:color w:val="auto"/>
        </w:rPr>
      </w:pPr>
    </w:p>
    <w:p>
      <w:pPr>
        <w:ind w:left="240" w:right="319" w:firstLine="341"/>
        <w:spacing w:after="0" w:line="257" w:lineRule="auto"/>
        <w:rPr>
          <w:sz w:val="20"/>
          <w:szCs w:val="20"/>
          <w:color w:val="auto"/>
        </w:rPr>
      </w:pPr>
      <w:r>
        <w:rPr>
          <w:rFonts w:ascii="Times New Roman" w:cs="Times New Roman" w:eastAsia="Times New Roman" w:hAnsi="Times New Roman"/>
          <w:sz w:val="14"/>
          <w:szCs w:val="14"/>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 2/3% of the voting power of all of the then outstanding voting stock is required to take certain actions, including amending certain provisions of our amended and restated certificate of incorporation, such as the provisions relating to amending our second amended and restated bylaws, the classified board and director liability.</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2" w:lineRule="exact"/>
        <w:rPr>
          <w:sz w:val="20"/>
          <w:szCs w:val="20"/>
          <w:color w:val="auto"/>
        </w:rPr>
      </w:pPr>
    </w:p>
    <w:p>
      <w:pPr>
        <w:ind w:left="240" w:right="759" w:firstLine="341"/>
        <w:spacing w:after="0" w:line="280" w:lineRule="auto"/>
        <w:rPr>
          <w:sz w:val="20"/>
          <w:szCs w:val="20"/>
          <w:color w:val="auto"/>
        </w:rPr>
      </w:pPr>
      <w:r>
        <w:rPr>
          <w:rFonts w:ascii="Times New Roman" w:cs="Times New Roman" w:eastAsia="Times New Roman" w:hAnsi="Times New Roman"/>
          <w:sz w:val="14"/>
          <w:szCs w:val="14"/>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Liquidation</w:t>
      </w:r>
    </w:p>
    <w:p>
      <w:pPr>
        <w:spacing w:after="0" w:line="92" w:lineRule="exact"/>
        <w:rPr>
          <w:sz w:val="20"/>
          <w:szCs w:val="20"/>
          <w:color w:val="auto"/>
        </w:rPr>
      </w:pPr>
    </w:p>
    <w:p>
      <w:pPr>
        <w:ind w:left="240" w:right="619" w:firstLine="341"/>
        <w:spacing w:after="0" w:line="265" w:lineRule="auto"/>
        <w:rPr>
          <w:sz w:val="20"/>
          <w:szCs w:val="20"/>
          <w:color w:val="auto"/>
        </w:rPr>
      </w:pPr>
      <w:r>
        <w:rPr>
          <w:rFonts w:ascii="Times New Roman" w:cs="Times New Roman" w:eastAsia="Times New Roman" w:hAnsi="Times New Roman"/>
          <w:sz w:val="14"/>
          <w:szCs w:val="14"/>
          <w:color w:val="auto"/>
        </w:rPr>
        <w:t>In the event of our liquidation, dissolution or winding up, holders of our common stock are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Rights and Preferences</w:t>
      </w:r>
    </w:p>
    <w:p>
      <w:pPr>
        <w:spacing w:after="0" w:line="92" w:lineRule="exact"/>
        <w:rPr>
          <w:sz w:val="20"/>
          <w:szCs w:val="20"/>
          <w:color w:val="auto"/>
        </w:rPr>
      </w:pPr>
    </w:p>
    <w:p>
      <w:pPr>
        <w:jc w:val="both"/>
        <w:ind w:left="240" w:right="259" w:firstLine="341"/>
        <w:spacing w:after="0" w:line="265" w:lineRule="auto"/>
        <w:rPr>
          <w:sz w:val="20"/>
          <w:szCs w:val="20"/>
          <w:color w:val="auto"/>
        </w:rPr>
      </w:pPr>
      <w:r>
        <w:rPr>
          <w:rFonts w:ascii="Times New Roman" w:cs="Times New Roman" w:eastAsia="Times New Roman" w:hAnsi="Times New Roman"/>
          <w:sz w:val="14"/>
          <w:szCs w:val="14"/>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Fully Paid and Nonassessable</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All of our outstanding shares of common stock are fully paid and nonassessable.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8" w:right="1440" w:bottom="1440" w:gutter="0" w:footer="0" w:header="0"/>
        </w:sectPr>
      </w:pPr>
    </w:p>
    <w:bookmarkStart w:id="11" w:name="page12"/>
    <w:bookmarkEnd w:id="11"/>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Preferred Stock</w:t>
      </w:r>
    </w:p>
    <w:p>
      <w:pPr>
        <w:spacing w:after="0" w:line="92" w:lineRule="exact"/>
        <w:rPr>
          <w:sz w:val="20"/>
          <w:szCs w:val="20"/>
          <w:color w:val="auto"/>
        </w:rPr>
      </w:pPr>
    </w:p>
    <w:p>
      <w:pPr>
        <w:ind w:left="240" w:right="339" w:firstLine="341"/>
        <w:spacing w:after="0" w:line="254" w:lineRule="auto"/>
        <w:rPr>
          <w:sz w:val="20"/>
          <w:szCs w:val="20"/>
          <w:color w:val="auto"/>
        </w:rPr>
      </w:pPr>
      <w:r>
        <w:rPr>
          <w:rFonts w:ascii="Times New Roman" w:cs="Times New Roman" w:eastAsia="Times New Roman" w:hAnsi="Times New Roman"/>
          <w:sz w:val="14"/>
          <w:szCs w:val="14"/>
          <w:color w:val="auto"/>
        </w:rPr>
        <w:t>Our board of directors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w:t>
      </w:r>
    </w:p>
    <w:p>
      <w:pPr>
        <w:spacing w:after="0" w:line="227" w:lineRule="exact"/>
        <w:rPr>
          <w:sz w:val="20"/>
          <w:szCs w:val="20"/>
          <w:color w:val="auto"/>
        </w:rPr>
      </w:pPr>
    </w:p>
    <w:p>
      <w:pPr>
        <w:ind w:left="240" w:right="459"/>
        <w:spacing w:after="0" w:line="283" w:lineRule="auto"/>
        <w:rPr>
          <w:sz w:val="20"/>
          <w:szCs w:val="20"/>
          <w:color w:val="auto"/>
        </w:rPr>
      </w:pPr>
      <w:r>
        <w:rPr>
          <w:rFonts w:ascii="Times New Roman" w:cs="Times New Roman" w:eastAsia="Times New Roman" w:hAnsi="Times New Roman"/>
          <w:sz w:val="14"/>
          <w:szCs w:val="14"/>
          <w:b w:val="1"/>
          <w:bCs w:val="1"/>
          <w:color w:val="auto"/>
        </w:rPr>
        <w:t>Anti-Takeover Effects of Provisions of Our Amended and Restated Certificate of Incorporation, Our Second Amended and Restated Bylaws and Delaware Law</w:t>
      </w:r>
    </w:p>
    <w:p>
      <w:pPr>
        <w:spacing w:after="0" w:line="41" w:lineRule="exact"/>
        <w:rPr>
          <w:sz w:val="20"/>
          <w:szCs w:val="20"/>
          <w:color w:val="auto"/>
        </w:rPr>
      </w:pPr>
    </w:p>
    <w:p>
      <w:pPr>
        <w:ind w:left="240" w:right="259" w:firstLine="341"/>
        <w:spacing w:after="0" w:line="257" w:lineRule="auto"/>
        <w:rPr>
          <w:sz w:val="20"/>
          <w:szCs w:val="20"/>
          <w:color w:val="auto"/>
        </w:rPr>
      </w:pPr>
      <w:r>
        <w:rPr>
          <w:rFonts w:ascii="Times New Roman" w:cs="Times New Roman" w:eastAsia="Times New Roman" w:hAnsi="Times New Roman"/>
          <w:sz w:val="14"/>
          <w:szCs w:val="14"/>
          <w:color w:val="auto"/>
        </w:rPr>
        <w:t>Some provisions of Delaware law, our amended and restated certificate of incorporation, and our second amended and restated bylaws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42" w:lineRule="exact"/>
        <w:rPr>
          <w:sz w:val="20"/>
          <w:szCs w:val="20"/>
          <w:color w:val="auto"/>
        </w:rPr>
      </w:pPr>
    </w:p>
    <w:p>
      <w:pPr>
        <w:ind w:left="240" w:right="259" w:firstLine="341"/>
        <w:spacing w:after="0" w:line="259" w:lineRule="auto"/>
        <w:rPr>
          <w:sz w:val="20"/>
          <w:szCs w:val="20"/>
          <w:color w:val="auto"/>
        </w:rPr>
      </w:pPr>
      <w:r>
        <w:rPr>
          <w:rFonts w:ascii="Times New Roman" w:cs="Times New Roman" w:eastAsia="Times New Roman" w:hAnsi="Times New Roman"/>
          <w:sz w:val="14"/>
          <w:szCs w:val="14"/>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Delaware Anti-Takeover Statute</w:t>
      </w:r>
    </w:p>
    <w:p>
      <w:pPr>
        <w:spacing w:after="0" w:line="92" w:lineRule="exact"/>
        <w:rPr>
          <w:sz w:val="20"/>
          <w:szCs w:val="20"/>
          <w:color w:val="auto"/>
        </w:rPr>
      </w:pPr>
    </w:p>
    <w:p>
      <w:pPr>
        <w:jc w:val="both"/>
        <w:ind w:left="240" w:right="379" w:firstLine="341"/>
        <w:spacing w:after="0" w:line="265" w:lineRule="auto"/>
        <w:rPr>
          <w:sz w:val="20"/>
          <w:szCs w:val="20"/>
          <w:color w:val="auto"/>
        </w:rPr>
      </w:pPr>
      <w:r>
        <w:rPr>
          <w:rFonts w:ascii="Times New Roman" w:cs="Times New Roman" w:eastAsia="Times New Roman" w:hAnsi="Times New Roman"/>
          <w:sz w:val="14"/>
          <w:szCs w:val="14"/>
          <w:color w:val="auto"/>
        </w:rPr>
        <w:t>We are subject to the provisions of Section 203 of the Delaware General Corporation Law. Under Section 203, we would generally be prohibited from engaging in any business combination with any interested stockholder for a period of three years following the time that this stockholder became an interested stockholder unless:</w:t>
      </w:r>
    </w:p>
    <w:p>
      <w:pPr>
        <w:spacing w:after="0" w:line="63" w:lineRule="exact"/>
        <w:rPr>
          <w:sz w:val="20"/>
          <w:szCs w:val="20"/>
          <w:color w:val="auto"/>
        </w:rPr>
      </w:pPr>
    </w:p>
    <w:p>
      <w:pPr>
        <w:ind w:left="1000" w:right="379" w:hanging="343"/>
        <w:spacing w:after="0" w:line="280" w:lineRule="auto"/>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this time, the board of directors of the corporation approved either the business combination or the transaction that resulted in the stockholder becoming an interested stockholder;</w:t>
      </w:r>
    </w:p>
    <w:p>
      <w:pPr>
        <w:spacing w:after="0" w:line="53" w:lineRule="exact"/>
        <w:rPr>
          <w:rFonts w:ascii="Times New Roman" w:cs="Times New Roman" w:eastAsia="Times New Roman" w:hAnsi="Times New Roman"/>
          <w:sz w:val="14"/>
          <w:szCs w:val="14"/>
          <w:color w:val="auto"/>
        </w:rPr>
      </w:pPr>
    </w:p>
    <w:p>
      <w:pPr>
        <w:ind w:left="1000" w:right="259" w:hanging="343"/>
        <w:spacing w:after="0" w:line="259" w:lineRule="auto"/>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that resulted in the stockholder becoming an interested stockholder, the interested stockholder owned at least 85% of the voting stock of the corporation outstanding at the time the transaction commenced, excluding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68" w:lineRule="exact"/>
        <w:rPr>
          <w:rFonts w:ascii="Times New Roman" w:cs="Times New Roman" w:eastAsia="Times New Roman" w:hAnsi="Times New Roman"/>
          <w:sz w:val="14"/>
          <w:szCs w:val="14"/>
          <w:color w:val="auto"/>
        </w:rPr>
      </w:pPr>
    </w:p>
    <w:p>
      <w:pPr>
        <w:ind w:left="1000" w:right="379" w:hanging="343"/>
        <w:spacing w:after="0" w:line="265" w:lineRule="auto"/>
        <w:tabs>
          <w:tab w:leader="none" w:pos="10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Under Section 203, a “business combination” includes:</w:t>
      </w:r>
    </w:p>
    <w:p>
      <w:pPr>
        <w:spacing w:after="0" w:line="100" w:lineRule="exact"/>
        <w:rPr>
          <w:sz w:val="20"/>
          <w:szCs w:val="20"/>
          <w:color w:val="auto"/>
        </w:rPr>
      </w:pPr>
    </w:p>
    <w:p>
      <w:pPr>
        <w:ind w:left="4460" w:right="3279" w:hanging="3803"/>
        <w:spacing w:after="0" w:line="452" w:lineRule="auto"/>
        <w:tabs>
          <w:tab w:leader="none" w:pos="98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or consolidation involving the corporation and the interested stockholder; 8</w:t>
      </w:r>
    </w:p>
    <w:p>
      <w:pPr>
        <w:sectPr>
          <w:pgSz w:w="11900" w:h="16838" w:orient="portrait"/>
          <w:cols w:equalWidth="0" w:num="1">
            <w:col w:w="9019"/>
          </w:cols>
          <w:pgMar w:left="1440" w:top="238" w:right="1440" w:bottom="1440" w:gutter="0" w:footer="0" w:header="0"/>
        </w:sectPr>
      </w:pPr>
    </w:p>
    <w:bookmarkStart w:id="12" w:name="page13"/>
    <w:bookmarkEnd w:id="12"/>
    <w:p>
      <w:pPr>
        <w:ind w:left="1000" w:hanging="343"/>
        <w:spacing w:after="0"/>
        <w:tabs>
          <w:tab w:leader="none" w:pos="1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any sale, transfer, pledge or other disposition of 10% or more of the assets of the corporation involving the interested stockholder;</w:t>
      </w:r>
    </w:p>
    <w:p>
      <w:pPr>
        <w:spacing w:after="0" w:line="100" w:lineRule="exact"/>
        <w:rPr>
          <w:rFonts w:ascii="Times New Roman" w:cs="Times New Roman" w:eastAsia="Times New Roman" w:hAnsi="Times New Roman"/>
          <w:sz w:val="14"/>
          <w:szCs w:val="14"/>
          <w:color w:val="auto"/>
        </w:rPr>
      </w:pPr>
    </w:p>
    <w:p>
      <w:pPr>
        <w:ind w:left="1000" w:right="619" w:hanging="343"/>
        <w:spacing w:after="0" w:line="280" w:lineRule="auto"/>
        <w:tabs>
          <w:tab w:leader="none" w:pos="1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that results in the issuance or transfer by the corporation of any stock of the corporation to the interested stockholder, subject to limited exceptions;</w:t>
      </w:r>
    </w:p>
    <w:p>
      <w:pPr>
        <w:spacing w:after="0" w:line="53" w:lineRule="exact"/>
        <w:rPr>
          <w:rFonts w:ascii="Times New Roman" w:cs="Times New Roman" w:eastAsia="Times New Roman" w:hAnsi="Times New Roman"/>
          <w:sz w:val="14"/>
          <w:szCs w:val="14"/>
          <w:color w:val="auto"/>
        </w:rPr>
      </w:pPr>
    </w:p>
    <w:p>
      <w:pPr>
        <w:ind w:left="1000" w:right="399" w:hanging="343"/>
        <w:spacing w:after="0" w:line="280" w:lineRule="auto"/>
        <w:tabs>
          <w:tab w:leader="none" w:pos="1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involving the corporation that has the effect of increasing the proportionate share of the stock of any class or series of the corporation beneficially owned by the interested stockholder; or</w:t>
      </w:r>
    </w:p>
    <w:p>
      <w:pPr>
        <w:spacing w:after="0" w:line="53" w:lineRule="exact"/>
        <w:rPr>
          <w:rFonts w:ascii="Times New Roman" w:cs="Times New Roman" w:eastAsia="Times New Roman" w:hAnsi="Times New Roman"/>
          <w:sz w:val="14"/>
          <w:szCs w:val="14"/>
          <w:color w:val="auto"/>
        </w:rPr>
      </w:pPr>
    </w:p>
    <w:p>
      <w:pPr>
        <w:ind w:left="1000" w:right="399" w:hanging="343"/>
        <w:spacing w:after="0" w:line="280" w:lineRule="auto"/>
        <w:tabs>
          <w:tab w:leader="none" w:pos="1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the interested stockholder of the benefit of any loans, advances, guarantees, pledges or other financial benefits provided by or through the corporation.</w:t>
      </w:r>
    </w:p>
    <w:p>
      <w:pPr>
        <w:spacing w:after="0" w:line="126" w:lineRule="exact"/>
        <w:rPr>
          <w:sz w:val="20"/>
          <w:szCs w:val="20"/>
          <w:color w:val="auto"/>
        </w:rPr>
      </w:pPr>
    </w:p>
    <w:p>
      <w:pPr>
        <w:ind w:left="240" w:right="379" w:firstLine="341"/>
        <w:spacing w:after="0" w:line="280" w:lineRule="auto"/>
        <w:rPr>
          <w:sz w:val="20"/>
          <w:szCs w:val="20"/>
          <w:color w:val="auto"/>
        </w:rPr>
      </w:pPr>
      <w:r>
        <w:rPr>
          <w:rFonts w:ascii="Times New Roman" w:cs="Times New Roman" w:eastAsia="Times New Roman" w:hAnsi="Times New Roman"/>
          <w:sz w:val="14"/>
          <w:szCs w:val="14"/>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Undesignated Preferred Stock</w:t>
      </w:r>
    </w:p>
    <w:p>
      <w:pPr>
        <w:spacing w:after="0" w:line="92" w:lineRule="exact"/>
        <w:rPr>
          <w:sz w:val="20"/>
          <w:szCs w:val="20"/>
          <w:color w:val="auto"/>
        </w:rPr>
      </w:pPr>
    </w:p>
    <w:p>
      <w:pPr>
        <w:ind w:left="240" w:right="399" w:firstLine="341"/>
        <w:spacing w:after="0" w:line="265" w:lineRule="auto"/>
        <w:rPr>
          <w:sz w:val="20"/>
          <w:szCs w:val="20"/>
          <w:color w:val="auto"/>
        </w:rPr>
      </w:pPr>
      <w:r>
        <w:rPr>
          <w:rFonts w:ascii="Times New Roman" w:cs="Times New Roman" w:eastAsia="Times New Roman" w:hAnsi="Times New Roman"/>
          <w:sz w:val="14"/>
          <w:szCs w:val="14"/>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Special Stockholder Meetings</w:t>
      </w:r>
    </w:p>
    <w:p>
      <w:pPr>
        <w:spacing w:after="0" w:line="92" w:lineRule="exact"/>
        <w:rPr>
          <w:sz w:val="20"/>
          <w:szCs w:val="20"/>
          <w:color w:val="auto"/>
        </w:rPr>
      </w:pPr>
    </w:p>
    <w:p>
      <w:pPr>
        <w:ind w:left="240" w:right="259" w:firstLine="341"/>
        <w:spacing w:after="0" w:line="280"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a special meeting of stockholders may be called only by our board of directors, the chairperson of the board of directors, the chief executive officer or the president (in the absence of a chief executive officer).</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Requirements for Advance Notification of Stockholder Nominations and Proposals</w:t>
      </w:r>
    </w:p>
    <w:p>
      <w:pPr>
        <w:spacing w:after="0" w:line="92" w:lineRule="exact"/>
        <w:rPr>
          <w:sz w:val="20"/>
          <w:szCs w:val="20"/>
          <w:color w:val="auto"/>
        </w:rPr>
      </w:pPr>
    </w:p>
    <w:p>
      <w:pPr>
        <w:ind w:left="240" w:right="299" w:firstLine="341"/>
        <w:spacing w:after="0" w:line="321" w:lineRule="auto"/>
        <w:rPr>
          <w:sz w:val="20"/>
          <w:szCs w:val="20"/>
          <w:color w:val="auto"/>
        </w:rPr>
      </w:pPr>
      <w:r>
        <w:rPr>
          <w:rFonts w:ascii="Times New Roman" w:cs="Times New Roman" w:eastAsia="Times New Roman" w:hAnsi="Times New Roman"/>
          <w:sz w:val="13"/>
          <w:szCs w:val="13"/>
          <w:color w:val="auto"/>
        </w:rPr>
        <w:t>Our second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Stockholder Action by Written Consent Not Permitted</w:t>
      </w:r>
    </w:p>
    <w:p>
      <w:pPr>
        <w:spacing w:after="0" w:line="92" w:lineRule="exact"/>
        <w:rPr>
          <w:sz w:val="20"/>
          <w:szCs w:val="20"/>
          <w:color w:val="auto"/>
        </w:rPr>
      </w:pPr>
    </w:p>
    <w:p>
      <w:pPr>
        <w:ind w:left="240" w:right="619" w:firstLine="341"/>
        <w:spacing w:after="0" w:line="280" w:lineRule="auto"/>
        <w:rPr>
          <w:sz w:val="20"/>
          <w:szCs w:val="20"/>
          <w:color w:val="auto"/>
        </w:rPr>
      </w:pPr>
      <w:r>
        <w:rPr>
          <w:rFonts w:ascii="Times New Roman" w:cs="Times New Roman" w:eastAsia="Times New Roman" w:hAnsi="Times New Roman"/>
          <w:sz w:val="14"/>
          <w:szCs w:val="14"/>
          <w:color w:val="auto"/>
        </w:rPr>
        <w:t>Subject to the rights of the holders of any series of preferred stock (if any), our amended and restated certificate of incorporation and second amended and restated bylaws do not allow for stockholders to act by written consent without a meeting.</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Election and Removal of Directors; Filling Vacancies</w:t>
      </w:r>
    </w:p>
    <w:p>
      <w:pPr>
        <w:spacing w:after="0" w:line="92" w:lineRule="exact"/>
        <w:rPr>
          <w:sz w:val="20"/>
          <w:szCs w:val="20"/>
          <w:color w:val="auto"/>
        </w:rPr>
      </w:pPr>
    </w:p>
    <w:p>
      <w:pPr>
        <w:ind w:left="240" w:right="259" w:firstLine="341"/>
        <w:spacing w:after="0" w:line="253" w:lineRule="auto"/>
        <w:rPr>
          <w:sz w:val="20"/>
          <w:szCs w:val="20"/>
          <w:color w:val="auto"/>
        </w:rPr>
      </w:pPr>
      <w:r>
        <w:rPr>
          <w:rFonts w:ascii="Times New Roman" w:cs="Times New Roman" w:eastAsia="Times New Roman" w:hAnsi="Times New Roman"/>
          <w:sz w:val="14"/>
          <w:szCs w:val="14"/>
          <w:color w:val="auto"/>
        </w:rPr>
        <w:t>Our board of directors is divided into three classes.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are able to elect all of our directors. Our amended and restated certificate of incorporation provides for the removal of any of our directors only for cause and requires at least a 66 2/3% stockholder vote. Furthermore, any vacancy on our board of directors, however occurring, including a vacancy resulting from an increase in the size of our board, may only be filled by a resolution of the majority of directors then in office or by a sole remaining director, unless the board of directors determines that such vacancies shall be filled by the stockholders. This system of electing and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13" w:name="page14"/>
    <w:bookmarkEnd w:id="13"/>
    <w:p>
      <w:pPr>
        <w:ind w:left="240" w:right="299"/>
        <w:spacing w:after="0" w:line="28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Choice of Forum</w:t>
      </w:r>
    </w:p>
    <w:p>
      <w:pPr>
        <w:spacing w:after="0" w:line="92" w:lineRule="exact"/>
        <w:rPr>
          <w:sz w:val="20"/>
          <w:szCs w:val="20"/>
          <w:color w:val="auto"/>
        </w:rPr>
      </w:pPr>
    </w:p>
    <w:p>
      <w:pPr>
        <w:ind w:left="240" w:right="319" w:firstLine="341"/>
        <w:spacing w:after="0" w:line="253" w:lineRule="auto"/>
        <w:rPr>
          <w:sz w:val="20"/>
          <w:szCs w:val="20"/>
          <w:color w:val="auto"/>
        </w:rPr>
      </w:pPr>
      <w:r>
        <w:rPr>
          <w:rFonts w:ascii="Times New Roman" w:cs="Times New Roman" w:eastAsia="Times New Roman" w:hAnsi="Times New Roman"/>
          <w:sz w:val="14"/>
          <w:szCs w:val="14"/>
          <w:color w:val="auto"/>
        </w:rPr>
        <w:t>Our amended and restated certificate of incorporation and second amended and restated bylaws provide that the Court of Chancery of the State of Delaware is the sole and exclusive forum for any derivative action or proceeding brought on our behalf; any action asserting a breach of fiduciary duty any of our directors, officers, employees or stockholders; any action asserting a claim against us or any of our directors, officers or employees arising pursuant to the Delaware General Corporation Law, our amended and restated certificate of incorporation or our second amended and restated bylaws; any action to interpret, apply, enforce or determine the validity of our amended and restated certificate of incorporation or our second amended and restated bylaws; or any action asserting a claim against us or any of our directors, officers or employees that is governed by the internal affairs doctrine. Although our amended and restated certificate of incorporation and second amended and restated bylaws contain the choice of forum provision described above, it is possible that a court could find that such a provision is inapplicable for a particular claim or action or that such provision is unenforceable.</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Amendment of Charter Provisions</w:t>
      </w:r>
    </w:p>
    <w:p>
      <w:pPr>
        <w:spacing w:after="0" w:line="92" w:lineRule="exact"/>
        <w:rPr>
          <w:sz w:val="20"/>
          <w:szCs w:val="20"/>
          <w:color w:val="auto"/>
        </w:rPr>
      </w:pPr>
    </w:p>
    <w:p>
      <w:pPr>
        <w:ind w:left="240" w:right="679" w:firstLine="341"/>
        <w:spacing w:after="0" w:line="280" w:lineRule="auto"/>
        <w:rPr>
          <w:sz w:val="20"/>
          <w:szCs w:val="20"/>
          <w:color w:val="auto"/>
        </w:rPr>
      </w:pPr>
      <w:r>
        <w:rPr>
          <w:rFonts w:ascii="Times New Roman" w:cs="Times New Roman" w:eastAsia="Times New Roman" w:hAnsi="Times New Roman"/>
          <w:sz w:val="14"/>
          <w:szCs w:val="14"/>
          <w:color w:val="auto"/>
        </w:rPr>
        <w:t>The amendment of any of the above provisions, except for the provision making it possible for our board of directors to issue undesignated preferred stock, would require approval by holders of at least 66 2/3% of the voting power of our then outstanding voting stock.</w:t>
      </w:r>
    </w:p>
    <w:p>
      <w:pPr>
        <w:spacing w:after="0" w:line="126" w:lineRule="exact"/>
        <w:rPr>
          <w:sz w:val="20"/>
          <w:szCs w:val="20"/>
          <w:color w:val="auto"/>
        </w:rPr>
      </w:pPr>
    </w:p>
    <w:p>
      <w:pPr>
        <w:ind w:left="240" w:right="299" w:firstLine="341"/>
        <w:spacing w:after="0" w:line="257" w:lineRule="auto"/>
        <w:rPr>
          <w:sz w:val="20"/>
          <w:szCs w:val="20"/>
          <w:color w:val="auto"/>
        </w:rPr>
      </w:pPr>
      <w:r>
        <w:rPr>
          <w:rFonts w:ascii="Times New Roman" w:cs="Times New Roman" w:eastAsia="Times New Roman" w:hAnsi="Times New Roman"/>
          <w:sz w:val="14"/>
          <w:szCs w:val="14"/>
          <w:color w:val="auto"/>
        </w:rPr>
        <w:t>The provisions of the Delaware General Corporation Law, our amended and restated certificate of incorporation and second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Limitations of Liability and Indemnification Matters</w:t>
      </w:r>
    </w:p>
    <w:p>
      <w:pPr>
        <w:spacing w:after="0" w:line="92" w:lineRule="exact"/>
        <w:rPr>
          <w:sz w:val="20"/>
          <w:szCs w:val="20"/>
          <w:color w:val="auto"/>
        </w:rPr>
      </w:pPr>
    </w:p>
    <w:p>
      <w:pPr>
        <w:ind w:left="240" w:right="539"/>
        <w:spacing w:after="0" w:line="265" w:lineRule="auto"/>
        <w:rPr>
          <w:sz w:val="20"/>
          <w:szCs w:val="20"/>
          <w:color w:val="auto"/>
        </w:rPr>
      </w:pPr>
      <w:r>
        <w:rPr>
          <w:rFonts w:ascii="Times New Roman" w:cs="Times New Roman" w:eastAsia="Times New Roman" w:hAnsi="Times New Roman"/>
          <w:sz w:val="14"/>
          <w:szCs w:val="14"/>
          <w:color w:val="auto"/>
        </w:rPr>
        <w:t>Our amended and restated certificate of incorporation contains provisions that limit the liability of our directors for monetary damages for breach of fiduciary duty as a director to the fullest extent permitted by Delaware law. Consequently, our directors will not be personally liable to us or our stockholders for monetary damages for any breach of fiduciary duties as directors, except liability for:</w:t>
      </w:r>
    </w:p>
    <w:p>
      <w:pPr>
        <w:spacing w:after="0" w:line="63" w:lineRule="exact"/>
        <w:rPr>
          <w:sz w:val="20"/>
          <w:szCs w:val="20"/>
          <w:color w:val="auto"/>
        </w:rPr>
      </w:pPr>
    </w:p>
    <w:p>
      <w:pPr>
        <w:ind w:left="1000" w:hanging="343"/>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 director’s duty of loyalty to us or our stockholders;</w:t>
      </w:r>
    </w:p>
    <w:p>
      <w:pPr>
        <w:spacing w:after="0" w:line="10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 or omission not in good faith or that involves intentional misconduct or a knowing violation of law;</w:t>
      </w:r>
    </w:p>
    <w:p>
      <w:pPr>
        <w:spacing w:after="0" w:line="100" w:lineRule="exact"/>
        <w:rPr>
          <w:rFonts w:ascii="Times New Roman" w:cs="Times New Roman" w:eastAsia="Times New Roman" w:hAnsi="Times New Roman"/>
          <w:sz w:val="14"/>
          <w:szCs w:val="14"/>
          <w:color w:val="auto"/>
        </w:rPr>
      </w:pPr>
    </w:p>
    <w:p>
      <w:pPr>
        <w:ind w:left="1000" w:right="739" w:hanging="343"/>
        <w:spacing w:after="0" w:line="280" w:lineRule="auto"/>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unlawful payments of dividends or unlawful stock repurchases or redemptions as provided in Section 174 of the Delaware General Corporation Law; or</w:t>
      </w:r>
    </w:p>
    <w:p>
      <w:pPr>
        <w:spacing w:after="0" w:line="53"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 director derived an improper personal benefit.</w:t>
      </w:r>
    </w:p>
    <w:p>
      <w:pPr>
        <w:spacing w:after="0" w:line="174" w:lineRule="exact"/>
        <w:rPr>
          <w:sz w:val="20"/>
          <w:szCs w:val="20"/>
          <w:color w:val="auto"/>
        </w:rPr>
      </w:pPr>
    </w:p>
    <w:p>
      <w:pPr>
        <w:ind w:left="240" w:right="299"/>
        <w:spacing w:after="0" w:line="259" w:lineRule="auto"/>
        <w:rPr>
          <w:sz w:val="20"/>
          <w:szCs w:val="20"/>
          <w:color w:val="auto"/>
        </w:rPr>
      </w:pPr>
      <w:r>
        <w:rPr>
          <w:rFonts w:ascii="Times New Roman" w:cs="Times New Roman" w:eastAsia="Times New Roman" w:hAnsi="Times New Roman"/>
          <w:sz w:val="14"/>
          <w:szCs w:val="14"/>
          <w:color w:val="auto"/>
        </w:rPr>
        <w:t>Our amended and restated certificate of incorporation and second amended and restated bylaws provide that we are required to indemnify our directors and officers, in each case to the fullest extent permitted by Delaware law. Our second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14" w:name="page15"/>
    <w:bookmarkEnd w:id="14"/>
    <w:p>
      <w:pPr>
        <w:ind w:left="240" w:right="27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ERISA excise taxes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45" w:lineRule="exact"/>
        <w:rPr>
          <w:sz w:val="20"/>
          <w:szCs w:val="20"/>
          <w:color w:val="auto"/>
        </w:rPr>
      </w:pPr>
    </w:p>
    <w:p>
      <w:pPr>
        <w:ind w:left="240" w:right="379"/>
        <w:spacing w:after="0" w:line="259" w:lineRule="auto"/>
        <w:rPr>
          <w:sz w:val="20"/>
          <w:szCs w:val="20"/>
          <w:color w:val="auto"/>
        </w:rPr>
      </w:pPr>
      <w:r>
        <w:rPr>
          <w:rFonts w:ascii="Times New Roman" w:cs="Times New Roman" w:eastAsia="Times New Roman" w:hAnsi="Times New Roman"/>
          <w:sz w:val="14"/>
          <w:szCs w:val="14"/>
          <w:color w:val="auto"/>
        </w:rPr>
        <w:t>The limitation of liability and indemnification provisions in our amended and restated certificate of incorporation and second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The Nasdaq Global Market Listing</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Our common stock is listed on the Nasdaq Global Market under the symbol “ARDX.”</w:t>
      </w:r>
    </w:p>
    <w:p>
      <w:pPr>
        <w:spacing w:after="0" w:line="2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2" w:lineRule="exact"/>
        <w:rPr>
          <w:sz w:val="20"/>
          <w:szCs w:val="20"/>
          <w:color w:val="auto"/>
        </w:rPr>
      </w:pPr>
    </w:p>
    <w:p>
      <w:pPr>
        <w:ind w:left="240" w:right="499" w:firstLine="341"/>
        <w:spacing w:after="0" w:line="280" w:lineRule="auto"/>
        <w:rPr>
          <w:sz w:val="20"/>
          <w:szCs w:val="20"/>
          <w:color w:val="auto"/>
        </w:rPr>
      </w:pPr>
      <w:r>
        <w:rPr>
          <w:rFonts w:ascii="Times New Roman" w:cs="Times New Roman" w:eastAsia="Times New Roman" w:hAnsi="Times New Roman"/>
          <w:sz w:val="14"/>
          <w:szCs w:val="14"/>
          <w:color w:val="auto"/>
        </w:rPr>
        <w:t>The transfer agent and registrar for our common stock is Equiniti Trust Company, LLC. The transfer agent and registrar’s address is 6201 15th Avenue, Brooklyn, New York 11219.</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DESCRIPTION OF DEBT SECURITIES</w:t>
      </w:r>
    </w:p>
    <w:p>
      <w:pPr>
        <w:spacing w:after="0" w:line="176" w:lineRule="exact"/>
        <w:rPr>
          <w:sz w:val="20"/>
          <w:szCs w:val="20"/>
          <w:color w:val="auto"/>
        </w:rPr>
      </w:pPr>
    </w:p>
    <w:p>
      <w:pPr>
        <w:ind w:left="240" w:right="259" w:firstLine="341"/>
        <w:spacing w:after="0" w:line="259"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41" w:lineRule="exact"/>
        <w:rPr>
          <w:sz w:val="20"/>
          <w:szCs w:val="20"/>
          <w:color w:val="auto"/>
        </w:rPr>
      </w:pPr>
    </w:p>
    <w:p>
      <w:pPr>
        <w:jc w:val="both"/>
        <w:ind w:left="240" w:right="259" w:firstLine="341"/>
        <w:spacing w:after="0" w:line="265" w:lineRule="auto"/>
        <w:rPr>
          <w:sz w:val="20"/>
          <w:szCs w:val="20"/>
          <w:color w:val="auto"/>
        </w:rPr>
      </w:pPr>
      <w:r>
        <w:rPr>
          <w:rFonts w:ascii="Times New Roman" w:cs="Times New Roman" w:eastAsia="Times New Roman" w:hAnsi="Times New Roman"/>
          <w:sz w:val="14"/>
          <w:szCs w:val="14"/>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36" w:lineRule="exact"/>
        <w:rPr>
          <w:sz w:val="20"/>
          <w:szCs w:val="20"/>
          <w:color w:val="auto"/>
        </w:rPr>
      </w:pPr>
    </w:p>
    <w:p>
      <w:pPr>
        <w:ind w:left="240" w:right="259" w:firstLine="341"/>
        <w:spacing w:after="0" w:line="257" w:lineRule="auto"/>
        <w:rPr>
          <w:sz w:val="20"/>
          <w:szCs w:val="20"/>
          <w:color w:val="auto"/>
        </w:rPr>
      </w:pPr>
      <w:r>
        <w:rPr>
          <w:rFonts w:ascii="Times New Roman" w:cs="Times New Roman" w:eastAsia="Times New Roman" w:hAnsi="Times New Roman"/>
          <w:sz w:val="14"/>
          <w:szCs w:val="14"/>
          <w:color w:val="auto"/>
        </w:rPr>
        <w:t>The debt securities will be issued under an indenture between us and a third party to be identified therein, as trustee.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2" w:lineRule="exact"/>
        <w:rPr>
          <w:sz w:val="20"/>
          <w:szCs w:val="20"/>
          <w:color w:val="auto"/>
        </w:rPr>
      </w:pPr>
    </w:p>
    <w:p>
      <w:pPr>
        <w:ind w:left="240" w:right="279" w:firstLine="341"/>
        <w:spacing w:after="0" w:line="259" w:lineRule="auto"/>
        <w:rPr>
          <w:sz w:val="20"/>
          <w:szCs w:val="20"/>
          <w:color w:val="auto"/>
        </w:rPr>
      </w:pPr>
      <w:r>
        <w:rPr>
          <w:rFonts w:ascii="Times New Roman" w:cs="Times New Roman" w:eastAsia="Times New Roman" w:hAnsi="Times New Roman"/>
          <w:sz w:val="14"/>
          <w:szCs w:val="14"/>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41" w:lineRule="exact"/>
        <w:rPr>
          <w:sz w:val="20"/>
          <w:szCs w:val="20"/>
          <w:color w:val="auto"/>
        </w:rPr>
      </w:pPr>
    </w:p>
    <w:p>
      <w:pPr>
        <w:jc w:val="both"/>
        <w:ind w:left="240" w:right="359" w:firstLine="341"/>
        <w:spacing w:after="0" w:line="265" w:lineRule="auto"/>
        <w:rPr>
          <w:sz w:val="20"/>
          <w:szCs w:val="20"/>
          <w:color w:val="auto"/>
        </w:rPr>
      </w:pPr>
      <w:r>
        <w:rPr>
          <w:rFonts w:ascii="Times New Roman" w:cs="Times New Roman" w:eastAsia="Times New Roman" w:hAnsi="Times New Roman"/>
          <w:sz w:val="14"/>
          <w:szCs w:val="14"/>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63" w:lineRule="exact"/>
        <w:rPr>
          <w:sz w:val="20"/>
          <w:szCs w:val="20"/>
          <w:color w:val="auto"/>
        </w:rPr>
      </w:pPr>
    </w:p>
    <w:p>
      <w:pPr>
        <w:ind w:left="1000" w:hanging="343"/>
        <w:spacing w:after="0"/>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ranking of the debt securities (including the terms of any subordination provisions);</w:t>
      </w:r>
    </w:p>
    <w:p>
      <w:pPr>
        <w:spacing w:after="0" w:line="10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(expressed as a percentage of the principal amount) at which we will sell the debt securities;</w:t>
      </w:r>
    </w:p>
    <w:p>
      <w:pPr>
        <w:spacing w:after="0" w:line="10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w:t>
      </w:r>
    </w:p>
    <w:p>
      <w:pPr>
        <w:spacing w:after="0" w:line="10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securities of the series is payable;</w:t>
      </w:r>
    </w:p>
    <w:p>
      <w:pPr>
        <w:spacing w:after="0" w:line="100" w:lineRule="exact"/>
        <w:rPr>
          <w:rFonts w:ascii="Times New Roman" w:cs="Times New Roman" w:eastAsia="Times New Roman" w:hAnsi="Times New Roman"/>
          <w:sz w:val="14"/>
          <w:szCs w:val="14"/>
          <w:color w:val="auto"/>
        </w:rPr>
      </w:pPr>
    </w:p>
    <w:p>
      <w:pPr>
        <w:ind w:left="1000" w:right="359" w:hanging="343"/>
        <w:spacing w:after="0" w:line="259" w:lineRule="auto"/>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68" w:lineRule="exact"/>
        <w:rPr>
          <w:rFonts w:ascii="Times New Roman" w:cs="Times New Roman" w:eastAsia="Times New Roman" w:hAnsi="Times New Roman"/>
          <w:sz w:val="14"/>
          <w:szCs w:val="14"/>
          <w:color w:val="auto"/>
        </w:rPr>
      </w:pPr>
    </w:p>
    <w:p>
      <w:pPr>
        <w:jc w:val="both"/>
        <w:ind w:left="1000" w:right="319" w:hanging="343"/>
        <w:spacing w:after="0" w:line="265" w:lineRule="auto"/>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62" w:lineRule="exact"/>
        <w:rPr>
          <w:rFonts w:ascii="Times New Roman" w:cs="Times New Roman" w:eastAsia="Times New Roman" w:hAnsi="Times New Roman"/>
          <w:sz w:val="14"/>
          <w:szCs w:val="14"/>
          <w:color w:val="auto"/>
        </w:rPr>
      </w:pPr>
    </w:p>
    <w:p>
      <w:pPr>
        <w:ind w:left="1000" w:right="799" w:hanging="343"/>
        <w:spacing w:after="0" w:line="280" w:lineRule="auto"/>
        <w:tabs>
          <w:tab w:leader="none" w:pos="10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and the terms and conditions upon which we may redeem the debt securities;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8" w:right="1440" w:bottom="1440" w:gutter="0" w:footer="0" w:header="0"/>
        </w:sectPr>
      </w:pPr>
    </w:p>
    <w:bookmarkStart w:id="16" w:name="page17"/>
    <w:bookmarkEnd w:id="16"/>
    <w:p>
      <w:pPr>
        <w:ind w:left="1000" w:right="299" w:hanging="343"/>
        <w:spacing w:after="0" w:line="265" w:lineRule="auto"/>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62" w:lineRule="exact"/>
        <w:rPr>
          <w:rFonts w:ascii="Times New Roman" w:cs="Times New Roman" w:eastAsia="Times New Roman" w:hAnsi="Times New Roman"/>
          <w:sz w:val="14"/>
          <w:szCs w:val="14"/>
          <w:color w:val="auto"/>
        </w:rPr>
      </w:pPr>
    </w:p>
    <w:p>
      <w:pPr>
        <w:ind w:left="1000" w:right="519" w:hanging="343"/>
        <w:spacing w:after="0" w:line="280" w:lineRule="auto"/>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and the price or prices at which we will repurchase debt securities at the option of the holders of debt securities and other detailed terms and provisions of these repurchase obligations;</w:t>
      </w:r>
    </w:p>
    <w:p>
      <w:pPr>
        <w:spacing w:after="0" w:line="53"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 if other than denominations of $1,000 and any integral multiple thereof;</w:t>
      </w:r>
    </w:p>
    <w:p>
      <w:pPr>
        <w:spacing w:after="0" w:line="10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the form of certificated debt securities or global debt securities;</w:t>
      </w:r>
    </w:p>
    <w:p>
      <w:pPr>
        <w:spacing w:after="0" w:line="100" w:lineRule="exact"/>
        <w:rPr>
          <w:rFonts w:ascii="Times New Roman" w:cs="Times New Roman" w:eastAsia="Times New Roman" w:hAnsi="Times New Roman"/>
          <w:sz w:val="14"/>
          <w:szCs w:val="14"/>
          <w:color w:val="auto"/>
        </w:rPr>
      </w:pPr>
    </w:p>
    <w:p>
      <w:pPr>
        <w:ind w:left="1000" w:right="719" w:hanging="343"/>
        <w:spacing w:after="0" w:line="280" w:lineRule="auto"/>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principal amount of the debt securities payable upon declaration of acceleration of the maturity date, if other than the principal amount;</w:t>
      </w:r>
    </w:p>
    <w:p>
      <w:pPr>
        <w:spacing w:after="0" w:line="53" w:lineRule="exact"/>
        <w:rPr>
          <w:rFonts w:ascii="Times New Roman" w:cs="Times New Roman" w:eastAsia="Times New Roman" w:hAnsi="Times New Roman"/>
          <w:sz w:val="14"/>
          <w:szCs w:val="14"/>
          <w:color w:val="auto"/>
        </w:rPr>
      </w:pPr>
    </w:p>
    <w:p>
      <w:pPr>
        <w:ind w:left="1000" w:right="919" w:hanging="343"/>
        <w:spacing w:after="0" w:line="321" w:lineRule="auto"/>
        <w:tabs>
          <w:tab w:leader="none" w:pos="10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28" w:lineRule="exact"/>
        <w:rPr>
          <w:rFonts w:ascii="Times New Roman" w:cs="Times New Roman" w:eastAsia="Times New Roman" w:hAnsi="Times New Roman"/>
          <w:sz w:val="13"/>
          <w:szCs w:val="13"/>
          <w:color w:val="auto"/>
        </w:rPr>
      </w:pPr>
    </w:p>
    <w:p>
      <w:pPr>
        <w:ind w:left="1000" w:right="359" w:hanging="343"/>
        <w:spacing w:after="0" w:line="280" w:lineRule="auto"/>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principal of, premium and interest on the debt securities will be made;</w:t>
      </w:r>
    </w:p>
    <w:p>
      <w:pPr>
        <w:spacing w:after="0" w:line="53" w:lineRule="exact"/>
        <w:rPr>
          <w:rFonts w:ascii="Times New Roman" w:cs="Times New Roman" w:eastAsia="Times New Roman" w:hAnsi="Times New Roman"/>
          <w:sz w:val="14"/>
          <w:szCs w:val="14"/>
          <w:color w:val="auto"/>
        </w:rPr>
      </w:pPr>
    </w:p>
    <w:p>
      <w:pPr>
        <w:ind w:left="1000" w:right="379" w:hanging="343"/>
        <w:spacing w:after="0" w:line="265" w:lineRule="auto"/>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62" w:lineRule="exact"/>
        <w:rPr>
          <w:rFonts w:ascii="Times New Roman" w:cs="Times New Roman" w:eastAsia="Times New Roman" w:hAnsi="Times New Roman"/>
          <w:sz w:val="14"/>
          <w:szCs w:val="14"/>
          <w:color w:val="auto"/>
        </w:rPr>
      </w:pPr>
    </w:p>
    <w:p>
      <w:pPr>
        <w:jc w:val="both"/>
        <w:ind w:left="1000" w:right="299" w:hanging="343"/>
        <w:spacing w:after="0" w:line="265" w:lineRule="auto"/>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62"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any security provided for the debt securities;</w:t>
      </w:r>
    </w:p>
    <w:p>
      <w:pPr>
        <w:spacing w:after="0" w:line="100" w:lineRule="exact"/>
        <w:rPr>
          <w:rFonts w:ascii="Times New Roman" w:cs="Times New Roman" w:eastAsia="Times New Roman" w:hAnsi="Times New Roman"/>
          <w:sz w:val="14"/>
          <w:szCs w:val="14"/>
          <w:color w:val="auto"/>
        </w:rPr>
      </w:pPr>
    </w:p>
    <w:p>
      <w:pPr>
        <w:ind w:left="1000" w:right="359" w:hanging="343"/>
        <w:spacing w:after="0" w:line="321" w:lineRule="auto"/>
        <w:tabs>
          <w:tab w:leader="none" w:pos="10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28" w:lineRule="exact"/>
        <w:rPr>
          <w:rFonts w:ascii="Times New Roman" w:cs="Times New Roman" w:eastAsia="Times New Roman" w:hAnsi="Times New Roman"/>
          <w:sz w:val="13"/>
          <w:szCs w:val="13"/>
          <w:color w:val="auto"/>
        </w:rPr>
      </w:pPr>
    </w:p>
    <w:p>
      <w:pPr>
        <w:ind w:left="1000" w:hanging="343"/>
        <w:spacing w:after="0"/>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deletion of or change in the covenants described in this prospectus or in the indenture with respect to the debt securities;</w:t>
      </w:r>
    </w:p>
    <w:p>
      <w:pPr>
        <w:spacing w:after="0" w:line="10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depositaries, interest rate calculation agents, exchange rate calculation agents or other agents with respect to the debt securities;</w:t>
      </w:r>
    </w:p>
    <w:p>
      <w:pPr>
        <w:spacing w:after="0" w:line="100" w:lineRule="exact"/>
        <w:rPr>
          <w:rFonts w:ascii="Times New Roman" w:cs="Times New Roman" w:eastAsia="Times New Roman" w:hAnsi="Times New Roman"/>
          <w:sz w:val="14"/>
          <w:szCs w:val="14"/>
          <w:color w:val="auto"/>
        </w:rPr>
      </w:pPr>
    </w:p>
    <w:p>
      <w:pPr>
        <w:ind w:left="1000" w:right="399" w:hanging="343"/>
        <w:spacing w:after="0" w:line="265" w:lineRule="auto"/>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62" w:lineRule="exact"/>
        <w:rPr>
          <w:rFonts w:ascii="Times New Roman" w:cs="Times New Roman" w:eastAsia="Times New Roman" w:hAnsi="Times New Roman"/>
          <w:sz w:val="14"/>
          <w:szCs w:val="14"/>
          <w:color w:val="auto"/>
        </w:rPr>
      </w:pPr>
    </w:p>
    <w:p>
      <w:pPr>
        <w:ind w:left="1000" w:right="439" w:hanging="343"/>
        <w:spacing w:after="0" w:line="265" w:lineRule="auto"/>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62" w:lineRule="exact"/>
        <w:rPr>
          <w:rFonts w:ascii="Times New Roman" w:cs="Times New Roman" w:eastAsia="Times New Roman" w:hAnsi="Times New Roman"/>
          <w:sz w:val="14"/>
          <w:szCs w:val="14"/>
          <w:color w:val="auto"/>
        </w:rPr>
      </w:pPr>
    </w:p>
    <w:p>
      <w:pPr>
        <w:ind w:left="1000" w:right="439" w:hanging="343"/>
        <w:spacing w:after="0" w:line="280" w:lineRule="auto"/>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our direct or indirect subsidiaries will guarantee the debt securities of that series, including the terms of subordination, if any, of such guarantees. (Section 2.2)</w:t>
      </w:r>
    </w:p>
    <w:p>
      <w:pPr>
        <w:spacing w:after="0" w:line="53" w:lineRule="exact"/>
        <w:rPr>
          <w:rFonts w:ascii="Times New Roman" w:cs="Times New Roman" w:eastAsia="Times New Roman" w:hAnsi="Times New Roman"/>
          <w:sz w:val="14"/>
          <w:szCs w:val="14"/>
          <w:color w:val="auto"/>
        </w:rPr>
      </w:pPr>
    </w:p>
    <w:p>
      <w:pPr>
        <w:ind w:left="1000" w:right="379" w:hanging="343"/>
        <w:spacing w:after="0" w:line="265" w:lineRule="auto"/>
        <w:tabs>
          <w:tab w:leader="none" w:pos="10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17" w:name="page18"/>
    <w:bookmarkEnd w:id="17"/>
    <w:p>
      <w:pPr>
        <w:ind w:left="240" w:right="279" w:firstLine="341"/>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Transfer and Exchange</w:t>
      </w:r>
    </w:p>
    <w:p>
      <w:pPr>
        <w:spacing w:after="0" w:line="92" w:lineRule="exact"/>
        <w:rPr>
          <w:sz w:val="20"/>
          <w:szCs w:val="20"/>
          <w:color w:val="auto"/>
        </w:rPr>
      </w:pPr>
    </w:p>
    <w:p>
      <w:pPr>
        <w:ind w:left="240" w:right="339" w:firstLine="341"/>
        <w:spacing w:after="0" w:line="257" w:lineRule="auto"/>
        <w:rPr>
          <w:sz w:val="20"/>
          <w:szCs w:val="20"/>
          <w:color w:val="auto"/>
        </w:rPr>
      </w:pPr>
      <w:r>
        <w:rPr>
          <w:rFonts w:ascii="Times New Roman" w:cs="Times New Roman" w:eastAsia="Times New Roman" w:hAnsi="Times New Roman"/>
          <w:sz w:val="14"/>
          <w:szCs w:val="14"/>
          <w:color w:val="auto"/>
        </w:rPr>
        <w:t>Each debt security will be represented by either one or more global securities registered in the name of The Depository Trust Company (“DTC”), or a nominee of DTC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42" w:lineRule="exact"/>
        <w:rPr>
          <w:sz w:val="20"/>
          <w:szCs w:val="20"/>
          <w:color w:val="auto"/>
        </w:rPr>
      </w:pPr>
    </w:p>
    <w:p>
      <w:pPr>
        <w:jc w:val="both"/>
        <w:ind w:left="240" w:right="499" w:firstLine="341"/>
        <w:spacing w:after="0" w:line="294" w:lineRule="auto"/>
        <w:rPr>
          <w:sz w:val="20"/>
          <w:szCs w:val="20"/>
          <w:color w:val="auto"/>
        </w:rPr>
      </w:pPr>
      <w:r>
        <w:rPr>
          <w:rFonts w:ascii="Times New Roman" w:cs="Times New Roman" w:eastAsia="Times New Roman" w:hAnsi="Times New Roman"/>
          <w:sz w:val="13"/>
          <w:szCs w:val="13"/>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20" w:lineRule="exact"/>
        <w:rPr>
          <w:sz w:val="20"/>
          <w:szCs w:val="20"/>
          <w:color w:val="auto"/>
        </w:rPr>
      </w:pPr>
    </w:p>
    <w:p>
      <w:pPr>
        <w:ind w:left="240" w:right="319" w:firstLine="341"/>
        <w:spacing w:after="0" w:line="265" w:lineRule="auto"/>
        <w:rPr>
          <w:sz w:val="20"/>
          <w:szCs w:val="20"/>
          <w:color w:val="auto"/>
        </w:rPr>
      </w:pPr>
      <w:r>
        <w:rPr>
          <w:rFonts w:ascii="Times New Roman" w:cs="Times New Roman" w:eastAsia="Times New Roman" w:hAnsi="Times New Roman"/>
          <w:sz w:val="14"/>
          <w:szCs w:val="14"/>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36" w:lineRule="exact"/>
        <w:rPr>
          <w:sz w:val="20"/>
          <w:szCs w:val="20"/>
          <w:color w:val="auto"/>
        </w:rPr>
      </w:pPr>
    </w:p>
    <w:p>
      <w:pPr>
        <w:ind w:left="240" w:right="479" w:firstLine="341"/>
        <w:spacing w:after="0" w:line="280" w:lineRule="auto"/>
        <w:rPr>
          <w:sz w:val="20"/>
          <w:szCs w:val="20"/>
          <w:color w:val="auto"/>
        </w:rPr>
      </w:pPr>
      <w:r>
        <w:rPr>
          <w:rFonts w:ascii="Times New Roman" w:cs="Times New Roman" w:eastAsia="Times New Roman" w:hAnsi="Times New Roman"/>
          <w:sz w:val="14"/>
          <w:szCs w:val="14"/>
          <w:color w:val="auto"/>
        </w:rPr>
        <w:t>Global Debt Securities and Book-Entry System. Each global debt security representing book-entry debt securities will be deposited with, or on behalf of, DTC, and registered in the name of DTC or a nominee of DTC. Please see “Global Securities.”</w:t>
      </w:r>
    </w:p>
    <w:p>
      <w:pPr>
        <w:spacing w:after="0" w:line="2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We will set forth in the applicable prospectus supplement any restrictive covenants applicable to any issue of debt securities. (Article IV)</w:t>
      </w:r>
    </w:p>
    <w:p>
      <w:pPr>
        <w:spacing w:after="0" w:line="2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No Protection in the Event of a Change of Control</w:t>
      </w:r>
    </w:p>
    <w:p>
      <w:pPr>
        <w:spacing w:after="0" w:line="92" w:lineRule="exact"/>
        <w:rPr>
          <w:sz w:val="20"/>
          <w:szCs w:val="20"/>
          <w:color w:val="auto"/>
        </w:rPr>
      </w:pPr>
    </w:p>
    <w:p>
      <w:pPr>
        <w:ind w:left="240" w:right="279" w:firstLine="341"/>
        <w:spacing w:after="0" w:line="265"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92" w:lineRule="exact"/>
        <w:rPr>
          <w:sz w:val="20"/>
          <w:szCs w:val="20"/>
          <w:color w:val="auto"/>
        </w:rPr>
      </w:pPr>
    </w:p>
    <w:p>
      <w:pPr>
        <w:ind w:left="240" w:right="299" w:firstLine="341"/>
        <w:spacing w:after="0" w:line="280" w:lineRule="auto"/>
        <w:rPr>
          <w:sz w:val="20"/>
          <w:szCs w:val="20"/>
          <w:color w:val="auto"/>
        </w:rPr>
      </w:pPr>
      <w:r>
        <w:rPr>
          <w:rFonts w:ascii="Times New Roman" w:cs="Times New Roman" w:eastAsia="Times New Roman" w:hAnsi="Times New Roman"/>
          <w:sz w:val="14"/>
          <w:szCs w:val="14"/>
          <w:color w:val="auto"/>
        </w:rPr>
        <w:t>We may not consolidate with or merge with or into, or convey, transfer or lease all or substantially all of our properties and assets to any person (a “successor person”) unless:</w:t>
      </w:r>
    </w:p>
    <w:p>
      <w:pPr>
        <w:spacing w:after="0" w:line="53" w:lineRule="exact"/>
        <w:rPr>
          <w:sz w:val="20"/>
          <w:szCs w:val="20"/>
          <w:color w:val="auto"/>
        </w:rPr>
      </w:pPr>
    </w:p>
    <w:p>
      <w:pPr>
        <w:ind w:left="1000" w:right="299" w:hanging="343"/>
        <w:spacing w:after="0" w:line="280" w:lineRule="auto"/>
        <w:tabs>
          <w:tab w:leader="none" w:pos="1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the surviving entity or the successor person (if other than Ardelyx, Inc.) is a corporation, partnership, trust or other entity organized and validly existing under the laws and expressly assumes our obligations on the debt securities and under the indenture; and</w:t>
      </w:r>
    </w:p>
    <w:p>
      <w:pPr>
        <w:spacing w:after="0" w:line="53"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shall have occurred and be continuing.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Notwithstanding the above, any of our subsidiaries may consolidate with, merge into or transfer all or part of its properties to us. (Section 5.1)</w:t>
      </w:r>
    </w:p>
    <w:p>
      <w:pPr>
        <w:spacing w:after="0" w:line="25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“Event of Default” means with respect to any series of debt securities, any of the following:</w:t>
      </w:r>
    </w:p>
    <w:p>
      <w:pPr>
        <w:spacing w:after="0" w:line="100" w:lineRule="exact"/>
        <w:rPr>
          <w:sz w:val="20"/>
          <w:szCs w:val="20"/>
          <w:color w:val="auto"/>
        </w:rPr>
      </w:pPr>
    </w:p>
    <w:p>
      <w:pPr>
        <w:ind w:left="1000" w:right="379" w:hanging="343"/>
        <w:spacing w:after="0" w:line="265" w:lineRule="auto"/>
        <w:tabs>
          <w:tab w:leader="none" w:pos="10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62"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any security of that series at its maturity;</w:t>
      </w:r>
    </w:p>
    <w:p>
      <w:pPr>
        <w:spacing w:after="0" w:line="100" w:lineRule="exact"/>
        <w:rPr>
          <w:rFonts w:ascii="Times New Roman" w:cs="Times New Roman" w:eastAsia="Times New Roman" w:hAnsi="Times New Roman"/>
          <w:sz w:val="14"/>
          <w:szCs w:val="14"/>
          <w:color w:val="auto"/>
        </w:rPr>
      </w:pPr>
    </w:p>
    <w:p>
      <w:pPr>
        <w:ind w:left="1000" w:right="399" w:hanging="343"/>
        <w:spacing w:after="0" w:line="259" w:lineRule="auto"/>
        <w:tabs>
          <w:tab w:leader="none" w:pos="10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Ardelyx, Inc. and the trustee receive written notice from the holders of not less than 25% in principal amount of the outstanding debt securities of that series as provided in the indenture;</w:t>
      </w:r>
    </w:p>
    <w:p>
      <w:pPr>
        <w:spacing w:after="0" w:line="68"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voluntary or involuntary events of bankruptcy, insolvency or reorganization of Ardelyx, Inc.; or</w:t>
      </w:r>
    </w:p>
    <w:p>
      <w:pPr>
        <w:spacing w:after="0" w:line="100" w:lineRule="exact"/>
        <w:rPr>
          <w:rFonts w:ascii="Times New Roman" w:cs="Times New Roman" w:eastAsia="Times New Roman" w:hAnsi="Times New Roman"/>
          <w:sz w:val="14"/>
          <w:szCs w:val="14"/>
          <w:color w:val="auto"/>
        </w:rPr>
      </w:pPr>
    </w:p>
    <w:p>
      <w:pPr>
        <w:ind w:left="1000" w:right="339" w:hanging="343"/>
        <w:spacing w:after="0" w:line="280" w:lineRule="auto"/>
        <w:tabs>
          <w:tab w:leader="none" w:pos="10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debt securities of that series that is described in the applicable prospectus supplement. (Section 6.1)</w:t>
      </w:r>
    </w:p>
    <w:p>
      <w:pPr>
        <w:spacing w:after="0" w:line="126" w:lineRule="exact"/>
        <w:rPr>
          <w:sz w:val="20"/>
          <w:szCs w:val="20"/>
          <w:color w:val="auto"/>
        </w:rPr>
      </w:pPr>
    </w:p>
    <w:p>
      <w:pPr>
        <w:jc w:val="both"/>
        <w:ind w:left="240" w:right="319" w:firstLine="341"/>
        <w:spacing w:after="0" w:line="259" w:lineRule="auto"/>
        <w:rPr>
          <w:sz w:val="20"/>
          <w:szCs w:val="20"/>
          <w:color w:val="auto"/>
        </w:rPr>
      </w:pPr>
      <w:r>
        <w:rPr>
          <w:rFonts w:ascii="Times New Roman" w:cs="Times New Roman" w:eastAsia="Times New Roman" w:hAnsi="Times New Roman"/>
          <w:sz w:val="14"/>
          <w:szCs w:val="14"/>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41" w:lineRule="exact"/>
        <w:rPr>
          <w:sz w:val="20"/>
          <w:szCs w:val="20"/>
          <w:color w:val="auto"/>
        </w:rPr>
      </w:pPr>
    </w:p>
    <w:p>
      <w:pPr>
        <w:ind w:left="240" w:right="319" w:firstLine="341"/>
        <w:spacing w:after="0" w:line="265" w:lineRule="auto"/>
        <w:rPr>
          <w:sz w:val="20"/>
          <w:szCs w:val="20"/>
          <w:color w:val="auto"/>
        </w:rPr>
      </w:pPr>
      <w:r>
        <w:rPr>
          <w:rFonts w:ascii="Times New Roman" w:cs="Times New Roman" w:eastAsia="Times New Roman" w:hAnsi="Times New Roman"/>
          <w:sz w:val="14"/>
          <w:szCs w:val="14"/>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36" w:lineRule="exact"/>
        <w:rPr>
          <w:sz w:val="20"/>
          <w:szCs w:val="20"/>
          <w:color w:val="auto"/>
        </w:rPr>
      </w:pPr>
    </w:p>
    <w:p>
      <w:pPr>
        <w:ind w:left="240" w:right="259" w:firstLine="341"/>
        <w:spacing w:after="0" w:line="252"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19" w:name="page20"/>
    <w:bookmarkEnd w:id="19"/>
    <w:p>
      <w:pPr>
        <w:ind w:left="240" w:right="279" w:firstLine="341"/>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indenture provides that the trustee may refuse to perform any duty or exercise any of its rights or powers under the indenture unless the trustee receives indemnity satisfactory to it against any cost, liability or expense that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42" w:lineRule="exact"/>
        <w:rPr>
          <w:sz w:val="20"/>
          <w:szCs w:val="20"/>
          <w:color w:val="auto"/>
        </w:rPr>
      </w:pPr>
    </w:p>
    <w:p>
      <w:pPr>
        <w:ind w:left="240" w:right="379" w:firstLine="341"/>
        <w:spacing w:after="0" w:line="280" w:lineRule="auto"/>
        <w:rPr>
          <w:sz w:val="20"/>
          <w:szCs w:val="20"/>
          <w:color w:val="auto"/>
        </w:rPr>
      </w:pPr>
      <w:r>
        <w:rPr>
          <w:rFonts w:ascii="Times New Roman" w:cs="Times New Roman" w:eastAsia="Times New Roman" w:hAnsi="Times New Roman"/>
          <w:sz w:val="14"/>
          <w:szCs w:val="14"/>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53" w:lineRule="exact"/>
        <w:rPr>
          <w:sz w:val="20"/>
          <w:szCs w:val="20"/>
          <w:color w:val="auto"/>
        </w:rPr>
      </w:pPr>
    </w:p>
    <w:p>
      <w:pPr>
        <w:ind w:left="1000" w:right="359" w:hanging="343"/>
        <w:spacing w:after="0" w:line="280" w:lineRule="auto"/>
        <w:tabs>
          <w:tab w:leader="none" w:pos="10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holder has previously given to the trustee written notice of a continuing Event of Default with respect to debt securities of that series; and</w:t>
      </w:r>
    </w:p>
    <w:p>
      <w:pPr>
        <w:spacing w:after="0" w:line="53" w:lineRule="exact"/>
        <w:rPr>
          <w:rFonts w:ascii="Times New Roman" w:cs="Times New Roman" w:eastAsia="Times New Roman" w:hAnsi="Times New Roman"/>
          <w:sz w:val="14"/>
          <w:szCs w:val="14"/>
          <w:color w:val="auto"/>
        </w:rPr>
      </w:pPr>
    </w:p>
    <w:p>
      <w:pPr>
        <w:ind w:left="1000" w:right="279" w:hanging="343"/>
        <w:spacing w:after="0" w:line="259" w:lineRule="auto"/>
        <w:tabs>
          <w:tab w:leader="none" w:pos="10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41" w:lineRule="exact"/>
        <w:rPr>
          <w:sz w:val="20"/>
          <w:szCs w:val="20"/>
          <w:color w:val="auto"/>
        </w:rPr>
      </w:pPr>
    </w:p>
    <w:p>
      <w:pPr>
        <w:ind w:left="240" w:right="399" w:firstLine="341"/>
        <w:spacing w:after="0" w:line="265" w:lineRule="auto"/>
        <w:rPr>
          <w:sz w:val="20"/>
          <w:szCs w:val="20"/>
          <w:color w:val="auto"/>
        </w:rPr>
      </w:pPr>
      <w:r>
        <w:rPr>
          <w:rFonts w:ascii="Times New Roman" w:cs="Times New Roman" w:eastAsia="Times New Roman" w:hAnsi="Times New Roman"/>
          <w:sz w:val="14"/>
          <w:szCs w:val="14"/>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36" w:lineRule="exact"/>
        <w:rPr>
          <w:sz w:val="20"/>
          <w:szCs w:val="20"/>
          <w:color w:val="auto"/>
        </w:rPr>
      </w:pPr>
    </w:p>
    <w:p>
      <w:pPr>
        <w:ind w:left="240" w:right="259" w:firstLine="341"/>
        <w:spacing w:after="0" w:line="254" w:lineRule="auto"/>
        <w:rPr>
          <w:sz w:val="20"/>
          <w:szCs w:val="20"/>
          <w:color w:val="auto"/>
        </w:rPr>
      </w:pPr>
      <w:r>
        <w:rPr>
          <w:rFonts w:ascii="Times New Roman" w:cs="Times New Roman" w:eastAsia="Times New Roman" w:hAnsi="Times New Roman"/>
          <w:sz w:val="14"/>
          <w:szCs w:val="14"/>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92" w:lineRule="exact"/>
        <w:rPr>
          <w:sz w:val="20"/>
          <w:szCs w:val="20"/>
          <w:color w:val="auto"/>
        </w:rPr>
      </w:pPr>
    </w:p>
    <w:p>
      <w:pPr>
        <w:ind w:left="240" w:right="459" w:firstLine="341"/>
        <w:spacing w:after="0" w:line="280" w:lineRule="auto"/>
        <w:rPr>
          <w:sz w:val="20"/>
          <w:szCs w:val="20"/>
          <w:color w:val="auto"/>
        </w:rPr>
      </w:pPr>
      <w:r>
        <w:rPr>
          <w:rFonts w:ascii="Times New Roman" w:cs="Times New Roman" w:eastAsia="Times New Roman" w:hAnsi="Times New Roman"/>
          <w:sz w:val="14"/>
          <w:szCs w:val="14"/>
          <w:color w:val="auto"/>
        </w:rPr>
        <w:t>We and the trustee may modify, amend or supplement the indenture or the debt securities of any series without the consent of any holder of any debt security:</w:t>
      </w:r>
    </w:p>
    <w:p>
      <w:pPr>
        <w:spacing w:after="0" w:line="53" w:lineRule="exact"/>
        <w:rPr>
          <w:sz w:val="20"/>
          <w:szCs w:val="20"/>
          <w:color w:val="auto"/>
        </w:rPr>
      </w:pPr>
    </w:p>
    <w:p>
      <w:pPr>
        <w:ind w:left="1000" w:hanging="343"/>
        <w:spacing w:after="0"/>
        <w:tabs>
          <w:tab w:leader="none" w:pos="10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10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covenants in the indenture described above under the heading “Consolidation, Merger and Sale of Assets”;</w:t>
      </w:r>
    </w:p>
    <w:p>
      <w:pPr>
        <w:spacing w:after="0" w:line="10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10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guarantees with respect to debt securities of any series or secure debt securities of any series;</w:t>
      </w:r>
    </w:p>
    <w:p>
      <w:pPr>
        <w:spacing w:after="0" w:line="10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surrender any of our rights or powers under the indenture;</w:t>
      </w:r>
    </w:p>
    <w:p>
      <w:pPr>
        <w:spacing w:after="0" w:line="10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covenants or events of default for the benefit of the holders of debt securities of any series;</w:t>
      </w:r>
    </w:p>
    <w:p>
      <w:pPr>
        <w:spacing w:after="0" w:line="10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applicable procedures of the applicable depositary;</w:t>
      </w:r>
    </w:p>
    <w:p>
      <w:pPr>
        <w:spacing w:after="0" w:line="10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holder of debt securities;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20" w:name="page21"/>
    <w:bookmarkEnd w:id="20"/>
    <w:p>
      <w:pPr>
        <w:ind w:left="1000" w:hanging="343"/>
        <w:spacing w:after="0"/>
        <w:tabs>
          <w:tab w:leader="none" w:pos="10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to provide for the issuance of and establish the form and terms and conditions of debt securities of any series as permitted by the indenture;</w:t>
      </w:r>
    </w:p>
    <w:p>
      <w:pPr>
        <w:spacing w:after="0" w:line="111" w:lineRule="exact"/>
        <w:rPr>
          <w:rFonts w:ascii="Times New Roman" w:cs="Times New Roman" w:eastAsia="Times New Roman" w:hAnsi="Times New Roman"/>
          <w:sz w:val="13"/>
          <w:szCs w:val="13"/>
          <w:color w:val="auto"/>
        </w:rPr>
      </w:pPr>
    </w:p>
    <w:p>
      <w:pPr>
        <w:ind w:left="1000" w:right="839" w:hanging="343"/>
        <w:spacing w:after="0" w:line="280" w:lineRule="auto"/>
        <w:tabs>
          <w:tab w:leader="none" w:pos="10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53" w:lineRule="exact"/>
        <w:rPr>
          <w:rFonts w:ascii="Times New Roman" w:cs="Times New Roman" w:eastAsia="Times New Roman" w:hAnsi="Times New Roman"/>
          <w:sz w:val="14"/>
          <w:szCs w:val="14"/>
          <w:color w:val="auto"/>
        </w:rPr>
      </w:pPr>
    </w:p>
    <w:p>
      <w:pPr>
        <w:ind w:left="1000" w:right="559" w:hanging="343"/>
        <w:spacing w:after="0" w:line="280" w:lineRule="auto"/>
        <w:tabs>
          <w:tab w:leader="none" w:pos="10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the indenture under the Trust Indenture Act. (Section 9.1)</w:t>
      </w:r>
    </w:p>
    <w:p>
      <w:pPr>
        <w:spacing w:after="0" w:line="126" w:lineRule="exact"/>
        <w:rPr>
          <w:sz w:val="20"/>
          <w:szCs w:val="20"/>
          <w:color w:val="auto"/>
        </w:rPr>
      </w:pPr>
    </w:p>
    <w:p>
      <w:pPr>
        <w:jc w:val="both"/>
        <w:ind w:left="240" w:right="499" w:firstLine="341"/>
        <w:spacing w:after="0" w:line="265" w:lineRule="auto"/>
        <w:rPr>
          <w:sz w:val="20"/>
          <w:szCs w:val="20"/>
          <w:color w:val="auto"/>
        </w:rPr>
      </w:pPr>
      <w:r>
        <w:rPr>
          <w:rFonts w:ascii="Times New Roman" w:cs="Times New Roman" w:eastAsia="Times New Roman" w:hAnsi="Times New Roman"/>
          <w:sz w:val="14"/>
          <w:szCs w:val="14"/>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modification or amendment will:</w:t>
      </w:r>
    </w:p>
    <w:p>
      <w:pPr>
        <w:spacing w:after="0" w:line="63" w:lineRule="exact"/>
        <w:rPr>
          <w:sz w:val="20"/>
          <w:szCs w:val="20"/>
          <w:color w:val="auto"/>
        </w:rPr>
      </w:pPr>
    </w:p>
    <w:p>
      <w:pPr>
        <w:ind w:left="1000" w:hanging="343"/>
        <w:spacing w:after="0"/>
        <w:tabs>
          <w:tab w:leader="none" w:pos="1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debt securities whose holders must consent to an amendment, supplement or waiver;</w:t>
      </w:r>
    </w:p>
    <w:p>
      <w:pPr>
        <w:spacing w:after="0" w:line="10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 interest) on any debt security;</w:t>
      </w:r>
    </w:p>
    <w:p>
      <w:pPr>
        <w:spacing w:after="0" w:line="100" w:lineRule="exact"/>
        <w:rPr>
          <w:rFonts w:ascii="Times New Roman" w:cs="Times New Roman" w:eastAsia="Times New Roman" w:hAnsi="Times New Roman"/>
          <w:sz w:val="14"/>
          <w:szCs w:val="14"/>
          <w:color w:val="auto"/>
        </w:rPr>
      </w:pPr>
    </w:p>
    <w:p>
      <w:pPr>
        <w:ind w:left="1000" w:right="279" w:hanging="343"/>
        <w:spacing w:after="0" w:line="280" w:lineRule="auto"/>
        <w:tabs>
          <w:tab w:leader="none" w:pos="1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53"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discount securities payable upon acceleration of maturity;</w:t>
      </w:r>
    </w:p>
    <w:p>
      <w:pPr>
        <w:spacing w:after="0" w:line="100" w:lineRule="exact"/>
        <w:rPr>
          <w:rFonts w:ascii="Times New Roman" w:cs="Times New Roman" w:eastAsia="Times New Roman" w:hAnsi="Times New Roman"/>
          <w:sz w:val="14"/>
          <w:szCs w:val="14"/>
          <w:color w:val="auto"/>
        </w:rPr>
      </w:pPr>
    </w:p>
    <w:p>
      <w:pPr>
        <w:ind w:left="1000" w:right="339" w:hanging="343"/>
        <w:spacing w:after="0" w:line="265" w:lineRule="auto"/>
        <w:tabs>
          <w:tab w:leader="none" w:pos="1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62"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principal of or premium or interest on any debt security payable in currency other than that stated in the debt security;</w:t>
      </w:r>
    </w:p>
    <w:p>
      <w:pPr>
        <w:spacing w:after="0" w:line="100" w:lineRule="exact"/>
        <w:rPr>
          <w:rFonts w:ascii="Times New Roman" w:cs="Times New Roman" w:eastAsia="Times New Roman" w:hAnsi="Times New Roman"/>
          <w:sz w:val="14"/>
          <w:szCs w:val="14"/>
          <w:color w:val="auto"/>
        </w:rPr>
      </w:pPr>
    </w:p>
    <w:p>
      <w:pPr>
        <w:ind w:left="1000" w:right="259" w:hanging="343"/>
        <w:spacing w:after="0" w:line="265" w:lineRule="auto"/>
        <w:tabs>
          <w:tab w:leader="none" w:pos="1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62"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debt security. (Section 9.3)</w:t>
      </w:r>
    </w:p>
    <w:p>
      <w:pPr>
        <w:spacing w:after="0" w:line="174" w:lineRule="exact"/>
        <w:rPr>
          <w:sz w:val="20"/>
          <w:szCs w:val="20"/>
          <w:color w:val="auto"/>
        </w:rPr>
      </w:pPr>
    </w:p>
    <w:p>
      <w:pPr>
        <w:ind w:left="240" w:right="279" w:firstLine="341"/>
        <w:spacing w:after="0" w:line="279" w:lineRule="auto"/>
        <w:rPr>
          <w:sz w:val="20"/>
          <w:szCs w:val="20"/>
          <w:color w:val="auto"/>
        </w:rPr>
      </w:pPr>
      <w:r>
        <w:rPr>
          <w:rFonts w:ascii="Times New Roman" w:cs="Times New Roman" w:eastAsia="Times New Roman" w:hAnsi="Times New Roman"/>
          <w:sz w:val="13"/>
          <w:szCs w:val="13"/>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Defeasance of Debt Securities and Certain Covenants in Certain Circumstances</w:t>
      </w:r>
    </w:p>
    <w:p>
      <w:pPr>
        <w:spacing w:after="0" w:line="90" w:lineRule="exact"/>
        <w:rPr>
          <w:sz w:val="20"/>
          <w:szCs w:val="20"/>
          <w:color w:val="auto"/>
        </w:rPr>
      </w:pPr>
    </w:p>
    <w:p>
      <w:pPr>
        <w:ind w:left="240" w:right="379" w:firstLine="341"/>
        <w:spacing w:after="0" w:line="266" w:lineRule="auto"/>
        <w:rPr>
          <w:sz w:val="20"/>
          <w:szCs w:val="20"/>
          <w:color w:val="auto"/>
        </w:rPr>
      </w:pPr>
      <w:r>
        <w:rPr>
          <w:rFonts w:ascii="Times New Roman" w:cs="Times New Roman" w:eastAsia="Times New Roman" w:hAnsi="Times New Roman"/>
          <w:sz w:val="14"/>
          <w:szCs w:val="14"/>
          <w:i w:val="1"/>
          <w:iCs w:val="1"/>
          <w:color w:val="auto"/>
        </w:rPr>
        <w:t>Legal Defeasance</w:t>
      </w:r>
      <w:r>
        <w:rPr>
          <w:rFonts w:ascii="Times New Roman" w:cs="Times New Roman" w:eastAsia="Times New Roman" w:hAnsi="Times New Roman"/>
          <w:sz w:val="14"/>
          <w:szCs w:val="14"/>
          <w:color w:val="auto"/>
        </w:rPr>
        <w:t>. The indenture provides that, unless otherwise provided by the terms of the applicable series of debt securities, we may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discharged from any and all obligations in respect of the debt securities of any series (subject to certain exceptions). We will be so discharged upon the irrevocable deposit with the trustee,</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21" w:name="page22"/>
    <w:bookmarkEnd w:id="21"/>
    <w:p>
      <w:pPr>
        <w:ind w:left="240" w:right="39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45" w:lineRule="exact"/>
        <w:rPr>
          <w:sz w:val="20"/>
          <w:szCs w:val="20"/>
          <w:color w:val="auto"/>
        </w:rPr>
      </w:pPr>
    </w:p>
    <w:p>
      <w:pPr>
        <w:ind w:left="240" w:right="299" w:firstLine="341"/>
        <w:spacing w:after="0" w:line="255" w:lineRule="auto"/>
        <w:rPr>
          <w:sz w:val="20"/>
          <w:szCs w:val="20"/>
          <w:color w:val="auto"/>
        </w:rPr>
      </w:pPr>
      <w:r>
        <w:rPr>
          <w:rFonts w:ascii="Times New Roman" w:cs="Times New Roman" w:eastAsia="Times New Roman" w:hAnsi="Times New Roman"/>
          <w:sz w:val="14"/>
          <w:szCs w:val="14"/>
          <w:color w:val="auto"/>
        </w:rPr>
        <w:t>This discharge may occur only if, among other things, we have delivered to the trustee an opinion of counsel stating that we have received from, or there has been published by, the U.S. Internal Revenue Service a ruling or, since the date of execution of the indenture, there has been a change in the applicable U.S. federal income tax law, in either case to the effect that, and based thereon such opinion shall confirm that, the holders of the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(Section 8.3)</w:t>
      </w:r>
    </w:p>
    <w:p>
      <w:pPr>
        <w:spacing w:after="0" w:line="143" w:lineRule="exact"/>
        <w:rPr>
          <w:sz w:val="20"/>
          <w:szCs w:val="20"/>
          <w:color w:val="auto"/>
        </w:rPr>
      </w:pPr>
    </w:p>
    <w:p>
      <w:pPr>
        <w:ind w:left="240" w:right="379" w:firstLine="341"/>
        <w:spacing w:after="0" w:line="283" w:lineRule="auto"/>
        <w:rPr>
          <w:sz w:val="20"/>
          <w:szCs w:val="20"/>
          <w:color w:val="auto"/>
        </w:rPr>
      </w:pPr>
      <w:r>
        <w:rPr>
          <w:rFonts w:ascii="Times New Roman" w:cs="Times New Roman" w:eastAsia="Times New Roman" w:hAnsi="Times New Roman"/>
          <w:sz w:val="14"/>
          <w:szCs w:val="14"/>
          <w:i w:val="1"/>
          <w:iCs w:val="1"/>
          <w:color w:val="auto"/>
        </w:rPr>
        <w:t>Defeasance of Certain Covenants</w:t>
      </w:r>
      <w:r>
        <w:rPr>
          <w:rFonts w:ascii="Times New Roman" w:cs="Times New Roman" w:eastAsia="Times New Roman" w:hAnsi="Times New Roman"/>
          <w:sz w:val="14"/>
          <w:szCs w:val="14"/>
          <w:color w:val="auto"/>
        </w:rPr>
        <w:t>. The indenture provides that, unless otherwise provided by the terms of the applicable series of debt securities,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upon compliance with certain conditions:</w:t>
      </w:r>
    </w:p>
    <w:p>
      <w:pPr>
        <w:spacing w:after="0" w:line="51" w:lineRule="exact"/>
        <w:rPr>
          <w:sz w:val="20"/>
          <w:szCs w:val="20"/>
          <w:color w:val="auto"/>
        </w:rPr>
      </w:pPr>
    </w:p>
    <w:p>
      <w:pPr>
        <w:ind w:left="1000" w:right="419" w:hanging="343"/>
        <w:spacing w:after="0" w:line="265" w:lineRule="auto"/>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62" w:lineRule="exact"/>
        <w:rPr>
          <w:rFonts w:ascii="Times New Roman" w:cs="Times New Roman" w:eastAsia="Times New Roman" w:hAnsi="Times New Roman"/>
          <w:sz w:val="14"/>
          <w:szCs w:val="14"/>
          <w:color w:val="auto"/>
        </w:rPr>
      </w:pPr>
    </w:p>
    <w:p>
      <w:pPr>
        <w:ind w:left="1000" w:right="319" w:hanging="343"/>
        <w:spacing w:after="0" w:line="280" w:lineRule="auto"/>
        <w:tabs>
          <w:tab w:leader="none" w:pos="10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omission to comply with those covenants will not constitute a Default or an Event of Default with respect to the debt securities of that series (covenant defeasance).</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conditions include:</w:t>
      </w:r>
    </w:p>
    <w:p>
      <w:pPr>
        <w:spacing w:after="0" w:line="100" w:lineRule="exact"/>
        <w:rPr>
          <w:sz w:val="20"/>
          <w:szCs w:val="20"/>
          <w:color w:val="auto"/>
        </w:rPr>
      </w:pPr>
    </w:p>
    <w:p>
      <w:pPr>
        <w:ind w:left="1000" w:right="339" w:hanging="343"/>
        <w:spacing w:after="0" w:line="255" w:lineRule="auto"/>
        <w:tabs>
          <w:tab w:leader="none" w:pos="10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71" w:lineRule="exact"/>
        <w:rPr>
          <w:rFonts w:ascii="Times New Roman" w:cs="Times New Roman" w:eastAsia="Times New Roman" w:hAnsi="Times New Roman"/>
          <w:sz w:val="14"/>
          <w:szCs w:val="14"/>
          <w:color w:val="auto"/>
        </w:rPr>
      </w:pPr>
    </w:p>
    <w:p>
      <w:pPr>
        <w:ind w:left="1000" w:right="419" w:hanging="343"/>
        <w:spacing w:after="0" w:line="259" w:lineRule="auto"/>
        <w:tabs>
          <w:tab w:leader="none" w:pos="10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 (Section 8.4)</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No Personal Liability of Directors, Officers, Employees or Stockholders</w:t>
      </w:r>
    </w:p>
    <w:p>
      <w:pPr>
        <w:spacing w:after="0" w:line="92" w:lineRule="exact"/>
        <w:rPr>
          <w:sz w:val="20"/>
          <w:szCs w:val="20"/>
          <w:color w:val="auto"/>
        </w:rPr>
      </w:pPr>
    </w:p>
    <w:p>
      <w:pPr>
        <w:ind w:left="240" w:right="379" w:firstLine="341"/>
        <w:spacing w:after="0" w:line="257" w:lineRule="auto"/>
        <w:rPr>
          <w:sz w:val="20"/>
          <w:szCs w:val="20"/>
          <w:color w:val="auto"/>
        </w:rPr>
      </w:pPr>
      <w:r>
        <w:rPr>
          <w:rFonts w:ascii="Times New Roman" w:cs="Times New Roman" w:eastAsia="Times New Roman" w:hAnsi="Times New Roman"/>
          <w:sz w:val="14"/>
          <w:szCs w:val="14"/>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0" w:right="1440" w:bottom="1440" w:gutter="0" w:footer="0" w:header="0"/>
        </w:sectPr>
      </w:pPr>
    </w:p>
    <w:bookmarkStart w:id="22" w:name="page23"/>
    <w:bookmarkEnd w:id="22"/>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Governing Law</w:t>
      </w:r>
    </w:p>
    <w:p>
      <w:pPr>
        <w:spacing w:after="0" w:line="92" w:lineRule="exact"/>
        <w:rPr>
          <w:sz w:val="20"/>
          <w:szCs w:val="20"/>
          <w:color w:val="auto"/>
        </w:rPr>
      </w:pPr>
    </w:p>
    <w:p>
      <w:pPr>
        <w:ind w:left="240" w:right="699" w:firstLine="341"/>
        <w:spacing w:after="0" w:line="280" w:lineRule="auto"/>
        <w:rPr>
          <w:sz w:val="20"/>
          <w:szCs w:val="20"/>
          <w:color w:val="auto"/>
        </w:rPr>
      </w:pPr>
      <w:r>
        <w:rPr>
          <w:rFonts w:ascii="Times New Roman" w:cs="Times New Roman" w:eastAsia="Times New Roman" w:hAnsi="Times New Roman"/>
          <w:sz w:val="14"/>
          <w:szCs w:val="14"/>
          <w:color w:val="auto"/>
        </w:rPr>
        <w:t>The indenture and the debt securities, including any claim or controversy arising out of or relating to the indenture or the securities, will be governed by the laws of the State of New York.</w:t>
      </w:r>
    </w:p>
    <w:p>
      <w:pPr>
        <w:spacing w:after="0" w:line="126" w:lineRule="exact"/>
        <w:rPr>
          <w:sz w:val="20"/>
          <w:szCs w:val="20"/>
          <w:color w:val="auto"/>
        </w:rPr>
      </w:pPr>
    </w:p>
    <w:p>
      <w:pPr>
        <w:ind w:left="240" w:right="319" w:firstLine="341"/>
        <w:spacing w:after="0" w:line="265" w:lineRule="auto"/>
        <w:rPr>
          <w:sz w:val="20"/>
          <w:szCs w:val="20"/>
          <w:color w:val="auto"/>
        </w:rPr>
      </w:pPr>
      <w:r>
        <w:rPr>
          <w:rFonts w:ascii="Times New Roman" w:cs="Times New Roman" w:eastAsia="Times New Roman" w:hAnsi="Times New Roman"/>
          <w:sz w:val="14"/>
          <w:szCs w:val="14"/>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36" w:lineRule="exact"/>
        <w:rPr>
          <w:sz w:val="20"/>
          <w:szCs w:val="20"/>
          <w:color w:val="auto"/>
        </w:rPr>
      </w:pPr>
    </w:p>
    <w:p>
      <w:pPr>
        <w:ind w:left="240" w:right="299" w:firstLine="341"/>
        <w:spacing w:after="0" w:line="275" w:lineRule="auto"/>
        <w:rPr>
          <w:sz w:val="20"/>
          <w:szCs w:val="20"/>
          <w:color w:val="auto"/>
        </w:rPr>
      </w:pPr>
      <w:r>
        <w:rPr>
          <w:rFonts w:ascii="Times New Roman" w:cs="Times New Roman" w:eastAsia="Times New Roman" w:hAnsi="Times New Roman"/>
          <w:sz w:val="13"/>
          <w:szCs w:val="13"/>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8"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DESCRIPTION OF OTHER SECURITIES</w:t>
      </w:r>
    </w:p>
    <w:p>
      <w:pPr>
        <w:spacing w:after="0" w:line="176" w:lineRule="exact"/>
        <w:rPr>
          <w:sz w:val="20"/>
          <w:szCs w:val="20"/>
          <w:color w:val="auto"/>
        </w:rPr>
      </w:pPr>
    </w:p>
    <w:p>
      <w:pPr>
        <w:ind w:left="240" w:right="279" w:firstLine="341"/>
        <w:spacing w:after="0" w:line="280" w:lineRule="auto"/>
        <w:rPr>
          <w:sz w:val="20"/>
          <w:szCs w:val="20"/>
          <w:color w:val="auto"/>
        </w:rPr>
      </w:pPr>
      <w:r>
        <w:rPr>
          <w:rFonts w:ascii="Times New Roman" w:cs="Times New Roman" w:eastAsia="Times New Roman" w:hAnsi="Times New Roman"/>
          <w:sz w:val="14"/>
          <w:szCs w:val="14"/>
          <w:color w:val="auto"/>
        </w:rPr>
        <w:t>We will set forth in the applicable prospectus supplement a description of any warrants or units issued by us that may be offered and sold pursuant to this prospectus.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38" w:right="1440"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GLOBAL SECURITIES</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Book-Entry, Delivery and Form</w:t>
      </w:r>
    </w:p>
    <w:p>
      <w:pPr>
        <w:spacing w:after="0" w:line="92" w:lineRule="exact"/>
        <w:rPr>
          <w:sz w:val="20"/>
          <w:szCs w:val="20"/>
          <w:color w:val="auto"/>
        </w:rPr>
      </w:pPr>
    </w:p>
    <w:p>
      <w:pPr>
        <w:ind w:left="240" w:right="379" w:firstLine="341"/>
        <w:spacing w:after="0" w:line="255" w:lineRule="auto"/>
        <w:rPr>
          <w:sz w:val="20"/>
          <w:szCs w:val="20"/>
          <w:color w:val="auto"/>
        </w:rPr>
      </w:pPr>
      <w:r>
        <w:rPr>
          <w:rFonts w:ascii="Times New Roman" w:cs="Times New Roman" w:eastAsia="Times New Roman" w:hAnsi="Times New Roman"/>
          <w:sz w:val="14"/>
          <w:szCs w:val="14"/>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DTC, New York, New York, as depositary,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DTC has advised us that it is:</w:t>
      </w:r>
    </w:p>
    <w:p>
      <w:pPr>
        <w:spacing w:after="0" w:line="100" w:lineRule="exact"/>
        <w:rPr>
          <w:sz w:val="20"/>
          <w:szCs w:val="20"/>
          <w:color w:val="auto"/>
        </w:rPr>
      </w:pPr>
    </w:p>
    <w:p>
      <w:pPr>
        <w:ind w:left="1000" w:hanging="343"/>
        <w:spacing w:after="0"/>
        <w:tabs>
          <w:tab w:leader="none" w:pos="10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limited-purpose trust company organized under the New York Banking Law;</w:t>
      </w:r>
    </w:p>
    <w:p>
      <w:pPr>
        <w:spacing w:after="0" w:line="10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“banking organization” within the meaning of the New York Banking Law;</w:t>
      </w:r>
    </w:p>
    <w:p>
      <w:pPr>
        <w:spacing w:after="0" w:line="10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member of the Federal Reserve System;</w:t>
      </w:r>
    </w:p>
    <w:p>
      <w:pPr>
        <w:spacing w:after="0" w:line="10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corporation” within the meaning of the New York Uniform Commercial Code; and</w:t>
      </w:r>
    </w:p>
    <w:p>
      <w:pPr>
        <w:spacing w:after="0" w:line="10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agency” registered pursuant to the provisions of Section 17A of the Exchange Act.</w:t>
      </w:r>
    </w:p>
    <w:p>
      <w:pPr>
        <w:spacing w:after="0" w:line="174" w:lineRule="exact"/>
        <w:rPr>
          <w:sz w:val="20"/>
          <w:szCs w:val="20"/>
          <w:color w:val="auto"/>
        </w:rPr>
      </w:pPr>
    </w:p>
    <w:p>
      <w:pPr>
        <w:ind w:left="240" w:right="319" w:firstLine="341"/>
        <w:spacing w:after="0" w:line="253" w:lineRule="auto"/>
        <w:rPr>
          <w:sz w:val="20"/>
          <w:szCs w:val="20"/>
          <w:color w:val="auto"/>
        </w:rPr>
      </w:pPr>
      <w:r>
        <w:rPr>
          <w:rFonts w:ascii="Times New Roman" w:cs="Times New Roman" w:eastAsia="Times New Roman" w:hAnsi="Times New Roman"/>
          <w:sz w:val="14"/>
          <w:szCs w:val="14"/>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 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48" w:lineRule="exact"/>
        <w:rPr>
          <w:sz w:val="20"/>
          <w:szCs w:val="20"/>
          <w:color w:val="auto"/>
        </w:rPr>
      </w:pPr>
    </w:p>
    <w:p>
      <w:pPr>
        <w:ind w:left="240" w:right="259" w:firstLine="341"/>
        <w:spacing w:after="0" w:line="254" w:lineRule="auto"/>
        <w:rPr>
          <w:sz w:val="20"/>
          <w:szCs w:val="20"/>
          <w:color w:val="auto"/>
        </w:rPr>
      </w:pPr>
      <w:r>
        <w:rPr>
          <w:rFonts w:ascii="Times New Roman" w:cs="Times New Roman" w:eastAsia="Times New Roman" w:hAnsi="Times New Roman"/>
          <w:sz w:val="14"/>
          <w:szCs w:val="14"/>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46" w:lineRule="exact"/>
        <w:rPr>
          <w:sz w:val="20"/>
          <w:szCs w:val="20"/>
          <w:color w:val="auto"/>
        </w:rPr>
      </w:pPr>
    </w:p>
    <w:p>
      <w:pPr>
        <w:ind w:left="240" w:right="339" w:firstLine="341"/>
        <w:spacing w:after="0" w:line="255" w:lineRule="auto"/>
        <w:rPr>
          <w:sz w:val="20"/>
          <w:szCs w:val="20"/>
          <w:color w:val="auto"/>
        </w:rPr>
      </w:pPr>
      <w:r>
        <w:rPr>
          <w:rFonts w:ascii="Times New Roman" w:cs="Times New Roman" w:eastAsia="Times New Roman" w:hAnsi="Times New Roman"/>
          <w:sz w:val="14"/>
          <w:szCs w:val="14"/>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8" w:right="1440" w:bottom="1440" w:gutter="0" w:footer="0" w:header="0"/>
        </w:sectPr>
      </w:pPr>
    </w:p>
    <w:bookmarkStart w:id="25" w:name="page26"/>
    <w:bookmarkEnd w:id="25"/>
    <w:p>
      <w:pPr>
        <w:ind w:left="240" w:right="279" w:firstLine="341"/>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41" w:lineRule="exact"/>
        <w:rPr>
          <w:sz w:val="20"/>
          <w:szCs w:val="20"/>
          <w:color w:val="auto"/>
        </w:rPr>
      </w:pPr>
    </w:p>
    <w:p>
      <w:pPr>
        <w:ind w:left="240" w:right="519" w:firstLine="341"/>
        <w:spacing w:after="0" w:line="265" w:lineRule="auto"/>
        <w:rPr>
          <w:sz w:val="20"/>
          <w:szCs w:val="20"/>
          <w:color w:val="auto"/>
        </w:rPr>
      </w:pPr>
      <w:r>
        <w:rPr>
          <w:rFonts w:ascii="Times New Roman" w:cs="Times New Roman" w:eastAsia="Times New Roman" w:hAnsi="Times New Roman"/>
          <w:sz w:val="14"/>
          <w:szCs w:val="14"/>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36" w:lineRule="exact"/>
        <w:rPr>
          <w:sz w:val="20"/>
          <w:szCs w:val="20"/>
          <w:color w:val="auto"/>
        </w:rPr>
      </w:pPr>
    </w:p>
    <w:p>
      <w:pPr>
        <w:ind w:left="240" w:right="339" w:firstLine="341"/>
        <w:spacing w:after="0" w:line="280" w:lineRule="auto"/>
        <w:rPr>
          <w:sz w:val="20"/>
          <w:szCs w:val="20"/>
          <w:color w:val="auto"/>
        </w:rPr>
      </w:pPr>
      <w:r>
        <w:rPr>
          <w:rFonts w:ascii="Times New Roman" w:cs="Times New Roman" w:eastAsia="Times New Roman" w:hAnsi="Times New Roman"/>
          <w:sz w:val="14"/>
          <w:szCs w:val="14"/>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26" w:lineRule="exact"/>
        <w:rPr>
          <w:sz w:val="20"/>
          <w:szCs w:val="20"/>
          <w:color w:val="auto"/>
        </w:rPr>
      </w:pPr>
    </w:p>
    <w:p>
      <w:pPr>
        <w:ind w:left="240" w:right="359" w:firstLine="341"/>
        <w:spacing w:after="0" w:line="259" w:lineRule="auto"/>
        <w:rPr>
          <w:sz w:val="20"/>
          <w:szCs w:val="20"/>
          <w:color w:val="auto"/>
        </w:rPr>
      </w:pPr>
      <w:r>
        <w:rPr>
          <w:rFonts w:ascii="Times New Roman" w:cs="Times New Roman" w:eastAsia="Times New Roman" w:hAnsi="Times New Roman"/>
          <w:sz w:val="14"/>
          <w:szCs w:val="14"/>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41" w:lineRule="exact"/>
        <w:rPr>
          <w:sz w:val="20"/>
          <w:szCs w:val="20"/>
          <w:color w:val="auto"/>
        </w:rPr>
      </w:pPr>
    </w:p>
    <w:p>
      <w:pPr>
        <w:ind w:left="240" w:right="299" w:firstLine="341"/>
        <w:spacing w:after="0" w:line="255" w:lineRule="auto"/>
        <w:rPr>
          <w:sz w:val="20"/>
          <w:szCs w:val="20"/>
          <w:color w:val="auto"/>
        </w:rPr>
      </w:pPr>
      <w:r>
        <w:rPr>
          <w:rFonts w:ascii="Times New Roman" w:cs="Times New Roman" w:eastAsia="Times New Roman" w:hAnsi="Times New Roman"/>
          <w:sz w:val="14"/>
          <w:szCs w:val="14"/>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45" w:lineRule="exact"/>
        <w:rPr>
          <w:sz w:val="20"/>
          <w:szCs w:val="20"/>
          <w:color w:val="auto"/>
        </w:rPr>
      </w:pPr>
    </w:p>
    <w:p>
      <w:pPr>
        <w:ind w:left="240" w:right="259" w:firstLine="341"/>
        <w:spacing w:after="0" w:line="253" w:lineRule="auto"/>
        <w:rPr>
          <w:sz w:val="20"/>
          <w:szCs w:val="20"/>
          <w:color w:val="auto"/>
        </w:rPr>
      </w:pPr>
      <w:r>
        <w:rPr>
          <w:rFonts w:ascii="Times New Roman" w:cs="Times New Roman" w:eastAsia="Times New Roman" w:hAnsi="Times New Roman"/>
          <w:sz w:val="14"/>
          <w:szCs w:val="14"/>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48" w:lineRule="exact"/>
        <w:rPr>
          <w:sz w:val="20"/>
          <w:szCs w:val="20"/>
          <w:color w:val="auto"/>
        </w:rPr>
      </w:pPr>
    </w:p>
    <w:p>
      <w:pPr>
        <w:ind w:left="240" w:right="439" w:firstLine="341"/>
        <w:spacing w:after="0" w:line="265" w:lineRule="auto"/>
        <w:rPr>
          <w:sz w:val="20"/>
          <w:szCs w:val="20"/>
          <w:color w:val="auto"/>
        </w:rPr>
      </w:pPr>
      <w:r>
        <w:rPr>
          <w:rFonts w:ascii="Times New Roman" w:cs="Times New Roman" w:eastAsia="Times New Roman" w:hAnsi="Times New Roman"/>
          <w:sz w:val="14"/>
          <w:szCs w:val="14"/>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36" w:lineRule="exact"/>
        <w:rPr>
          <w:sz w:val="20"/>
          <w:szCs w:val="20"/>
          <w:color w:val="auto"/>
        </w:rPr>
      </w:pPr>
    </w:p>
    <w:p>
      <w:pPr>
        <w:ind w:left="240" w:right="419" w:firstLine="341"/>
        <w:spacing w:after="0" w:line="280" w:lineRule="auto"/>
        <w:rPr>
          <w:sz w:val="20"/>
          <w:szCs w:val="20"/>
          <w:color w:val="auto"/>
        </w:rPr>
      </w:pPr>
      <w:r>
        <w:rPr>
          <w:rFonts w:ascii="Times New Roman" w:cs="Times New Roman" w:eastAsia="Times New Roman" w:hAnsi="Times New Roman"/>
          <w:sz w:val="14"/>
          <w:szCs w:val="14"/>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DTC may discontinue providing its services as securities depositary with respect to the securities at any time by giving reasonable notice to us.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Under such circumstances, in the event that a successor depositary is not obtained, securities certificates are required to be printed and delivered.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0" w:right="1440" w:bottom="1440" w:gutter="0" w:footer="0" w:header="0"/>
        </w:sectPr>
      </w:pPr>
    </w:p>
    <w:bookmarkStart w:id="26" w:name="page27"/>
    <w:bookmarkEnd w:id="26"/>
    <w:p>
      <w:pPr>
        <w:ind w:left="240" w:right="259" w:firstLine="341"/>
        <w:spacing w:after="0" w:line="28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As noted above, beneficial owners of a particular series of securities generally will not receive certificates representing their ownership interests in those securities. However, if:</w:t>
      </w:r>
    </w:p>
    <w:p>
      <w:pPr>
        <w:spacing w:after="0" w:line="53" w:lineRule="exact"/>
        <w:rPr>
          <w:sz w:val="20"/>
          <w:szCs w:val="20"/>
          <w:color w:val="auto"/>
        </w:rPr>
      </w:pPr>
    </w:p>
    <w:p>
      <w:pPr>
        <w:ind w:left="1000" w:right="419" w:hanging="343"/>
        <w:spacing w:after="0" w:line="259" w:lineRule="auto"/>
        <w:tabs>
          <w:tab w:leader="none" w:pos="10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68"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determine, in our sole discretion, not to have such securities represented by one or more global securities; or</w:t>
      </w:r>
    </w:p>
    <w:p>
      <w:pPr>
        <w:spacing w:after="0" w:line="10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has occurred and is continuing with respect to such series of securities, then, in each case,</w:t>
      </w:r>
    </w:p>
    <w:p>
      <w:pPr>
        <w:spacing w:after="0" w:line="174" w:lineRule="exact"/>
        <w:rPr>
          <w:sz w:val="20"/>
          <w:szCs w:val="20"/>
          <w:color w:val="auto"/>
        </w:rPr>
      </w:pPr>
    </w:p>
    <w:p>
      <w:pPr>
        <w:ind w:left="240" w:right="279"/>
        <w:spacing w:after="0" w:line="259" w:lineRule="auto"/>
        <w:rPr>
          <w:sz w:val="20"/>
          <w:szCs w:val="20"/>
          <w:color w:val="auto"/>
        </w:rPr>
      </w:pPr>
      <w:r>
        <w:rPr>
          <w:rFonts w:ascii="Times New Roman" w:cs="Times New Roman" w:eastAsia="Times New Roman" w:hAnsi="Times New Roman"/>
          <w:sz w:val="14"/>
          <w:szCs w:val="14"/>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Euroclear and Clearstream</w:t>
      </w:r>
    </w:p>
    <w:p>
      <w:pPr>
        <w:spacing w:after="0" w:line="92" w:lineRule="exact"/>
        <w:rPr>
          <w:sz w:val="20"/>
          <w:szCs w:val="20"/>
          <w:color w:val="auto"/>
        </w:rPr>
      </w:pPr>
    </w:p>
    <w:p>
      <w:pPr>
        <w:ind w:left="240" w:right="379" w:firstLine="341"/>
        <w:spacing w:after="0" w:line="281" w:lineRule="auto"/>
        <w:rPr>
          <w:sz w:val="20"/>
          <w:szCs w:val="20"/>
          <w:color w:val="auto"/>
        </w:rPr>
      </w:pPr>
      <w:r>
        <w:rPr>
          <w:rFonts w:ascii="Times New Roman" w:cs="Times New Roman" w:eastAsia="Times New Roman" w:hAnsi="Times New Roman"/>
          <w:sz w:val="13"/>
          <w:szCs w:val="13"/>
          <w:color w:val="auto"/>
        </w:rPr>
        <w:t>If so provided in the applicable prospectus supplement, you may hold interests in a global security through Clearstream Banking S.A. (“Clearstream”), or Euroclear Bank S.A./N.V., as operator of the Euroclear System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29" w:lineRule="exact"/>
        <w:rPr>
          <w:sz w:val="20"/>
          <w:szCs w:val="20"/>
          <w:color w:val="auto"/>
        </w:rPr>
      </w:pPr>
    </w:p>
    <w:p>
      <w:pPr>
        <w:jc w:val="both"/>
        <w:ind w:left="240" w:right="339" w:firstLine="341"/>
        <w:spacing w:after="0" w:line="265" w:lineRule="auto"/>
        <w:rPr>
          <w:sz w:val="20"/>
          <w:szCs w:val="20"/>
          <w:color w:val="auto"/>
        </w:rPr>
      </w:pPr>
      <w:r>
        <w:rPr>
          <w:rFonts w:ascii="Times New Roman" w:cs="Times New Roman" w:eastAsia="Times New Roman" w:hAnsi="Times New Roman"/>
          <w:sz w:val="14"/>
          <w:szCs w:val="14"/>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36" w:lineRule="exact"/>
        <w:rPr>
          <w:sz w:val="20"/>
          <w:szCs w:val="20"/>
          <w:color w:val="auto"/>
        </w:rPr>
      </w:pPr>
    </w:p>
    <w:p>
      <w:pPr>
        <w:ind w:left="240" w:right="399" w:firstLine="341"/>
        <w:spacing w:after="0" w:line="265" w:lineRule="auto"/>
        <w:rPr>
          <w:sz w:val="20"/>
          <w:szCs w:val="20"/>
          <w:color w:val="auto"/>
        </w:rPr>
      </w:pPr>
      <w:r>
        <w:rPr>
          <w:rFonts w:ascii="Times New Roman" w:cs="Times New Roman" w:eastAsia="Times New Roman" w:hAnsi="Times New Roman"/>
          <w:sz w:val="14"/>
          <w:szCs w:val="14"/>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36" w:lineRule="exact"/>
        <w:rPr>
          <w:sz w:val="20"/>
          <w:szCs w:val="20"/>
          <w:color w:val="auto"/>
        </w:rPr>
      </w:pPr>
    </w:p>
    <w:p>
      <w:pPr>
        <w:ind w:left="240" w:right="319" w:firstLine="341"/>
        <w:spacing w:after="0" w:line="265" w:lineRule="auto"/>
        <w:rPr>
          <w:sz w:val="20"/>
          <w:szCs w:val="20"/>
          <w:color w:val="auto"/>
        </w:rPr>
      </w:pPr>
      <w:r>
        <w:rPr>
          <w:rFonts w:ascii="Times New Roman" w:cs="Times New Roman" w:eastAsia="Times New Roman" w:hAnsi="Times New Roman"/>
          <w:sz w:val="14"/>
          <w:szCs w:val="14"/>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36" w:lineRule="exact"/>
        <w:rPr>
          <w:sz w:val="20"/>
          <w:szCs w:val="20"/>
          <w:color w:val="auto"/>
        </w:rPr>
      </w:pPr>
    </w:p>
    <w:p>
      <w:pPr>
        <w:ind w:left="240" w:right="279" w:firstLine="341"/>
        <w:spacing w:after="0" w:line="253" w:lineRule="auto"/>
        <w:rPr>
          <w:sz w:val="20"/>
          <w:szCs w:val="20"/>
          <w:color w:val="auto"/>
        </w:rPr>
      </w:pPr>
      <w:r>
        <w:rPr>
          <w:rFonts w:ascii="Times New Roman" w:cs="Times New Roman" w:eastAsia="Times New Roman" w:hAnsi="Times New Roman"/>
          <w:sz w:val="14"/>
          <w:szCs w:val="14"/>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0" w:right="1440" w:bottom="1440" w:gutter="0" w:footer="0" w:header="0"/>
        </w:sectPr>
      </w:pPr>
    </w:p>
    <w:bookmarkStart w:id="27" w:name="page28"/>
    <w:bookmarkEnd w:id="27"/>
    <w:p>
      <w:pPr>
        <w:ind w:left="240" w:right="279" w:firstLine="341"/>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92" w:lineRule="exact"/>
        <w:rPr>
          <w:sz w:val="20"/>
          <w:szCs w:val="20"/>
          <w:color w:val="auto"/>
        </w:rPr>
      </w:pPr>
    </w:p>
    <w:p>
      <w:pPr>
        <w:ind w:left="240" w:right="299" w:firstLine="341"/>
        <w:spacing w:after="0" w:line="253" w:lineRule="auto"/>
        <w:rPr>
          <w:sz w:val="20"/>
          <w:szCs w:val="20"/>
          <w:color w:val="auto"/>
        </w:rPr>
      </w:pPr>
      <w:r>
        <w:rPr>
          <w:rFonts w:ascii="Times New Roman" w:cs="Times New Roman" w:eastAsia="Times New Roman" w:hAnsi="Times New Roman"/>
          <w:sz w:val="14"/>
          <w:szCs w:val="14"/>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0" w:right="1440"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PLAN OF DISTRIBUTION</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We may sell the offered securities from time to time:</w:t>
      </w:r>
    </w:p>
    <w:p>
      <w:pPr>
        <w:spacing w:after="0" w:line="100" w:lineRule="exact"/>
        <w:rPr>
          <w:sz w:val="20"/>
          <w:szCs w:val="20"/>
          <w:color w:val="auto"/>
        </w:rPr>
      </w:pPr>
    </w:p>
    <w:p>
      <w:pPr>
        <w:ind w:left="1000" w:hanging="343"/>
        <w:spacing w:after="0"/>
        <w:tabs>
          <w:tab w:leader="none" w:pos="10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or through underwriters or dealers;</w:t>
      </w:r>
    </w:p>
    <w:p>
      <w:pPr>
        <w:spacing w:after="0" w:line="10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10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one or more purchasers; or</w:t>
      </w:r>
    </w:p>
    <w:p>
      <w:pPr>
        <w:spacing w:after="0" w:line="100" w:lineRule="exact"/>
        <w:rPr>
          <w:rFonts w:ascii="Times New Roman" w:cs="Times New Roman" w:eastAsia="Times New Roman" w:hAnsi="Times New Roman"/>
          <w:sz w:val="14"/>
          <w:szCs w:val="14"/>
          <w:color w:val="auto"/>
        </w:rPr>
      </w:pPr>
    </w:p>
    <w:p>
      <w:pPr>
        <w:ind w:left="1000" w:hanging="343"/>
        <w:spacing w:after="0"/>
        <w:tabs>
          <w:tab w:leader="none" w:pos="10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w:t>
      </w:r>
    </w:p>
    <w:p>
      <w:pPr>
        <w:spacing w:after="0" w:line="174" w:lineRule="exact"/>
        <w:rPr>
          <w:sz w:val="20"/>
          <w:szCs w:val="20"/>
          <w:color w:val="auto"/>
        </w:rPr>
      </w:pPr>
    </w:p>
    <w:p>
      <w:pPr>
        <w:ind w:left="240" w:right="479" w:firstLine="341"/>
        <w:spacing w:after="0" w:line="280" w:lineRule="auto"/>
        <w:rPr>
          <w:sz w:val="20"/>
          <w:szCs w:val="20"/>
          <w:color w:val="auto"/>
        </w:rPr>
      </w:pPr>
      <w:r>
        <w:rPr>
          <w:rFonts w:ascii="Times New Roman" w:cs="Times New Roman" w:eastAsia="Times New Roman" w:hAnsi="Times New Roman"/>
          <w:sz w:val="14"/>
          <w:szCs w:val="14"/>
          <w:color w:val="auto"/>
        </w:rPr>
        <w:t>We will identify the specific plan of distribution, including any underwriters, dealers, agents or direct purchasers and their compensation in the applicable prospectus supplement.</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38" w:right="1440"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LEGAL MATTERS</w:t>
      </w:r>
    </w:p>
    <w:p>
      <w:pPr>
        <w:spacing w:after="0" w:line="176" w:lineRule="exact"/>
        <w:rPr>
          <w:sz w:val="20"/>
          <w:szCs w:val="20"/>
          <w:color w:val="auto"/>
        </w:rPr>
      </w:pPr>
    </w:p>
    <w:p>
      <w:pPr>
        <w:jc w:val="both"/>
        <w:ind w:left="240" w:right="259" w:firstLine="341"/>
        <w:spacing w:after="0" w:line="265" w:lineRule="auto"/>
        <w:rPr>
          <w:sz w:val="20"/>
          <w:szCs w:val="20"/>
          <w:color w:val="auto"/>
        </w:rPr>
      </w:pPr>
      <w:r>
        <w:rPr>
          <w:rFonts w:ascii="Times New Roman" w:cs="Times New Roman" w:eastAsia="Times New Roman" w:hAnsi="Times New Roman"/>
          <w:sz w:val="14"/>
          <w:szCs w:val="14"/>
          <w:color w:val="auto"/>
        </w:rPr>
        <w:t>Latham &amp; Watkins LLP will pass upon certain legal matters relating to the issuance and sale of the securities offered hereby on behalf of Ardelyx, Inc. Additional legal matters may be passed upon for us or any underwriters, dealers or agents, by counsel that we will name in the applicable prospectus supplement.</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6" w:lineRule="exact"/>
        <w:rPr>
          <w:sz w:val="20"/>
          <w:szCs w:val="20"/>
          <w:color w:val="auto"/>
        </w:rPr>
      </w:pPr>
    </w:p>
    <w:p>
      <w:pPr>
        <w:ind w:left="240" w:right="359" w:firstLine="341"/>
        <w:spacing w:after="0" w:line="259" w:lineRule="auto"/>
        <w:rPr>
          <w:sz w:val="20"/>
          <w:szCs w:val="20"/>
          <w:color w:val="auto"/>
        </w:rPr>
      </w:pPr>
      <w:r>
        <w:rPr>
          <w:rFonts w:ascii="Times New Roman" w:cs="Times New Roman" w:eastAsia="Times New Roman" w:hAnsi="Times New Roman"/>
          <w:sz w:val="14"/>
          <w:szCs w:val="14"/>
          <w:color w:val="auto"/>
        </w:rPr>
        <w:t>Ernst &amp; Young LLP, independent registered public accounting firm, has audited our financial statements included in our Annual Report on Form 10-K for the year ended December 31, 2024, and the effectiveness of our internal control over financial reporting as of December 31, 2024,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38" w:right="1440" w:bottom="1440" w:gutter="0" w:footer="0" w:header="0"/>
        </w:sectPr>
      </w:pPr>
    </w:p>
    <w:bookmarkStart w:id="30" w:name="page31"/>
    <w:bookmarkEnd w:id="30"/>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2571115</wp:posOffset>
            </wp:positionH>
            <wp:positionV relativeFrom="paragraph">
              <wp:posOffset>193675</wp:posOffset>
            </wp:positionV>
            <wp:extent cx="584200" cy="5842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584200" cy="584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3"/>
          <w:szCs w:val="33"/>
          <w:b w:val="1"/>
          <w:bCs w:val="1"/>
          <w:color w:val="auto"/>
        </w:rPr>
        <w:t>ARDELYX, INC.</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Up to $100,000,000</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186690</wp:posOffset>
            </wp:positionV>
            <wp:extent cx="113538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240" w:right="359" w:firstLine="341"/>
        <w:spacing w:after="0" w:line="230" w:lineRule="auto"/>
        <w:rPr>
          <w:sz w:val="20"/>
          <w:szCs w:val="20"/>
          <w:color w:val="auto"/>
        </w:rPr>
      </w:pPr>
      <w:r>
        <w:rPr>
          <w:rFonts w:ascii="Times New Roman" w:cs="Times New Roman" w:eastAsia="Times New Roman" w:hAnsi="Times New Roman"/>
          <w:sz w:val="14"/>
          <w:szCs w:val="14"/>
          <w:color w:val="auto"/>
        </w:rPr>
        <w:t>We have entered into an Open Market Sale Agreement</w:t>
      </w:r>
      <w:r>
        <w:rPr>
          <w:rFonts w:ascii="Times New Roman" w:cs="Times New Roman" w:eastAsia="Times New Roman" w:hAnsi="Times New Roman"/>
          <w:sz w:val="20"/>
          <w:szCs w:val="20"/>
          <w:color w:val="auto"/>
          <w:vertAlign w:val="superscript"/>
        </w:rPr>
        <w:t>SM</w:t>
      </w:r>
      <w:r>
        <w:rPr>
          <w:rFonts w:ascii="Times New Roman" w:cs="Times New Roman" w:eastAsia="Times New Roman" w:hAnsi="Times New Roman"/>
          <w:sz w:val="14"/>
          <w:szCs w:val="14"/>
          <w:color w:val="auto"/>
        </w:rPr>
        <w:t xml:space="preserve"> (the “2025 Sales Agreement”) with Jefferies LLC (“Jefferies”), dated November 3, 2025, relating to shares of our common stock offered by this prospectus supplement and the accompanying prospectus. In accordance with the terms of the 2025 Sales Agreement, pursuant to this prospectus supplement, we may offer and sell shares of our common stock, $0.0001 par value per share, having an aggregate offering price of up to $100,000,000 from time to time through Jefferies acting as our sales agent.</w:t>
      </w:r>
    </w:p>
    <w:p>
      <w:pPr>
        <w:spacing w:after="0" w:line="153" w:lineRule="exact"/>
        <w:rPr>
          <w:sz w:val="20"/>
          <w:szCs w:val="20"/>
          <w:color w:val="auto"/>
        </w:rPr>
      </w:pPr>
    </w:p>
    <w:p>
      <w:pPr>
        <w:ind w:left="240" w:right="519" w:firstLine="341"/>
        <w:spacing w:after="0" w:line="280" w:lineRule="auto"/>
        <w:rPr>
          <w:sz w:val="20"/>
          <w:szCs w:val="20"/>
          <w:color w:val="auto"/>
        </w:rPr>
      </w:pPr>
      <w:r>
        <w:rPr>
          <w:rFonts w:ascii="Times New Roman" w:cs="Times New Roman" w:eastAsia="Times New Roman" w:hAnsi="Times New Roman"/>
          <w:sz w:val="14"/>
          <w:szCs w:val="14"/>
          <w:color w:val="auto"/>
        </w:rPr>
        <w:t>Our common stock is listed on the Nasdaq Global Market under the symbol “ARDX.” On October 31, 2025, the last reported sale price of our common stock on the Nasdaq Global Market was $6.06 per share.</w:t>
      </w:r>
    </w:p>
    <w:p>
      <w:pPr>
        <w:spacing w:after="0" w:line="126" w:lineRule="exact"/>
        <w:rPr>
          <w:sz w:val="20"/>
          <w:szCs w:val="20"/>
          <w:color w:val="auto"/>
        </w:rPr>
      </w:pPr>
    </w:p>
    <w:p>
      <w:pPr>
        <w:ind w:left="240" w:right="259" w:firstLine="341"/>
        <w:spacing w:after="0" w:line="257" w:lineRule="auto"/>
        <w:rPr>
          <w:sz w:val="20"/>
          <w:szCs w:val="20"/>
          <w:color w:val="auto"/>
        </w:rPr>
      </w:pPr>
      <w:r>
        <w:rPr>
          <w:rFonts w:ascii="Times New Roman" w:cs="Times New Roman" w:eastAsia="Times New Roman" w:hAnsi="Times New Roman"/>
          <w:sz w:val="14"/>
          <w:szCs w:val="14"/>
          <w:color w:val="auto"/>
        </w:rPr>
        <w:t>Sales of our common stock, if any, under this prospectus supplement and the accompanying prospectus will be made by any method permitted that is deemed to be an “at the market offering” as defined in Rule 415(a)(4) promulgated under the Securities Act of 1933, as amended (the “Securities Act”). Jefferies is not required to sell any specific amount of securities, but will act as our sales agent using commercially reasonable efforts consistent with its normal trading and sales practices, on mutually agreed terms between Jefferies and us. There is no arrangement for funds to be received in any escrow, trust or similar arrangement.</w:t>
      </w:r>
    </w:p>
    <w:p>
      <w:pPr>
        <w:spacing w:after="0" w:line="142" w:lineRule="exact"/>
        <w:rPr>
          <w:sz w:val="20"/>
          <w:szCs w:val="20"/>
          <w:color w:val="auto"/>
        </w:rPr>
      </w:pPr>
    </w:p>
    <w:p>
      <w:pPr>
        <w:ind w:left="240" w:right="299" w:firstLine="341"/>
        <w:spacing w:after="0" w:line="257" w:lineRule="auto"/>
        <w:rPr>
          <w:sz w:val="20"/>
          <w:szCs w:val="20"/>
          <w:color w:val="auto"/>
        </w:rPr>
      </w:pPr>
      <w:r>
        <w:rPr>
          <w:rFonts w:ascii="Times New Roman" w:cs="Times New Roman" w:eastAsia="Times New Roman" w:hAnsi="Times New Roman"/>
          <w:sz w:val="14"/>
          <w:szCs w:val="14"/>
          <w:color w:val="auto"/>
        </w:rPr>
        <w:t>The compensation to Jefferies for sales of common stock pursuant to the 2025 Sales Agreement will be an amount up to 3.0% of the gross proceeds of any shares of common stock sold under the 2025 Sales Agreement. In connection with the sale of the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 or the Securities Exchange Act of 1934, as amended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172085</wp:posOffset>
            </wp:positionV>
            <wp:extent cx="113538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240" w:right="319" w:firstLine="341"/>
        <w:spacing w:after="0" w:line="266" w:lineRule="auto"/>
        <w:rPr>
          <w:sz w:val="20"/>
          <w:szCs w:val="20"/>
          <w:color w:val="auto"/>
        </w:rPr>
      </w:pPr>
      <w:r>
        <w:rPr>
          <w:rFonts w:ascii="Times New Roman" w:cs="Times New Roman" w:eastAsia="Times New Roman" w:hAnsi="Times New Roman"/>
          <w:sz w:val="14"/>
          <w:szCs w:val="14"/>
          <w:b w:val="1"/>
          <w:bCs w:val="1"/>
          <w:color w:val="auto"/>
        </w:rPr>
        <w:t>Investing in our common stock involves a high degree of risk. Before making an investment decision, please read the information under the section titled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beginning on page S-5 of this prospectus supplement and in the documents incorporated by reference into this prospectus supplement.</w:t>
      </w:r>
    </w:p>
    <w:p>
      <w:pPr>
        <w:spacing w:after="0" w:line="134" w:lineRule="exact"/>
        <w:rPr>
          <w:sz w:val="20"/>
          <w:szCs w:val="20"/>
          <w:color w:val="auto"/>
        </w:rPr>
      </w:pPr>
    </w:p>
    <w:p>
      <w:pPr>
        <w:ind w:left="240" w:right="359" w:firstLine="341"/>
        <w:spacing w:after="0" w:line="283"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accuracy or adequacy of this prospectus supplement.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154305</wp:posOffset>
            </wp:positionV>
            <wp:extent cx="113538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Jefferies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is November 3, 2025.</w:t>
      </w:r>
    </w:p>
    <w:p>
      <w:pPr>
        <w:sectPr>
          <w:pgSz w:w="11900" w:h="16838" w:orient="portrait"/>
          <w:cols w:equalWidth="0" w:num="1">
            <w:col w:w="9019"/>
          </w:cols>
          <w:pgMar w:left="1440" w:top="238" w:right="1440" w:bottom="1440" w:gutter="0" w:footer="0" w:header="0"/>
        </w:sectPr>
      </w:pPr>
    </w:p>
    <w:bookmarkStart w:id="31" w:name="page32"/>
    <w:bookmarkEnd w:id="31"/>
    <w:tbl>
      <w:tblPr>
        <w:tblLayout w:type="fixed"/>
        <w:tblInd w:w="240" w:type="dxa"/>
        <w:tblCellMar>
          <w:top w:w="0" w:type="dxa"/>
          <w:left w:w="0" w:type="dxa"/>
          <w:bottom w:w="0" w:type="dxa"/>
          <w:right w:w="0" w:type="dxa"/>
        </w:tblCellMar>
      </w:tblPr>
      <w:tr>
        <w:trPr>
          <w:trHeight w:val="184"/>
        </w:trPr>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60" w:type="dxa"/>
            <w:vAlign w:val="bottom"/>
          </w:tcPr>
          <w:p>
            <w:pPr>
              <w:spacing w:after="0"/>
              <w:rPr>
                <w:sz w:val="16"/>
                <w:szCs w:val="16"/>
                <w:color w:val="auto"/>
              </w:rPr>
            </w:pPr>
          </w:p>
        </w:tc>
      </w:tr>
      <w:tr>
        <w:trPr>
          <w:trHeight w:val="324"/>
        </w:trPr>
        <w:tc>
          <w:tcPr>
            <w:tcW w:w="26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4"/>
                <w:szCs w:val="14"/>
                <w:color w:val="0000EE"/>
                <w:w w:val="98"/>
              </w:rPr>
              <w:t>ABOUT THIS PROSPECTUS SUPPLEMENT</w:t>
            </w:r>
          </w:p>
        </w:tc>
        <w:tc>
          <w:tcPr>
            <w:tcW w:w="3960" w:type="dxa"/>
            <w:vAlign w:val="bottom"/>
            <w:gridSpan w:val="3"/>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S-1</w:t>
            </w:r>
          </w:p>
        </w:tc>
      </w:tr>
      <w:tr>
        <w:trPr>
          <w:trHeight w:val="147"/>
        </w:trPr>
        <w:tc>
          <w:tcPr>
            <w:tcW w:w="2580" w:type="dxa"/>
            <w:vAlign w:val="bottom"/>
            <w:tcBorders>
              <w:bottom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4"/>
                <w:szCs w:val="14"/>
                <w:color w:val="0000EE"/>
                <w:w w:val="97"/>
              </w:rPr>
              <w:t>MARKET, INDUSTRY AND OTHER DATA</w:t>
            </w:r>
          </w:p>
        </w:tc>
        <w:tc>
          <w:tcPr>
            <w:tcW w:w="4040" w:type="dxa"/>
            <w:vAlign w:val="bottom"/>
            <w:gridSpan w:val="4"/>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S-2</w:t>
            </w:r>
          </w:p>
        </w:tc>
      </w:tr>
      <w:tr>
        <w:trPr>
          <w:trHeight w:val="147"/>
        </w:trPr>
        <w:tc>
          <w:tcPr>
            <w:tcW w:w="662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PROSPECTUS SUPPLEMENT SUMMARY</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S-3</w:t>
            </w:r>
          </w:p>
        </w:tc>
      </w:tr>
      <w:tr>
        <w:trPr>
          <w:trHeight w:val="147"/>
        </w:trPr>
        <w:tc>
          <w:tcPr>
            <w:tcW w:w="2540" w:type="dxa"/>
            <w:vAlign w:val="bottom"/>
            <w:tcBorders>
              <w:top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4"/>
                <w:szCs w:val="14"/>
                <w:color w:val="0000EE"/>
              </w:rPr>
              <w:t>THE OFFERING</w:t>
            </w:r>
          </w:p>
        </w:tc>
        <w:tc>
          <w:tcPr>
            <w:tcW w:w="4080" w:type="dxa"/>
            <w:vAlign w:val="bottom"/>
            <w:gridSpan w:val="5"/>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S-4</w:t>
            </w:r>
          </w:p>
        </w:tc>
      </w:tr>
      <w:tr>
        <w:trPr>
          <w:trHeight w:val="147"/>
        </w:trPr>
        <w:tc>
          <w:tcPr>
            <w:tcW w:w="980" w:type="dxa"/>
            <w:vAlign w:val="bottom"/>
            <w:tcBorders>
              <w:top w:val="single" w:sz="8" w:color="0000EE"/>
            </w:tcBorders>
            <w:gridSpan w:val="3"/>
          </w:tcPr>
          <w:p>
            <w:pPr>
              <w:spacing w:after="0" w:line="147" w:lineRule="exact"/>
              <w:rPr>
                <w:sz w:val="20"/>
                <w:szCs w:val="20"/>
                <w:color w:val="auto"/>
              </w:rPr>
            </w:pPr>
            <w:r>
              <w:rPr>
                <w:rFonts w:ascii="Times New Roman" w:cs="Times New Roman" w:eastAsia="Times New Roman" w:hAnsi="Times New Roman"/>
                <w:sz w:val="14"/>
                <w:szCs w:val="14"/>
                <w:color w:val="0000EE"/>
                <w:w w:val="97"/>
              </w:rPr>
              <w:t>RISK FACTORS</w:t>
            </w:r>
          </w:p>
        </w:tc>
        <w:tc>
          <w:tcPr>
            <w:tcW w:w="5640" w:type="dxa"/>
            <w:vAlign w:val="bottom"/>
            <w:gridSpan w:val="10"/>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S-5</w:t>
            </w: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47"/>
        </w:trPr>
        <w:tc>
          <w:tcPr>
            <w:tcW w:w="662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NOTE REGARDING FORWARD-LOOKING STATEMENTS</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S-7</w:t>
            </w:r>
          </w:p>
        </w:tc>
      </w:tr>
      <w:tr>
        <w:trPr>
          <w:trHeight w:val="147"/>
        </w:trPr>
        <w:tc>
          <w:tcPr>
            <w:tcW w:w="3520" w:type="dxa"/>
            <w:vAlign w:val="bottom"/>
            <w:tcBorders>
              <w:top w:val="single" w:sz="8" w:color="0000EE"/>
            </w:tcBorders>
            <w:gridSpan w:val="12"/>
          </w:tcPr>
          <w:p>
            <w:pPr>
              <w:spacing w:after="0" w:line="147" w:lineRule="exact"/>
              <w:rPr>
                <w:sz w:val="20"/>
                <w:szCs w:val="20"/>
                <w:color w:val="auto"/>
              </w:rPr>
            </w:pPr>
            <w:r>
              <w:rPr>
                <w:rFonts w:ascii="Times New Roman" w:cs="Times New Roman" w:eastAsia="Times New Roman" w:hAnsi="Times New Roman"/>
                <w:sz w:val="14"/>
                <w:szCs w:val="14"/>
                <w:color w:val="0000EE"/>
              </w:rPr>
              <w:t>USE OF PROCEEDS</w:t>
            </w:r>
          </w:p>
        </w:tc>
        <w:tc>
          <w:tcPr>
            <w:tcW w:w="3100" w:type="dxa"/>
            <w:vAlign w:val="bottom"/>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S-8</w:t>
            </w:r>
          </w:p>
        </w:tc>
      </w:tr>
      <w:tr>
        <w:trPr>
          <w:trHeight w:val="147"/>
        </w:trPr>
        <w:tc>
          <w:tcPr>
            <w:tcW w:w="1220" w:type="dxa"/>
            <w:vAlign w:val="bottom"/>
            <w:tcBorders>
              <w:top w:val="single" w:sz="8" w:color="0000EE"/>
            </w:tcBorders>
            <w:gridSpan w:val="5"/>
          </w:tcPr>
          <w:p>
            <w:pPr>
              <w:spacing w:after="0" w:line="147" w:lineRule="exact"/>
              <w:rPr>
                <w:sz w:val="20"/>
                <w:szCs w:val="20"/>
                <w:color w:val="auto"/>
              </w:rPr>
            </w:pPr>
            <w:r>
              <w:rPr>
                <w:rFonts w:ascii="Times New Roman" w:cs="Times New Roman" w:eastAsia="Times New Roman" w:hAnsi="Times New Roman"/>
                <w:sz w:val="14"/>
                <w:szCs w:val="14"/>
                <w:color w:val="0000EE"/>
              </w:rPr>
              <w:t>DILUTION</w:t>
            </w:r>
          </w:p>
        </w:tc>
        <w:tc>
          <w:tcPr>
            <w:tcW w:w="5400" w:type="dxa"/>
            <w:vAlign w:val="bottom"/>
            <w:gridSpan w:val="8"/>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S-9</w:t>
            </w: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147"/>
        </w:trPr>
        <w:tc>
          <w:tcPr>
            <w:tcW w:w="662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PLAN OF DISTRIBUTION</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S-11</w:t>
            </w:r>
          </w:p>
        </w:tc>
      </w:tr>
      <w:tr>
        <w:trPr>
          <w:trHeight w:val="147"/>
        </w:trPr>
        <w:tc>
          <w:tcPr>
            <w:tcW w:w="1580" w:type="dxa"/>
            <w:vAlign w:val="bottom"/>
            <w:tcBorders>
              <w:top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4"/>
                <w:szCs w:val="14"/>
                <w:color w:val="0000EE"/>
              </w:rPr>
              <w:t>LEGAL MATTERS</w:t>
            </w:r>
          </w:p>
        </w:tc>
        <w:tc>
          <w:tcPr>
            <w:tcW w:w="5040" w:type="dxa"/>
            <w:vAlign w:val="bottom"/>
            <w:gridSpan w:val="7"/>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S-13</w:t>
            </w:r>
          </w:p>
        </w:tc>
      </w:tr>
      <w:tr>
        <w:trPr>
          <w:trHeight w:val="147"/>
        </w:trPr>
        <w:tc>
          <w:tcPr>
            <w:tcW w:w="660" w:type="dxa"/>
            <w:vAlign w:val="bottom"/>
            <w:tcBorders>
              <w:top w:val="single" w:sz="8" w:color="0000EE"/>
              <w:bottom w:val="single" w:sz="8" w:color="0000EE"/>
            </w:tcBorders>
          </w:tcPr>
          <w:p>
            <w:pPr>
              <w:spacing w:after="0" w:line="147" w:lineRule="exact"/>
              <w:rPr>
                <w:sz w:val="20"/>
                <w:szCs w:val="20"/>
                <w:color w:val="auto"/>
              </w:rPr>
            </w:pPr>
            <w:r>
              <w:rPr>
                <w:rFonts w:ascii="Times New Roman" w:cs="Times New Roman" w:eastAsia="Times New Roman" w:hAnsi="Times New Roman"/>
                <w:sz w:val="14"/>
                <w:szCs w:val="14"/>
                <w:color w:val="0000EE"/>
              </w:rPr>
              <w:t>EXPERTS</w:t>
            </w:r>
          </w:p>
        </w:tc>
        <w:tc>
          <w:tcPr>
            <w:tcW w:w="460" w:type="dxa"/>
            <w:vAlign w:val="bottom"/>
            <w:tcBorders>
              <w:top w:val="single" w:sz="8" w:color="0000EE"/>
            </w:tcBorders>
            <w:gridSpan w:val="3"/>
          </w:tcPr>
          <w:p>
            <w:pPr>
              <w:spacing w:after="0"/>
              <w:rPr>
                <w:sz w:val="12"/>
                <w:szCs w:val="12"/>
                <w:color w:val="auto"/>
              </w:rPr>
            </w:pPr>
          </w:p>
        </w:tc>
        <w:tc>
          <w:tcPr>
            <w:tcW w:w="5500" w:type="dxa"/>
            <w:vAlign w:val="bottom"/>
            <w:gridSpan w:val="9"/>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S-13</w:t>
            </w:r>
          </w:p>
        </w:tc>
      </w:tr>
      <w:tr>
        <w:trPr>
          <w:trHeight w:val="147"/>
        </w:trPr>
        <w:tc>
          <w:tcPr>
            <w:tcW w:w="2960" w:type="dxa"/>
            <w:vAlign w:val="bottom"/>
            <w:tcBorders>
              <w:bottom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4"/>
                <w:szCs w:val="14"/>
                <w:color w:val="0000EE"/>
                <w:w w:val="98"/>
              </w:rPr>
              <w:t>WHERE YOU CAN FIND MORE INFORMATION</w:t>
            </w:r>
          </w:p>
        </w:tc>
        <w:tc>
          <w:tcPr>
            <w:tcW w:w="3660" w:type="dxa"/>
            <w:vAlign w:val="bottom"/>
            <w:gridSpan w:val="2"/>
          </w:tcPr>
          <w:p>
            <w:pPr>
              <w:spacing w:after="0"/>
              <w:rPr>
                <w:sz w:val="12"/>
                <w:szCs w:val="12"/>
                <w:color w:val="auto"/>
              </w:rPr>
            </w:pP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S-13</w:t>
            </w:r>
          </w:p>
        </w:tc>
      </w:tr>
      <w:tr>
        <w:trPr>
          <w:trHeight w:val="147"/>
        </w:trPr>
        <w:tc>
          <w:tcPr>
            <w:tcW w:w="6620" w:type="dxa"/>
            <w:vAlign w:val="bottom"/>
            <w:gridSpan w:val="13"/>
          </w:tcPr>
          <w:p>
            <w:pPr>
              <w:spacing w:after="0" w:line="147" w:lineRule="exact"/>
              <w:rPr>
                <w:sz w:val="20"/>
                <w:szCs w:val="20"/>
                <w:color w:val="auto"/>
              </w:rPr>
            </w:pPr>
            <w:r>
              <w:rPr>
                <w:rFonts w:ascii="Times New Roman" w:cs="Times New Roman" w:eastAsia="Times New Roman" w:hAnsi="Times New Roman"/>
                <w:sz w:val="14"/>
                <w:szCs w:val="14"/>
                <w:color w:val="0000EE"/>
              </w:rPr>
              <w:t>INCORPORATION BY REFERENCE</w:t>
            </w:r>
          </w:p>
        </w:tc>
        <w:tc>
          <w:tcPr>
            <w:tcW w:w="18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S-13</w:t>
            </w:r>
          </w:p>
        </w:tc>
      </w:tr>
      <w:tr>
        <w:trPr>
          <w:trHeight w:val="20"/>
        </w:trPr>
        <w:tc>
          <w:tcPr>
            <w:tcW w:w="66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9019"/>
          </w:cols>
          <w:pgMar w:left="1440" w:top="238" w:right="1440"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ABOUT THIS PROSPECTUS SUPPLEMENT</w:t>
      </w:r>
    </w:p>
    <w:p>
      <w:pPr>
        <w:spacing w:after="0" w:line="176" w:lineRule="exact"/>
        <w:rPr>
          <w:sz w:val="20"/>
          <w:szCs w:val="20"/>
          <w:color w:val="auto"/>
        </w:rPr>
      </w:pPr>
    </w:p>
    <w:p>
      <w:pPr>
        <w:jc w:val="both"/>
        <w:ind w:left="240" w:right="339" w:firstLine="341"/>
        <w:spacing w:after="0" w:line="259" w:lineRule="auto"/>
        <w:rPr>
          <w:sz w:val="20"/>
          <w:szCs w:val="20"/>
          <w:color w:val="auto"/>
        </w:rPr>
      </w:pPr>
      <w:r>
        <w:rPr>
          <w:rFonts w:ascii="Times New Roman" w:cs="Times New Roman" w:eastAsia="Times New Roman" w:hAnsi="Times New Roman"/>
          <w:sz w:val="14"/>
          <w:szCs w:val="14"/>
          <w:color w:val="auto"/>
        </w:rPr>
        <w:t>This prospectus supplement is part of a registration statement that we have filed with the U.S. Securities and Exchange Commission (the “SEC”) utilizing a “shelf” registration process. By using an automatic shelf registration statement, we may sell an unspecified amount of securities from time to time. Under this prospectus supplement, we may offer shares of our common stock having an aggregate offering price of up to $100,000,000 from time to time at prices and on terms to be determined by market conditions at the time of offering.</w:t>
      </w:r>
    </w:p>
    <w:p>
      <w:pPr>
        <w:spacing w:after="0" w:line="141" w:lineRule="exact"/>
        <w:rPr>
          <w:sz w:val="20"/>
          <w:szCs w:val="20"/>
          <w:color w:val="auto"/>
        </w:rPr>
      </w:pPr>
    </w:p>
    <w:p>
      <w:pPr>
        <w:ind w:left="240" w:right="279" w:firstLine="341"/>
        <w:spacing w:after="0" w:line="254" w:lineRule="auto"/>
        <w:rPr>
          <w:sz w:val="20"/>
          <w:szCs w:val="20"/>
          <w:color w:val="auto"/>
        </w:rPr>
      </w:pPr>
      <w:r>
        <w:rPr>
          <w:rFonts w:ascii="Times New Roman" w:cs="Times New Roman" w:eastAsia="Times New Roman" w:hAnsi="Times New Roman"/>
          <w:sz w:val="14"/>
          <w:szCs w:val="14"/>
          <w:color w:val="auto"/>
        </w:rPr>
        <w:t>We provide information to you about this offering of shares of our common stock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However,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 as our business, financial condition, results of operations and prospects may have changed since the earlier dates.</w:t>
      </w:r>
    </w:p>
    <w:p>
      <w:pPr>
        <w:spacing w:after="0" w:line="146" w:lineRule="exact"/>
        <w:rPr>
          <w:sz w:val="20"/>
          <w:szCs w:val="20"/>
          <w:color w:val="auto"/>
        </w:rPr>
      </w:pPr>
    </w:p>
    <w:p>
      <w:pPr>
        <w:ind w:left="240" w:right="259" w:firstLine="341"/>
        <w:spacing w:after="0" w:line="252"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into, this prospectus and in any free writing prospectus that we may authorize for use in connection with this offering. We have not, and Jefferies has not, authorized any other person to provide you with different information. If anyone provides you with different or inconsistent information, you should not rely on it. We are not, and Jefferies is not,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supplement titled “Where You Can Find More Information” and “Incorporation by Reference.”</w:t>
      </w:r>
    </w:p>
    <w:p>
      <w:pPr>
        <w:spacing w:after="0" w:line="146" w:lineRule="exact"/>
        <w:rPr>
          <w:sz w:val="20"/>
          <w:szCs w:val="20"/>
          <w:color w:val="auto"/>
        </w:rPr>
      </w:pPr>
    </w:p>
    <w:p>
      <w:pPr>
        <w:ind w:left="240" w:right="299" w:firstLine="341"/>
        <w:spacing w:after="0" w:line="255" w:lineRule="auto"/>
        <w:rPr>
          <w:sz w:val="20"/>
          <w:szCs w:val="20"/>
          <w:color w:val="auto"/>
        </w:rPr>
      </w:pPr>
      <w:r>
        <w:rPr>
          <w:rFonts w:ascii="Times New Roman" w:cs="Times New Roman" w:eastAsia="Times New Roman" w:hAnsi="Times New Roman"/>
          <w:sz w:val="14"/>
          <w:szCs w:val="14"/>
          <w:color w:val="auto"/>
        </w:rPr>
        <w:t>We are offering to sell, and seeking offers to buy, shares of common stock only in jurisdictions where offers and sales are permitted. The distribution of this prospectus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outside the United States. This prospectus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45" w:lineRule="exact"/>
        <w:rPr>
          <w:sz w:val="20"/>
          <w:szCs w:val="20"/>
          <w:color w:val="auto"/>
        </w:rPr>
      </w:pPr>
    </w:p>
    <w:p>
      <w:pPr>
        <w:ind w:left="240" w:right="419" w:firstLine="341"/>
        <w:spacing w:after="0" w:line="280" w:lineRule="auto"/>
        <w:rPr>
          <w:sz w:val="20"/>
          <w:szCs w:val="20"/>
          <w:color w:val="auto"/>
        </w:rPr>
      </w:pPr>
      <w:r>
        <w:rPr>
          <w:rFonts w:ascii="Times New Roman" w:cs="Times New Roman" w:eastAsia="Times New Roman" w:hAnsi="Times New Roman"/>
          <w:sz w:val="14"/>
          <w:szCs w:val="14"/>
          <w:color w:val="auto"/>
        </w:rPr>
        <w:t>When we refer to “Ardelyx” “we,” “our,” “us,” “our company” and the “Company” in this prospectus, we mean Ardelyx, Inc., unless otherwise specified. When we refer to “you,” we mean the holders of common stock of the Company.</w:t>
      </w:r>
    </w:p>
    <w:p>
      <w:pPr>
        <w:spacing w:after="0" w:line="126" w:lineRule="exact"/>
        <w:rPr>
          <w:sz w:val="20"/>
          <w:szCs w:val="20"/>
          <w:color w:val="auto"/>
        </w:rPr>
      </w:pPr>
    </w:p>
    <w:p>
      <w:pPr>
        <w:ind w:left="240" w:right="339" w:firstLine="341"/>
        <w:spacing w:after="0" w:line="216" w:lineRule="auto"/>
        <w:rPr>
          <w:sz w:val="20"/>
          <w:szCs w:val="20"/>
          <w:color w:val="auto"/>
        </w:rPr>
      </w:pPr>
      <w:r>
        <w:rPr>
          <w:rFonts w:ascii="Times New Roman" w:cs="Times New Roman" w:eastAsia="Times New Roman" w:hAnsi="Times New Roman"/>
          <w:sz w:val="14"/>
          <w:szCs w:val="14"/>
          <w:color w:val="auto"/>
        </w:rPr>
        <w:t>Ardelyx</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IBSRELA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XPHOZAH</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and our logos are some of our trademarks used in this prospectus supplement and the accompanying prospectus. This prospectus supplement and the accompanying prospectus also include trademarks, tradenames, and service marks that are the property of other organizations. Solely for convenience, our trademarks and tradenames referred to in this prospectus supplement and the accompanying prospectus may appear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symbols, but those references are not intended to indicate, in any way, that we will not assert, to the fullest extent under applicable law, our rights to these trademarks and tradenames.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9019"/>
          </w:cols>
          <w:pgMar w:left="1440" w:top="238" w:right="1440"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MARKET, INDUSTRY AND OTHER DATA</w:t>
      </w:r>
    </w:p>
    <w:p>
      <w:pPr>
        <w:spacing w:after="0" w:line="176" w:lineRule="exact"/>
        <w:rPr>
          <w:sz w:val="20"/>
          <w:szCs w:val="20"/>
          <w:color w:val="auto"/>
        </w:rPr>
      </w:pPr>
    </w:p>
    <w:p>
      <w:pPr>
        <w:ind w:left="240" w:right="279" w:firstLine="341"/>
        <w:spacing w:after="0" w:line="253" w:lineRule="auto"/>
        <w:rPr>
          <w:sz w:val="20"/>
          <w:szCs w:val="20"/>
          <w:color w:val="auto"/>
        </w:rPr>
      </w:pPr>
      <w:r>
        <w:rPr>
          <w:rFonts w:ascii="Times New Roman" w:cs="Times New Roman" w:eastAsia="Times New Roman" w:hAnsi="Times New Roman"/>
          <w:sz w:val="14"/>
          <w:szCs w:val="14"/>
          <w:color w:val="auto"/>
        </w:rPr>
        <w:t>This prospectus supplement and accompanying prospectus, including the information incorporated by reference herein, contains estimates, projections and other information concerning our industry, our business, and the markets for certain drugs,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9019"/>
          </w:cols>
          <w:pgMar w:left="1440" w:top="238" w:right="1440"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016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7202170" cy="3016885"/>
                    </a:xfrm>
                    <a:prstGeom prst="rect">
                      <a:avLst/>
                    </a:prstGeom>
                    <a:noFill/>
                  </pic:spPr>
                </pic:pic>
              </a:graphicData>
            </a:graphic>
          </wp:anchor>
        </w:drawing>
        <w:t>PROSPECTUS SUPPLEMENT SUMMARY</w:t>
      </w:r>
    </w:p>
    <w:p>
      <w:pPr>
        <w:spacing w:after="0" w:line="174" w:lineRule="exact"/>
        <w:rPr>
          <w:sz w:val="20"/>
          <w:szCs w:val="20"/>
          <w:color w:val="auto"/>
        </w:rPr>
      </w:pPr>
    </w:p>
    <w:p>
      <w:pPr>
        <w:ind w:left="380" w:right="439"/>
        <w:spacing w:after="0" w:line="255" w:lineRule="auto"/>
        <w:rPr>
          <w:sz w:val="20"/>
          <w:szCs w:val="20"/>
          <w:color w:val="auto"/>
        </w:rPr>
      </w:pPr>
      <w:r>
        <w:rPr>
          <w:rFonts w:ascii="Times New Roman" w:cs="Times New Roman" w:eastAsia="Times New Roman" w:hAnsi="Times New Roman"/>
          <w:sz w:val="14"/>
          <w:szCs w:val="14"/>
          <w:i w:val="1"/>
          <w:iCs w:val="1"/>
          <w:color w:val="auto"/>
        </w:rPr>
        <w:t>Investing in our common stock involves a high degree of risk. You should carefully review the risks and uncertainties described below and under the section titled “Risk Factors” in our Quarterly Report for the quarter ended September 30, 2025, as updated by our quarterly, annual and other reports and documents that we have filed or subsequently file that are incorporated by reference into this prospectus supplement, before deciding whether to purchase any common stock in this offering. Each of the risk factors could adversely affect our business, operating results and financial condition, as well as adversely affect the value of an investment in our common stock, and the occurrence of any of these risks might cause you to lose all or part of your investment. Additional risks not presently known to us or that we currently believe are immaterial may also significantly impair our business operations. Please also read carefully the section titled “Note Regarding Forward-Looking Statements.”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2" w:lineRule="exact"/>
        <w:rPr>
          <w:sz w:val="20"/>
          <w:szCs w:val="20"/>
          <w:color w:val="auto"/>
        </w:rPr>
      </w:pPr>
    </w:p>
    <w:p>
      <w:pPr>
        <w:ind w:left="380" w:right="399" w:firstLine="330"/>
        <w:spacing w:after="0" w:line="277" w:lineRule="auto"/>
        <w:rPr>
          <w:sz w:val="20"/>
          <w:szCs w:val="20"/>
          <w:color w:val="auto"/>
        </w:rPr>
      </w:pPr>
      <w:r>
        <w:rPr>
          <w:rFonts w:ascii="Times New Roman" w:cs="Times New Roman" w:eastAsia="Times New Roman" w:hAnsi="Times New Roman"/>
          <w:sz w:val="13"/>
          <w:szCs w:val="13"/>
          <w:color w:val="auto"/>
        </w:rPr>
        <w:t>We are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minimally absorbed, first-in-class, oral, small molecule therapy. Tenapanor, branded as IBSRELA, is approved in the United States for the treatment of adults with IBS-C. Tenapanor, branded as XPHOZAH, is approved in the United States to reduce serum phosphorus in adults with CKD on dialysis as add-on therapy in patients who have an inadequate response to phosphate binders or who are intolerant of any dose of phosphate binder therapy.</w:t>
      </w:r>
    </w:p>
    <w:p>
      <w:pPr>
        <w:spacing w:after="0" w:line="2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We were founded in October 2007 as a Delaware corporation under the name Nteryx, Inc. We changed our name to Ardelyx, Inc. in June</w:t>
      </w:r>
    </w:p>
    <w:p>
      <w:pPr>
        <w:spacing w:after="0" w:line="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2008. Our principal executive offices are located at 400 Fifth Avenue, Suite 210, Waltham, MA 02451, and our telephone number is (510)</w:t>
      </w:r>
    </w:p>
    <w:p>
      <w:pPr>
        <w:spacing w:after="0" w:line="6" w:lineRule="exact"/>
        <w:rPr>
          <w:sz w:val="20"/>
          <w:szCs w:val="20"/>
          <w:color w:val="auto"/>
        </w:rPr>
      </w:pPr>
    </w:p>
    <w:p>
      <w:pPr>
        <w:ind w:left="380" w:right="459"/>
        <w:spacing w:after="0" w:line="258" w:lineRule="auto"/>
        <w:rPr>
          <w:sz w:val="20"/>
          <w:szCs w:val="20"/>
          <w:color w:val="auto"/>
        </w:rPr>
      </w:pPr>
      <w:r>
        <w:rPr>
          <w:rFonts w:ascii="Times New Roman" w:cs="Times New Roman" w:eastAsia="Times New Roman" w:hAnsi="Times New Roman"/>
          <w:sz w:val="14"/>
          <w:szCs w:val="14"/>
          <w:color w:val="auto"/>
        </w:rPr>
        <w:t xml:space="preserve">745-1700. Our website address is </w:t>
      </w:r>
      <w:r>
        <w:rPr>
          <w:rFonts w:ascii="Times New Roman" w:cs="Times New Roman" w:eastAsia="Times New Roman" w:hAnsi="Times New Roman"/>
          <w:sz w:val="14"/>
          <w:szCs w:val="14"/>
          <w:i w:val="1"/>
          <w:iCs w:val="1"/>
          <w:color w:val="auto"/>
        </w:rPr>
        <w:t>www.ardelyx.com</w:t>
      </w:r>
      <w:r>
        <w:rPr>
          <w:rFonts w:ascii="Times New Roman" w:cs="Times New Roman" w:eastAsia="Times New Roman" w:hAnsi="Times New Roman"/>
          <w:sz w:val="14"/>
          <w:szCs w:val="14"/>
          <w:color w:val="auto"/>
        </w:rPr>
        <w:t>. The information on, or that can be accessed through, our website is not part of this prospectus supplement and is not incorporated by reference herein. We have included our website address as an inactive textual reference only.</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9019"/>
          </w:cols>
          <w:pgMar w:left="1440" w:top="384" w:right="1440"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45173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202170" cy="4517390"/>
                    </a:xfrm>
                    <a:prstGeom prst="rect">
                      <a:avLst/>
                    </a:prstGeom>
                    <a:noFill/>
                  </pic:spPr>
                </pic:pic>
              </a:graphicData>
            </a:graphic>
          </wp:anchor>
        </w:drawing>
        <w:t>THE OFFERING</w:t>
      </w:r>
    </w:p>
    <w:p>
      <w:pPr>
        <w:spacing w:after="0" w:line="194" w:lineRule="exact"/>
        <w:rPr>
          <w:sz w:val="20"/>
          <w:szCs w:val="20"/>
          <w:color w:val="auto"/>
        </w:rPr>
      </w:pPr>
    </w:p>
    <w:p>
      <w:pPr>
        <w:ind w:left="380"/>
        <w:spacing w:after="0"/>
        <w:tabs>
          <w:tab w:leader="none" w:pos="3480" w:val="left"/>
        </w:tabs>
        <w:rPr>
          <w:sz w:val="20"/>
          <w:szCs w:val="20"/>
          <w:color w:val="auto"/>
        </w:rPr>
      </w:pPr>
      <w:r>
        <w:rPr>
          <w:rFonts w:ascii="Times New Roman" w:cs="Times New Roman" w:eastAsia="Times New Roman" w:hAnsi="Times New Roman"/>
          <w:sz w:val="14"/>
          <w:szCs w:val="14"/>
          <w:b w:val="1"/>
          <w:bCs w:val="1"/>
          <w:color w:val="auto"/>
        </w:rPr>
        <w:t>Common stock offered by us</w:t>
      </w:r>
      <w:r>
        <w:rPr>
          <w:sz w:val="20"/>
          <w:szCs w:val="20"/>
          <w:color w:val="auto"/>
        </w:rPr>
        <w:tab/>
      </w:r>
      <w:r>
        <w:rPr>
          <w:rFonts w:ascii="Times New Roman" w:cs="Times New Roman" w:eastAsia="Times New Roman" w:hAnsi="Times New Roman"/>
          <w:sz w:val="13"/>
          <w:szCs w:val="13"/>
          <w:color w:val="auto"/>
        </w:rPr>
        <w:t>Shares of our common stock having an aggregate offering price of up to $100,000,000.</w:t>
      </w:r>
    </w:p>
    <w:p>
      <w:pPr>
        <w:spacing w:after="0" w:line="205" w:lineRule="exact"/>
        <w:rPr>
          <w:sz w:val="20"/>
          <w:szCs w:val="20"/>
          <w:color w:val="auto"/>
        </w:rPr>
      </w:pPr>
    </w:p>
    <w:p>
      <w:pPr>
        <w:ind w:left="3500" w:right="539" w:hanging="3124"/>
        <w:spacing w:after="0" w:line="287" w:lineRule="auto"/>
        <w:rPr>
          <w:sz w:val="20"/>
          <w:szCs w:val="20"/>
          <w:color w:val="auto"/>
        </w:rPr>
      </w:pPr>
      <w:r>
        <w:rPr>
          <w:rFonts w:ascii="Times New Roman" w:cs="Times New Roman" w:eastAsia="Times New Roman" w:hAnsi="Times New Roman"/>
          <w:sz w:val="13"/>
          <w:szCs w:val="13"/>
          <w:b w:val="1"/>
          <w:bCs w:val="1"/>
          <w:color w:val="auto"/>
        </w:rPr>
        <w:t xml:space="preserve">Common stock to be outstanding after this offering </w:t>
      </w:r>
      <w:r>
        <w:rPr>
          <w:rFonts w:ascii="Times New Roman" w:cs="Times New Roman" w:eastAsia="Times New Roman" w:hAnsi="Times New Roman"/>
          <w:sz w:val="13"/>
          <w:szCs w:val="13"/>
          <w:color w:val="auto"/>
        </w:rPr>
        <w:t>Up to 259,473,488 shares, assuming sales of 16,501,650 shares of our common stock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this offering at an offering price of $6.06 per share, which was the last reported sale price of our common stock on the Nasdaq Global Market on October 31, 2025. The actual number of shares issued will vary depending on the sales price under this offering.</w:t>
      </w:r>
    </w:p>
    <w:p>
      <w:pPr>
        <w:sectPr>
          <w:pgSz w:w="11900" w:h="16838" w:orient="portrait"/>
          <w:cols w:equalWidth="0" w:num="1">
            <w:col w:w="9019"/>
          </w:cols>
          <w:pgMar w:left="1440" w:top="384" w:right="1440" w:bottom="1440" w:gutter="0" w:footer="0" w:header="0"/>
        </w:sectPr>
      </w:pPr>
    </w:p>
    <w:p>
      <w:pPr>
        <w:spacing w:after="0" w:line="14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right="419"/>
        <w:spacing w:after="0" w:line="321" w:lineRule="auto"/>
        <w:rPr>
          <w:sz w:val="20"/>
          <w:szCs w:val="20"/>
          <w:color w:val="auto"/>
        </w:rPr>
      </w:pPr>
      <w:r>
        <w:rPr>
          <w:rFonts w:ascii="Times New Roman" w:cs="Times New Roman" w:eastAsia="Times New Roman" w:hAnsi="Times New Roman"/>
          <w:sz w:val="13"/>
          <w:szCs w:val="13"/>
          <w:color w:val="auto"/>
        </w:rPr>
        <w:t>“At the market offering” that may be made from time to time on the Nasdaq Global Market through our sales agent, Jefferies LLC. See the section titled “Plan of Distribution.”</w:t>
      </w:r>
    </w:p>
    <w:p>
      <w:pPr>
        <w:spacing w:after="0" w:line="121" w:lineRule="exact"/>
        <w:rPr>
          <w:sz w:val="20"/>
          <w:szCs w:val="20"/>
          <w:color w:val="auto"/>
        </w:rPr>
      </w:pPr>
    </w:p>
    <w:p>
      <w:pPr>
        <w:sectPr>
          <w:pgSz w:w="11900" w:h="16838" w:orient="portrait"/>
          <w:cols w:equalWidth="0" w:num="2">
            <w:col w:w="2780" w:space="720"/>
            <w:col w:w="5519"/>
          </w:cols>
          <w:pgMar w:left="1440" w:top="384" w:right="1440"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20" w:lineRule="exact"/>
        <w:rPr>
          <w:sz w:val="20"/>
          <w:szCs w:val="20"/>
          <w:color w:val="auto"/>
        </w:rPr>
      </w:pPr>
      <w:r>
        <w:rPr>
          <w:sz w:val="20"/>
          <w:szCs w:val="20"/>
          <w:color w:val="auto"/>
        </w:rPr>
        <w:br w:type="column"/>
      </w:r>
    </w:p>
    <w:p>
      <w:pPr>
        <w:ind w:right="479"/>
        <w:spacing w:after="0" w:line="280" w:lineRule="auto"/>
        <w:rPr>
          <w:sz w:val="20"/>
          <w:szCs w:val="20"/>
          <w:color w:val="auto"/>
        </w:rPr>
      </w:pPr>
      <w:r>
        <w:rPr>
          <w:rFonts w:ascii="Times New Roman" w:cs="Times New Roman" w:eastAsia="Times New Roman" w:hAnsi="Times New Roman"/>
          <w:sz w:val="14"/>
          <w:szCs w:val="14"/>
          <w:color w:val="auto"/>
        </w:rPr>
        <w:t>We intend to use the net proceeds from this offering, if any, for general corporate purposes and working capital. See the section titled “Use of Proceeds.”</w:t>
      </w:r>
    </w:p>
    <w:p>
      <w:pPr>
        <w:spacing w:after="0" w:line="145" w:lineRule="exact"/>
        <w:rPr>
          <w:sz w:val="20"/>
          <w:szCs w:val="20"/>
          <w:color w:val="auto"/>
        </w:rPr>
      </w:pPr>
    </w:p>
    <w:p>
      <w:pPr>
        <w:sectPr>
          <w:pgSz w:w="11900" w:h="16838" w:orient="portrait"/>
          <w:cols w:equalWidth="0" w:num="2">
            <w:col w:w="2780" w:space="720"/>
            <w:col w:w="5519"/>
          </w:cols>
          <w:pgMar w:left="1440" w:top="384" w:right="1440"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20" w:lineRule="exact"/>
        <w:rPr>
          <w:sz w:val="20"/>
          <w:szCs w:val="20"/>
          <w:color w:val="auto"/>
        </w:rPr>
      </w:pPr>
      <w:r>
        <w:rPr>
          <w:sz w:val="20"/>
          <w:szCs w:val="20"/>
          <w:color w:val="auto"/>
        </w:rPr>
        <w:br w:type="column"/>
      </w:r>
    </w:p>
    <w:p>
      <w:pPr>
        <w:jc w:val="both"/>
        <w:ind w:right="559"/>
        <w:spacing w:after="0" w:line="265" w:lineRule="auto"/>
        <w:rPr>
          <w:sz w:val="20"/>
          <w:szCs w:val="20"/>
          <w:color w:val="auto"/>
        </w:rPr>
      </w:pPr>
      <w:r>
        <w:rPr>
          <w:rFonts w:ascii="Times New Roman" w:cs="Times New Roman" w:eastAsia="Times New Roman" w:hAnsi="Times New Roman"/>
          <w:sz w:val="14"/>
          <w:szCs w:val="14"/>
          <w:color w:val="auto"/>
        </w:rPr>
        <w:t>You should read the section titled “Risk Factors” of this prospectus and in the documents incorporated by reference in this prospectus for a discussion of factors to consider before deciding to purchase shares of our common stock.</w:t>
      </w:r>
    </w:p>
    <w:p>
      <w:pPr>
        <w:spacing w:after="0" w:line="155" w:lineRule="exact"/>
        <w:rPr>
          <w:sz w:val="20"/>
          <w:szCs w:val="20"/>
          <w:color w:val="auto"/>
        </w:rPr>
      </w:pPr>
    </w:p>
    <w:p>
      <w:pPr>
        <w:sectPr>
          <w:pgSz w:w="11900" w:h="16838" w:orient="portrait"/>
          <w:cols w:equalWidth="0" w:num="2">
            <w:col w:w="2780" w:space="720"/>
            <w:col w:w="5519"/>
          </w:cols>
          <w:pgMar w:left="1440" w:top="384" w:right="1440" w:bottom="1440" w:gutter="0" w:footer="0" w:header="0"/>
          <w:type w:val="continuous"/>
        </w:sectPr>
      </w:pPr>
    </w:p>
    <w:p>
      <w:pPr>
        <w:ind w:left="380"/>
        <w:spacing w:after="0"/>
        <w:rPr>
          <w:sz w:val="20"/>
          <w:szCs w:val="20"/>
          <w:color w:val="auto"/>
        </w:rPr>
      </w:pPr>
      <w:r>
        <w:rPr>
          <w:rFonts w:ascii="Times New Roman" w:cs="Times New Roman" w:eastAsia="Times New Roman" w:hAnsi="Times New Roman"/>
          <w:sz w:val="13"/>
          <w:szCs w:val="13"/>
          <w:b w:val="1"/>
          <w:bCs w:val="1"/>
          <w:color w:val="auto"/>
        </w:rPr>
        <w:t>Symbol on the Nasdaq Global Market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“ARDX”</w:t>
      </w:r>
    </w:p>
    <w:p>
      <w:pPr>
        <w:spacing w:after="0" w:line="196" w:lineRule="exact"/>
        <w:rPr>
          <w:sz w:val="20"/>
          <w:szCs w:val="20"/>
          <w:color w:val="auto"/>
        </w:rPr>
      </w:pPr>
    </w:p>
    <w:p>
      <w:pPr>
        <w:sectPr>
          <w:pgSz w:w="11900" w:h="16838" w:orient="portrait"/>
          <w:cols w:equalWidth="0" w:num="2">
            <w:col w:w="2780" w:space="720"/>
            <w:col w:w="5519"/>
          </w:cols>
          <w:pgMar w:left="1440" w:top="384" w:right="1440" w:bottom="1440" w:gutter="0" w:footer="0" w:header="0"/>
          <w:type w:val="continuous"/>
        </w:sectPr>
      </w:pPr>
    </w:p>
    <w:p>
      <w:pPr>
        <w:ind w:left="380" w:right="419" w:firstLine="330"/>
        <w:spacing w:after="0" w:line="280" w:lineRule="auto"/>
        <w:rPr>
          <w:sz w:val="20"/>
          <w:szCs w:val="20"/>
          <w:color w:val="auto"/>
        </w:rPr>
      </w:pPr>
      <w:r>
        <w:rPr>
          <w:rFonts w:ascii="Times New Roman" w:cs="Times New Roman" w:eastAsia="Times New Roman" w:hAnsi="Times New Roman"/>
          <w:sz w:val="14"/>
          <w:szCs w:val="14"/>
          <w:color w:val="auto"/>
        </w:rPr>
        <w:t>The number of shares of common stock to be outstanding after this offering is based on 242,971,838 shares of our common stock outstanding as of September 30, 2025, and excludes the following, in each case as of such date:</w:t>
      </w:r>
    </w:p>
    <w:p>
      <w:pPr>
        <w:spacing w:after="0" w:line="53" w:lineRule="exact"/>
        <w:rPr>
          <w:sz w:val="20"/>
          <w:szCs w:val="20"/>
          <w:color w:val="auto"/>
        </w:rPr>
      </w:pPr>
    </w:p>
    <w:p>
      <w:pPr>
        <w:ind w:left="680" w:right="719" w:hanging="227"/>
        <w:spacing w:after="0" w:line="280" w:lineRule="auto"/>
        <w:tabs>
          <w:tab w:leader="none" w:pos="6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30,142,785 shares of common stock issuable upon the exercise of outstanding stock options having a weighted-average exercise price of $5.52 per share;</w:t>
      </w:r>
    </w:p>
    <w:p>
      <w:pPr>
        <w:spacing w:after="0" w:line="53" w:lineRule="exact"/>
        <w:rPr>
          <w:rFonts w:ascii="Times New Roman" w:cs="Times New Roman" w:eastAsia="Times New Roman" w:hAnsi="Times New Roman"/>
          <w:sz w:val="14"/>
          <w:szCs w:val="14"/>
          <w:color w:val="auto"/>
        </w:rPr>
      </w:pPr>
    </w:p>
    <w:p>
      <w:pPr>
        <w:ind w:left="680" w:hanging="227"/>
        <w:spacing w:after="0"/>
        <w:tabs>
          <w:tab w:leader="none" w:pos="6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13,823,908 shares of common stock issuable upon the settlement of outstanding restricted stock units;</w:t>
      </w:r>
    </w:p>
    <w:p>
      <w:pPr>
        <w:spacing w:after="0" w:line="100" w:lineRule="exact"/>
        <w:rPr>
          <w:rFonts w:ascii="Times New Roman" w:cs="Times New Roman" w:eastAsia="Times New Roman" w:hAnsi="Times New Roman"/>
          <w:sz w:val="14"/>
          <w:szCs w:val="14"/>
          <w:color w:val="auto"/>
        </w:rPr>
      </w:pPr>
    </w:p>
    <w:p>
      <w:pPr>
        <w:ind w:left="680" w:right="479" w:hanging="227"/>
        <w:spacing w:after="0" w:line="280" w:lineRule="auto"/>
        <w:tabs>
          <w:tab w:leader="none" w:pos="6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15,688,523 shares of common stock reserved for issuance pursuant to future awards under our Amended and Restated 2014 Equity Incentive Award Plan; and</w:t>
      </w:r>
    </w:p>
    <w:p>
      <w:pPr>
        <w:spacing w:after="0" w:line="53" w:lineRule="exact"/>
        <w:rPr>
          <w:rFonts w:ascii="Times New Roman" w:cs="Times New Roman" w:eastAsia="Times New Roman" w:hAnsi="Times New Roman"/>
          <w:sz w:val="14"/>
          <w:szCs w:val="14"/>
          <w:color w:val="auto"/>
        </w:rPr>
      </w:pPr>
    </w:p>
    <w:p>
      <w:pPr>
        <w:ind w:left="680" w:hanging="227"/>
        <w:spacing w:after="0"/>
        <w:tabs>
          <w:tab w:leader="none" w:pos="6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3,282,591 shares of common stock reserved for future issuance under our Employee Stock Purchase Plan.</w:t>
      </w:r>
    </w:p>
    <w:p>
      <w:pPr>
        <w:spacing w:after="0" w:line="174" w:lineRule="exact"/>
        <w:rPr>
          <w:sz w:val="20"/>
          <w:szCs w:val="20"/>
          <w:color w:val="auto"/>
        </w:rPr>
      </w:pPr>
    </w:p>
    <w:p>
      <w:pPr>
        <w:ind w:left="380" w:right="439" w:firstLine="330"/>
        <w:spacing w:after="0" w:line="280" w:lineRule="auto"/>
        <w:rPr>
          <w:sz w:val="20"/>
          <w:szCs w:val="20"/>
          <w:color w:val="auto"/>
        </w:rPr>
      </w:pPr>
      <w:r>
        <w:rPr>
          <w:rFonts w:ascii="Times New Roman" w:cs="Times New Roman" w:eastAsia="Times New Roman" w:hAnsi="Times New Roman"/>
          <w:sz w:val="14"/>
          <w:szCs w:val="14"/>
          <w:color w:val="auto"/>
        </w:rPr>
        <w:t>Unless otherwise stated, all information contained in this prospectus supplement reflects an assumed public offering price of $6.06 per share, which was the last reported sale price of our common stock on the Nasdaq Global Market on October 31, 2025.</w:t>
      </w:r>
    </w:p>
    <w:p>
      <w:pPr>
        <w:spacing w:after="0" w:line="126" w:lineRule="exact"/>
        <w:rPr>
          <w:sz w:val="20"/>
          <w:szCs w:val="20"/>
          <w:color w:val="auto"/>
        </w:rPr>
      </w:pPr>
    </w:p>
    <w:p>
      <w:pPr>
        <w:ind w:left="380" w:right="399" w:firstLine="330"/>
        <w:spacing w:after="0" w:line="259" w:lineRule="auto"/>
        <w:rPr>
          <w:sz w:val="20"/>
          <w:szCs w:val="20"/>
          <w:color w:val="auto"/>
        </w:rPr>
      </w:pPr>
      <w:r>
        <w:rPr>
          <w:rFonts w:ascii="Times New Roman" w:cs="Times New Roman" w:eastAsia="Times New Roman" w:hAnsi="Times New Roman"/>
          <w:sz w:val="14"/>
          <w:szCs w:val="14"/>
          <w:color w:val="auto"/>
        </w:rPr>
        <w:t>Further, the dilution information provided in this prospectus supplement is as of September 30, 2025, and does not take into account up to an aggregate of approximately $80.0 million of shares of our common stock that may be sold from time to time subsequent to September 30, 2025 through January 25, 2026 under our existing “at the market” program pursuant to that certain Open Market Sale Agreement, dated January 18, 2023 (the “2023 Sales Agreement”) with Jefferies.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9019"/>
          </w:cols>
          <w:pgMar w:left="1440" w:top="384" w:right="1440" w:bottom="1440" w:gutter="0" w:footer="0" w:header="0"/>
          <w:type w:val="continuous"/>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RISK FACTORS</w:t>
      </w:r>
    </w:p>
    <w:p>
      <w:pPr>
        <w:spacing w:after="0" w:line="174" w:lineRule="exact"/>
        <w:rPr>
          <w:sz w:val="20"/>
          <w:szCs w:val="20"/>
          <w:color w:val="auto"/>
        </w:rPr>
      </w:pPr>
    </w:p>
    <w:p>
      <w:pPr>
        <w:ind w:left="240" w:right="259" w:firstLine="341"/>
        <w:spacing w:after="0" w:line="254" w:lineRule="auto"/>
        <w:rPr>
          <w:sz w:val="20"/>
          <w:szCs w:val="20"/>
          <w:color w:val="auto"/>
        </w:rPr>
      </w:pPr>
      <w:r>
        <w:rPr>
          <w:rFonts w:ascii="Times New Roman" w:cs="Times New Roman" w:eastAsia="Times New Roman" w:hAnsi="Times New Roman"/>
          <w:sz w:val="14"/>
          <w:szCs w:val="14"/>
          <w:i w:val="1"/>
          <w:iCs w:val="1"/>
          <w:color w:val="auto"/>
        </w:rPr>
        <w:t>You should consider carefully the risks described below and discussed under the section captioned “Risk Factors” contained in our Quarterly Report for the quarter ended September 30, 2025, as updated by our subsequent filings under the Exchange Act, each of which is incorporated by reference in this prospectus in their entirety, together with other information in this prospectus supplement, and the information and documents incorporated by reference in this prospectus supplement, and any free writing prospectus that we have authorized for use in connection with this offering before you make a decision to invest in our common stock. If any of the following events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w:t>
      </w:r>
    </w:p>
    <w:p>
      <w:pPr>
        <w:spacing w:after="0" w:line="2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Risks Relating to this Offering</w:t>
      </w:r>
    </w:p>
    <w:p>
      <w:pPr>
        <w:spacing w:after="0" w:line="90" w:lineRule="exact"/>
        <w:rPr>
          <w:sz w:val="20"/>
          <w:szCs w:val="20"/>
          <w:color w:val="auto"/>
        </w:rPr>
      </w:pPr>
    </w:p>
    <w:p>
      <w:pPr>
        <w:ind w:left="240" w:right="519"/>
        <w:spacing w:after="0" w:line="283" w:lineRule="auto"/>
        <w:rPr>
          <w:sz w:val="20"/>
          <w:szCs w:val="20"/>
          <w:color w:val="auto"/>
        </w:rPr>
      </w:pPr>
      <w:r>
        <w:rPr>
          <w:rFonts w:ascii="Times New Roman" w:cs="Times New Roman" w:eastAsia="Times New Roman" w:hAnsi="Times New Roman"/>
          <w:sz w:val="14"/>
          <w:szCs w:val="14"/>
          <w:b w:val="1"/>
          <w:bCs w:val="1"/>
          <w:i w:val="1"/>
          <w:iCs w:val="1"/>
          <w:color w:val="auto"/>
        </w:rPr>
        <w:t>Our management team may invest or spend the proceeds of this offering in ways with which you may not agree or in ways which may not yield a significant return.</w:t>
      </w:r>
    </w:p>
    <w:p>
      <w:pPr>
        <w:spacing w:after="0" w:line="41" w:lineRule="exact"/>
        <w:rPr>
          <w:sz w:val="20"/>
          <w:szCs w:val="20"/>
          <w:color w:val="auto"/>
        </w:rPr>
      </w:pPr>
    </w:p>
    <w:p>
      <w:pPr>
        <w:ind w:left="240" w:right="399" w:firstLine="341"/>
        <w:spacing w:after="0" w:line="259" w:lineRule="auto"/>
        <w:rPr>
          <w:sz w:val="20"/>
          <w:szCs w:val="20"/>
          <w:color w:val="auto"/>
        </w:rPr>
      </w:pPr>
      <w:r>
        <w:rPr>
          <w:rFonts w:ascii="Times New Roman" w:cs="Times New Roman" w:eastAsia="Times New Roman" w:hAnsi="Times New Roman"/>
          <w:sz w:val="14"/>
          <w:szCs w:val="14"/>
          <w:color w:val="auto"/>
        </w:rPr>
        <w:t>Our management will have broad discretion over the use of proceeds from this offering. We intend to use the net proceeds from this offering, if any, for general corporate purposes and working capital. Our management will have considerable discretion in the application of the net proceeds, and you will not have the opportunity, as part of your investment decision, to assess whether the proceeds are being used appropriately. The net proceeds may be used for corporate purposes that do not increase our operating results or enhance the value of our common stock.</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You may experience immediate and substantial dilution in the net tangible book value per share of the common stock you purchase in this offering.</w:t>
      </w:r>
    </w:p>
    <w:p>
      <w:pPr>
        <w:spacing w:after="0" w:line="92" w:lineRule="exact"/>
        <w:rPr>
          <w:sz w:val="20"/>
          <w:szCs w:val="20"/>
          <w:color w:val="auto"/>
        </w:rPr>
      </w:pPr>
    </w:p>
    <w:p>
      <w:pPr>
        <w:ind w:left="240" w:right="259" w:firstLine="341"/>
        <w:spacing w:after="0" w:line="254" w:lineRule="auto"/>
        <w:rPr>
          <w:sz w:val="20"/>
          <w:szCs w:val="20"/>
          <w:color w:val="auto"/>
        </w:rPr>
      </w:pPr>
      <w:r>
        <w:rPr>
          <w:rFonts w:ascii="Times New Roman" w:cs="Times New Roman" w:eastAsia="Times New Roman" w:hAnsi="Times New Roman"/>
          <w:sz w:val="14"/>
          <w:szCs w:val="14"/>
          <w:color w:val="auto"/>
        </w:rPr>
        <w:t>The price per share of our common stock being offered may be higher than the net tangible book value per share of our common stock outstanding prior to this offering. Assuming that an aggregate of 16,501,650 shares are sold at a price of $6.06 per share, the last reported sale price of our common stock on the Nasdaq Global Market on October 31, 2025, for aggregate proceeds of $100.0 million in this offering, and after deducting commissions and estimated aggregate offering expenses payable by us, you will suffer immediate and substantial dilution of $5.09 per share, representing the difference between the as adjusted net tangible book value per share of our common stock as of September 30, 2025 after giving effect to this offering and the assumed offering price. See the section titled “Dilution” below for a more detailed discussion of the dilution you will incur if you purchase shares of our common stock in this offering.</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i w:val="1"/>
          <w:iCs w:val="1"/>
          <w:color w:val="auto"/>
        </w:rPr>
        <w:t>You may experience future dilution as a result of future equity offerings.</w:t>
      </w:r>
    </w:p>
    <w:p>
      <w:pPr>
        <w:spacing w:after="0" w:line="92" w:lineRule="exact"/>
        <w:rPr>
          <w:sz w:val="20"/>
          <w:szCs w:val="20"/>
          <w:color w:val="auto"/>
        </w:rPr>
      </w:pPr>
    </w:p>
    <w:p>
      <w:pPr>
        <w:ind w:left="240" w:right="279" w:firstLine="341"/>
        <w:spacing w:after="0" w:line="253" w:lineRule="auto"/>
        <w:rPr>
          <w:sz w:val="20"/>
          <w:szCs w:val="20"/>
          <w:color w:val="auto"/>
        </w:rPr>
      </w:pPr>
      <w:r>
        <w:rPr>
          <w:rFonts w:ascii="Times New Roman" w:cs="Times New Roman" w:eastAsia="Times New Roman" w:hAnsi="Times New Roman"/>
          <w:sz w:val="14"/>
          <w:szCs w:val="14"/>
          <w:color w:val="auto"/>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As of September 30, 2025, approximately 62.9 million shares of common stock that are either subject to outstanding options, issuable upon the settlement of outstanding restricted stock units or reserved for future issuance under our equity incentive plans are eligible for sale in the public market to the extent permitted by the provisions of various vesting schedules and Rule 144 and Rule 701 under the Securities Act.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9019"/>
          </w:cols>
          <w:pgMar w:left="1440" w:top="238" w:right="1440" w:bottom="1440" w:gutter="0" w:footer="0" w:header="0"/>
        </w:sectPr>
      </w:pPr>
    </w:p>
    <w:bookmarkStart w:id="37" w:name="page38"/>
    <w:bookmarkEnd w:id="37"/>
    <w:p>
      <w:pPr>
        <w:ind w:left="240" w:right="279"/>
        <w:spacing w:after="0" w:line="283" w:lineRule="auto"/>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actual number of shares we will issue under the 2025 Sales Agreement in this offering and gross proceeds resulting from those sales, at any one time or in total, is uncertain.</w:t>
      </w:r>
    </w:p>
    <w:p>
      <w:pPr>
        <w:spacing w:after="0" w:line="41" w:lineRule="exact"/>
        <w:rPr>
          <w:sz w:val="20"/>
          <w:szCs w:val="20"/>
          <w:color w:val="auto"/>
        </w:rPr>
      </w:pPr>
    </w:p>
    <w:p>
      <w:pPr>
        <w:ind w:left="240" w:right="299" w:firstLine="341"/>
        <w:spacing w:after="0" w:line="255" w:lineRule="auto"/>
        <w:rPr>
          <w:sz w:val="20"/>
          <w:szCs w:val="20"/>
          <w:color w:val="auto"/>
        </w:rPr>
      </w:pPr>
      <w:r>
        <w:rPr>
          <w:rFonts w:ascii="Times New Roman" w:cs="Times New Roman" w:eastAsia="Times New Roman" w:hAnsi="Times New Roman"/>
          <w:sz w:val="14"/>
          <w:szCs w:val="14"/>
          <w:color w:val="auto"/>
        </w:rPr>
        <w:t>Subject to certain limitations in the 2025 Sales Agreement and compliance with applicable law, we have the discretion to deliver a placement notice to Jefferies at any time throughout the term of the 2025 Sales Agreement. The number of shares that are sold by Jefferies after delivering a placement notice will fluctuate based on the market price of our common stock during the sales period and limits we set with Jefferies in any instruction to sell shares, and the demand for our common stock during the sales period. Because the price per share of each share sold will fluctuate based on the market price of our common stock during the sales period, it is not possible at this stage to predict the number of shares that will be ultimately issued or the gross proceeds to be raised in connection with those sales, if any.</w:t>
      </w:r>
    </w:p>
    <w:p>
      <w:pPr>
        <w:spacing w:after="0" w:line="226" w:lineRule="exact"/>
        <w:rPr>
          <w:sz w:val="20"/>
          <w:szCs w:val="20"/>
          <w:color w:val="auto"/>
        </w:rPr>
      </w:pPr>
    </w:p>
    <w:p>
      <w:pPr>
        <w:ind w:left="240" w:right="399"/>
        <w:spacing w:after="0" w:line="283" w:lineRule="auto"/>
        <w:rPr>
          <w:sz w:val="20"/>
          <w:szCs w:val="20"/>
          <w:color w:val="auto"/>
        </w:rPr>
      </w:pPr>
      <w:r>
        <w:rPr>
          <w:rFonts w:ascii="Times New Roman" w:cs="Times New Roman" w:eastAsia="Times New Roman" w:hAnsi="Times New Roman"/>
          <w:sz w:val="14"/>
          <w:szCs w:val="14"/>
          <w:b w:val="1"/>
          <w:bCs w:val="1"/>
          <w:i w:val="1"/>
          <w:iCs w:val="1"/>
          <w:color w:val="auto"/>
        </w:rPr>
        <w:t>The common stock offered hereby will be sold in “at the market offerings,” and investors who buy shares at different times will likely pay different prices.</w:t>
      </w:r>
    </w:p>
    <w:p>
      <w:pPr>
        <w:spacing w:after="0" w:line="41" w:lineRule="exact"/>
        <w:rPr>
          <w:sz w:val="20"/>
          <w:szCs w:val="20"/>
          <w:color w:val="auto"/>
        </w:rPr>
      </w:pPr>
    </w:p>
    <w:p>
      <w:pPr>
        <w:ind w:left="240" w:right="279" w:firstLine="341"/>
        <w:spacing w:after="0" w:line="259" w:lineRule="auto"/>
        <w:rPr>
          <w:sz w:val="20"/>
          <w:szCs w:val="20"/>
          <w:color w:val="auto"/>
        </w:rPr>
      </w:pPr>
      <w:r>
        <w:rPr>
          <w:rFonts w:ascii="Times New Roman" w:cs="Times New Roman" w:eastAsia="Times New Roman" w:hAnsi="Times New Roman"/>
          <w:sz w:val="14"/>
          <w:szCs w:val="14"/>
          <w:color w:val="auto"/>
        </w:rPr>
        <w:t>Investors who purchase shares in this offering at different times will likely pay different prices, and so may experience different outcomes in their investment results. We will have discretion, subject to market demand and the terms of the 2025 Sales Agreement, to vary the timing, prices and numbers of shares sold, and there is no minimum or maximum sales price for shares to be sold in this offering. Investors may experience a decline in the value of their shares as a result of share sales made at prices lower than the prices they paid.</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9019"/>
          </w:cols>
          <w:pgMar w:left="1440" w:top="238"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NOTE REGARDING FORWARD-LOOKING STATEMENTS</w:t>
      </w:r>
    </w:p>
    <w:p>
      <w:pPr>
        <w:spacing w:after="0" w:line="176" w:lineRule="exact"/>
        <w:rPr>
          <w:sz w:val="20"/>
          <w:szCs w:val="20"/>
          <w:color w:val="auto"/>
        </w:rPr>
      </w:pPr>
    </w:p>
    <w:p>
      <w:pPr>
        <w:ind w:left="240" w:right="419" w:firstLine="341"/>
        <w:spacing w:after="0" w:line="254" w:lineRule="auto"/>
        <w:rPr>
          <w:sz w:val="20"/>
          <w:szCs w:val="20"/>
          <w:color w:val="auto"/>
        </w:rPr>
      </w:pPr>
      <w:r>
        <w:rPr>
          <w:rFonts w:ascii="Times New Roman" w:cs="Times New Roman" w:eastAsia="Times New Roman" w:hAnsi="Times New Roman"/>
          <w:sz w:val="14"/>
          <w:szCs w:val="14"/>
          <w:color w:val="auto"/>
        </w:rPr>
        <w:t>This prospectus supplement, the accompanying prospectus, including the documents incorporated by reference herein and therein, and any free writing prospectus that we have authorized for use in connection with this offering contain forward-looking statements that involve risks and uncertainties. Any statements contained or incorporated by reference herein or therein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72" w:lineRule="exact"/>
        <w:rPr>
          <w:sz w:val="20"/>
          <w:szCs w:val="20"/>
          <w:color w:val="auto"/>
        </w:rPr>
      </w:pPr>
    </w:p>
    <w:p>
      <w:pPr>
        <w:ind w:left="580" w:hanging="258"/>
        <w:spacing w:after="0"/>
        <w:tabs>
          <w:tab w:leader="none" w:pos="5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our expenses, future revenue, capital requirements, our needs for additional financing and our ability to obtain additional capital; and</w:t>
      </w:r>
    </w:p>
    <w:p>
      <w:pPr>
        <w:spacing w:after="0" w:line="100" w:lineRule="exact"/>
        <w:rPr>
          <w:rFonts w:ascii="Times New Roman" w:cs="Times New Roman" w:eastAsia="Times New Roman" w:hAnsi="Times New Roman"/>
          <w:sz w:val="14"/>
          <w:szCs w:val="14"/>
          <w:color w:val="auto"/>
        </w:rPr>
      </w:pPr>
    </w:p>
    <w:p>
      <w:pPr>
        <w:ind w:left="580" w:hanging="258"/>
        <w:spacing w:after="0"/>
        <w:tabs>
          <w:tab w:leader="none" w:pos="5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including those listed under the section titled “Risk Factors.”</w:t>
      </w:r>
    </w:p>
    <w:p>
      <w:pPr>
        <w:spacing w:after="0" w:line="174" w:lineRule="exact"/>
        <w:rPr>
          <w:sz w:val="20"/>
          <w:szCs w:val="20"/>
          <w:color w:val="auto"/>
        </w:rPr>
      </w:pPr>
    </w:p>
    <w:p>
      <w:pPr>
        <w:ind w:left="240" w:right="259" w:firstLine="341"/>
        <w:spacing w:after="0" w:line="252" w:lineRule="auto"/>
        <w:rPr>
          <w:sz w:val="20"/>
          <w:szCs w:val="20"/>
          <w:color w:val="auto"/>
        </w:rPr>
      </w:pPr>
      <w:r>
        <w:rPr>
          <w:rFonts w:ascii="Times New Roman" w:cs="Times New Roman" w:eastAsia="Times New Roman" w:hAnsi="Times New Roman"/>
          <w:sz w:val="14"/>
          <w:szCs w:val="14"/>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or incorporated by reference in, this prospectus supplement may turn out to be inaccurate. Factors that may cause actual results to differ materially from current expectations include, among other things, those listed under “Risk Factors” and elsewhere in this prospectus supplement, the accompanying prospectus, and the documents incorporated by reference herein and the discussion in our Annual Report on Form 10-K for the year ended December 31, 2024 and in our Quarterly Report on Form 10-Q for the quarterly period ended September 30, 2025, in each of the sections titled “Risk Factors” and “Management’s Discussion and Analysis of Financial Condition and Results of Operations.” Potential investors are urged to consider these factors carefully in evaluating the forward-looking statements. These forward-looking statements speak only as of the date of this prospectus supplement, the accompanying prospectus and the documents incorporated by reference herein and therein, and any free writing prospectus, as applicable.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 supplement. See the section titled “Where You Can Find More Information.”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9019"/>
          </w:cols>
          <w:pgMar w:left="1440" w:top="238"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USE OF PROCEEDS</w:t>
      </w:r>
    </w:p>
    <w:p>
      <w:pPr>
        <w:spacing w:after="0" w:line="176" w:lineRule="exact"/>
        <w:rPr>
          <w:sz w:val="20"/>
          <w:szCs w:val="20"/>
          <w:color w:val="auto"/>
        </w:rPr>
      </w:pPr>
    </w:p>
    <w:p>
      <w:pPr>
        <w:ind w:left="240" w:right="519" w:firstLine="341"/>
        <w:spacing w:after="0" w:line="286" w:lineRule="auto"/>
        <w:rPr>
          <w:sz w:val="20"/>
          <w:szCs w:val="20"/>
          <w:color w:val="auto"/>
        </w:rPr>
      </w:pPr>
      <w:r>
        <w:rPr>
          <w:rFonts w:ascii="Times New Roman" w:cs="Times New Roman" w:eastAsia="Times New Roman" w:hAnsi="Times New Roman"/>
          <w:sz w:val="13"/>
          <w:szCs w:val="13"/>
          <w:color w:val="auto"/>
        </w:rPr>
        <w:t>We may issue and sell shares of our common stock having aggregate sales proceeds of up to $100,000,000 from time to time pursuant to this prospectus supplement. The amount of proceeds from this offering will depend upon the number of shares of our common stock sold and the market price at which they are sold. There can be no assurance that we will be able to sell any shares under or fully utilize the 2025 Sales Agreement with Jefferies as a source of financing. We intend to use the net proceeds, if any, from this offering for general corporate purposes and working capital.</w:t>
      </w:r>
    </w:p>
    <w:p>
      <w:pPr>
        <w:spacing w:after="0" w:line="124" w:lineRule="exact"/>
        <w:rPr>
          <w:sz w:val="20"/>
          <w:szCs w:val="20"/>
          <w:color w:val="auto"/>
        </w:rPr>
      </w:pPr>
    </w:p>
    <w:p>
      <w:pPr>
        <w:ind w:left="240" w:right="359" w:firstLine="341"/>
        <w:spacing w:after="0" w:line="280" w:lineRule="auto"/>
        <w:rPr>
          <w:sz w:val="20"/>
          <w:szCs w:val="20"/>
          <w:color w:val="auto"/>
        </w:rPr>
      </w:pPr>
      <w:r>
        <w:rPr>
          <w:rFonts w:ascii="Times New Roman" w:cs="Times New Roman" w:eastAsia="Times New Roman" w:hAnsi="Times New Roman"/>
          <w:sz w:val="14"/>
          <w:szCs w:val="14"/>
          <w:color w:val="auto"/>
        </w:rPr>
        <w:t>We will have broad discretion in the application of the net proceeds. Pending the uses described above, we plan to invest the net proceeds, if any, from this offering in interest-bearing investment-grade securities, certificates of deposit or government securities.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9019"/>
          </w:cols>
          <w:pgMar w:left="1440" w:top="238"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DILUTION</w:t>
      </w:r>
    </w:p>
    <w:p>
      <w:pPr>
        <w:spacing w:after="0" w:line="176" w:lineRule="exact"/>
        <w:rPr>
          <w:sz w:val="20"/>
          <w:szCs w:val="20"/>
          <w:color w:val="auto"/>
        </w:rPr>
      </w:pPr>
    </w:p>
    <w:p>
      <w:pPr>
        <w:ind w:left="240" w:right="319" w:firstLine="341"/>
        <w:spacing w:after="0" w:line="259" w:lineRule="auto"/>
        <w:rPr>
          <w:sz w:val="20"/>
          <w:szCs w:val="20"/>
          <w:color w:val="auto"/>
        </w:rPr>
      </w:pPr>
      <w:r>
        <w:rPr>
          <w:rFonts w:ascii="Times New Roman" w:cs="Times New Roman" w:eastAsia="Times New Roman" w:hAnsi="Times New Roman"/>
          <w:sz w:val="14"/>
          <w:szCs w:val="14"/>
          <w:color w:val="auto"/>
        </w:rPr>
        <w:t>Our historical net tangible book value as of September 30, 2025 was approximately $154.3 million, or $0.63 per share. Our net tangible book value represents our total tangible assets less total liabilities, divided by the number of shares of our common stock outstanding on September 30, 2025.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After giving effect to the sale of our common stock in the aggregate amount of $100.0 million in this offering at an assumed offering price of</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$6.06 per share, the last reported sale price of our common stock on the Nasdaq Global Market on October 31, 2025, and after deducting commissions</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and estimated aggregate offering expenses payable by us, our as adjusted net tangible book value as of September 30, 2025 would have been</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approximately $252.0 million, or $0.97 per share. This represents an immediate increase in net tangible book value of $0.34 per share to existing</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stockholders and immediate dilution in net tangible book value of $5.09 per share to new investors purchasing our common stock in this offering. The</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following table illustrates this dilution on a per share basis:</w:t>
      </w:r>
    </w:p>
    <w:p>
      <w:pPr>
        <w:spacing w:after="0" w:line="194"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public offering price per share</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    </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6.06</w:t>
            </w:r>
          </w:p>
        </w:tc>
      </w:tr>
      <w:tr>
        <w:trPr>
          <w:trHeight w:val="167"/>
        </w:trPr>
        <w:tc>
          <w:tcPr>
            <w:tcW w:w="20" w:type="dxa"/>
            <w:vAlign w:val="bottom"/>
          </w:tcPr>
          <w:p>
            <w:pPr>
              <w:spacing w:after="0"/>
              <w:rPr>
                <w:sz w:val="14"/>
                <w:szCs w:val="14"/>
                <w:color w:val="auto"/>
              </w:rPr>
            </w:pPr>
          </w:p>
        </w:tc>
        <w:tc>
          <w:tcPr>
            <w:tcW w:w="50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tangible book value per share as of September 30, 2025</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w w:val="96"/>
              </w:rPr>
              <w:t>      0.63</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Increase in net tangible book value per share attributable to new investors</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0.34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9"/>
        </w:trPr>
        <w:tc>
          <w:tcPr>
            <w:tcW w:w="5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adjusted net tangible book value per share after giving effect to this offering</w:t>
            </w:r>
          </w:p>
        </w:tc>
        <w:tc>
          <w:tcPr>
            <w:tcW w:w="6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per share to new investors</w:t>
            </w: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5.09</w:t>
            </w: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3" w:lineRule="exact"/>
        <w:rPr>
          <w:sz w:val="20"/>
          <w:szCs w:val="20"/>
          <w:color w:val="auto"/>
        </w:rPr>
      </w:pPr>
    </w:p>
    <w:p>
      <w:pPr>
        <w:ind w:left="240" w:right="299" w:firstLine="341"/>
        <w:spacing w:after="0" w:line="253" w:lineRule="auto"/>
        <w:rPr>
          <w:sz w:val="20"/>
          <w:szCs w:val="20"/>
          <w:color w:val="auto"/>
        </w:rPr>
      </w:pPr>
      <w:r>
        <w:rPr>
          <w:rFonts w:ascii="Times New Roman" w:cs="Times New Roman" w:eastAsia="Times New Roman" w:hAnsi="Times New Roman"/>
          <w:sz w:val="14"/>
          <w:szCs w:val="14"/>
          <w:color w:val="auto"/>
        </w:rPr>
        <w:t>The shares sold in this offering, if any, will be sold from time to time at various prices. An increase of $1.00 per share in the price at which the shares are sold from the assumed offering price of $6.06 per share shown in the table above, assuming all of our common stock in the aggregate amount of $100.0 million is sold at that price, would cause our as adjusted net tangible book value per share after the offering to be $0.98 per share and would increase the dilution in net tangible book value per share to new investors to $6.08 per share, after deducting commissions and estimated aggregate offering expenses payable by us. A decrease of $1.00 per share in the price at which the shares are sold from the assumed offering price of $6.06 per share shown in the table above, assuming all of our common stock in the aggregate amount of $100.0 million is sold at that price, would cause our as adjusted net tangible book value per share after the offering to be $0.96 per share and would result in dilution of $4.10 in net tangible book value per share to new investors, after deducting commissions and estimated aggregate offering expenses payable by us. This information is supplied for illustrative purposes only.</w:t>
      </w:r>
    </w:p>
    <w:p>
      <w:pPr>
        <w:spacing w:after="0" w:line="145" w:lineRule="exact"/>
        <w:rPr>
          <w:sz w:val="20"/>
          <w:szCs w:val="20"/>
          <w:color w:val="auto"/>
        </w:rPr>
      </w:pPr>
    </w:p>
    <w:p>
      <w:pPr>
        <w:ind w:left="240" w:right="259" w:firstLine="341"/>
        <w:spacing w:after="0" w:line="259" w:lineRule="auto"/>
        <w:rPr>
          <w:sz w:val="20"/>
          <w:szCs w:val="20"/>
          <w:color w:val="auto"/>
        </w:rPr>
      </w:pPr>
      <w:r>
        <w:rPr>
          <w:rFonts w:ascii="Times New Roman" w:cs="Times New Roman" w:eastAsia="Times New Roman" w:hAnsi="Times New Roman"/>
          <w:sz w:val="14"/>
          <w:szCs w:val="14"/>
          <w:color w:val="auto"/>
        </w:rPr>
        <w:t>To the extent that outstanding options are exercised or outstanding restricted stock awards vest, investors purchasing our common stock in this offering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41" w:lineRule="exact"/>
        <w:rPr>
          <w:sz w:val="20"/>
          <w:szCs w:val="20"/>
          <w:color w:val="auto"/>
        </w:rPr>
      </w:pPr>
    </w:p>
    <w:p>
      <w:pPr>
        <w:ind w:left="240" w:right="439" w:firstLine="341"/>
        <w:spacing w:after="0" w:line="280" w:lineRule="auto"/>
        <w:rPr>
          <w:sz w:val="20"/>
          <w:szCs w:val="20"/>
          <w:color w:val="auto"/>
        </w:rPr>
      </w:pPr>
      <w:r>
        <w:rPr>
          <w:rFonts w:ascii="Times New Roman" w:cs="Times New Roman" w:eastAsia="Times New Roman" w:hAnsi="Times New Roman"/>
          <w:sz w:val="14"/>
          <w:szCs w:val="14"/>
          <w:color w:val="auto"/>
        </w:rPr>
        <w:t>The above discussion and tables are based on 242,971,838 shares of our common stock outstanding as of September 30, 2025, and excludes the following, in each case as of such date:</w:t>
      </w:r>
    </w:p>
    <w:p>
      <w:pPr>
        <w:spacing w:after="0" w:line="53" w:lineRule="exact"/>
        <w:rPr>
          <w:sz w:val="20"/>
          <w:szCs w:val="20"/>
          <w:color w:val="auto"/>
        </w:rPr>
      </w:pPr>
    </w:p>
    <w:p>
      <w:pPr>
        <w:ind w:left="580" w:right="279" w:hanging="258"/>
        <w:spacing w:after="0" w:line="280" w:lineRule="auto"/>
        <w:tabs>
          <w:tab w:leader="none" w:pos="5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30,142,785 shares of common stock issuable upon the exercise of outstanding stock options having a weighted-average exercise price of $5.52 per share;</w:t>
      </w:r>
    </w:p>
    <w:p>
      <w:pPr>
        <w:spacing w:after="0" w:line="53" w:lineRule="exact"/>
        <w:rPr>
          <w:rFonts w:ascii="Times New Roman" w:cs="Times New Roman" w:eastAsia="Times New Roman" w:hAnsi="Times New Roman"/>
          <w:sz w:val="14"/>
          <w:szCs w:val="14"/>
          <w:color w:val="auto"/>
        </w:rPr>
      </w:pPr>
    </w:p>
    <w:p>
      <w:pPr>
        <w:ind w:left="580" w:hanging="258"/>
        <w:spacing w:after="0"/>
        <w:tabs>
          <w:tab w:leader="none" w:pos="5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13,823,908 shares of common stock issuable upon the settlement of outstanding restricted stock units;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9019"/>
          </w:cols>
          <w:pgMar w:left="1440" w:top="238" w:right="1440" w:bottom="1440" w:gutter="0" w:footer="0" w:header="0"/>
        </w:sectPr>
      </w:pPr>
    </w:p>
    <w:bookmarkStart w:id="41" w:name="page42"/>
    <w:bookmarkEnd w:id="41"/>
    <w:p>
      <w:pPr>
        <w:ind w:left="580" w:right="599" w:hanging="258"/>
        <w:spacing w:after="0" w:line="280" w:lineRule="auto"/>
        <w:tabs>
          <w:tab w:leader="none" w:pos="5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15,688,523 shares of common stock reserved for issuance pursuant to future awards under our Amended and Restated 2014 Equity Incentive Award Plan; and</w:t>
      </w:r>
    </w:p>
    <w:p>
      <w:pPr>
        <w:spacing w:after="0" w:line="53" w:lineRule="exact"/>
        <w:rPr>
          <w:rFonts w:ascii="Times New Roman" w:cs="Times New Roman" w:eastAsia="Times New Roman" w:hAnsi="Times New Roman"/>
          <w:sz w:val="14"/>
          <w:szCs w:val="14"/>
          <w:color w:val="auto"/>
        </w:rPr>
      </w:pPr>
    </w:p>
    <w:p>
      <w:pPr>
        <w:ind w:left="580" w:hanging="258"/>
        <w:spacing w:after="0"/>
        <w:tabs>
          <w:tab w:leader="none" w:pos="5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3,282,591 shares of common stock reserved for future issuance under our Employee Stock Purchase Plan.</w:t>
      </w:r>
    </w:p>
    <w:p>
      <w:pPr>
        <w:spacing w:after="0" w:line="174" w:lineRule="exact"/>
        <w:rPr>
          <w:sz w:val="20"/>
          <w:szCs w:val="20"/>
          <w:color w:val="auto"/>
        </w:rPr>
      </w:pPr>
    </w:p>
    <w:p>
      <w:pPr>
        <w:ind w:left="240" w:right="579" w:firstLine="341"/>
        <w:spacing w:after="0" w:line="280" w:lineRule="auto"/>
        <w:rPr>
          <w:sz w:val="20"/>
          <w:szCs w:val="20"/>
          <w:color w:val="auto"/>
        </w:rPr>
      </w:pPr>
      <w:r>
        <w:rPr>
          <w:rFonts w:ascii="Times New Roman" w:cs="Times New Roman" w:eastAsia="Times New Roman" w:hAnsi="Times New Roman"/>
          <w:sz w:val="14"/>
          <w:szCs w:val="14"/>
          <w:color w:val="auto"/>
        </w:rPr>
        <w:t>Unless otherwise stated, all information contained in this prospectus supplement reflects an assumed public offering price of $6.06 per share, which was the last reported sale price of our common stock on the Nasdaq Global Market on October 31, 2025.</w:t>
      </w:r>
    </w:p>
    <w:p>
      <w:pPr>
        <w:spacing w:after="0" w:line="126" w:lineRule="exact"/>
        <w:rPr>
          <w:sz w:val="20"/>
          <w:szCs w:val="20"/>
          <w:color w:val="auto"/>
        </w:rPr>
      </w:pPr>
    </w:p>
    <w:p>
      <w:pPr>
        <w:ind w:left="240" w:right="319" w:firstLine="341"/>
        <w:spacing w:after="0" w:line="265" w:lineRule="auto"/>
        <w:rPr>
          <w:sz w:val="20"/>
          <w:szCs w:val="20"/>
          <w:color w:val="auto"/>
        </w:rPr>
      </w:pPr>
      <w:r>
        <w:rPr>
          <w:rFonts w:ascii="Times New Roman" w:cs="Times New Roman" w:eastAsia="Times New Roman" w:hAnsi="Times New Roman"/>
          <w:sz w:val="14"/>
          <w:szCs w:val="14"/>
          <w:color w:val="auto"/>
        </w:rPr>
        <w:t>Further, the dilution information provided in this prospectus supplement is as of September 30, 2025, and does not take into account up to an aggregate of approximately $80.0 million of shares of our common stock that may be sold from time to time subsequent to September 30, 2025 through January 25, 2026 under the 2023 Sales Agreement with Jefferies.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9019"/>
          </w:cols>
          <w:pgMar w:left="1440" w:top="240" w:right="144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PLAN OF DISTRIBUTION</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We have entered into an Open Market Sale Agreement, dated as of November 3, 2025, with Jefferies, under which we may offer and sell up to</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$100,000,000 of our shares of common stock from time to time through Jefferies acting as agent. Sales of our shares of common stock, if any, under this</w:t>
      </w:r>
    </w:p>
    <w:p>
      <w:pPr>
        <w:spacing w:after="0" w:line="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prospectus supplement and the accompanying prospectus will be made by any method that is deemed to be an “at the market offering” as defined in</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Rule 415(a)(4) under the Securities Act.</w:t>
      </w:r>
    </w:p>
    <w:p>
      <w:pPr>
        <w:spacing w:after="0" w:line="159" w:lineRule="exact"/>
        <w:rPr>
          <w:sz w:val="20"/>
          <w:szCs w:val="20"/>
          <w:color w:val="auto"/>
        </w:rPr>
      </w:pPr>
    </w:p>
    <w:p>
      <w:pPr>
        <w:ind w:left="240" w:right="279" w:firstLine="341"/>
        <w:spacing w:after="0" w:line="255" w:lineRule="auto"/>
        <w:rPr>
          <w:sz w:val="20"/>
          <w:szCs w:val="20"/>
          <w:color w:val="auto"/>
        </w:rPr>
      </w:pPr>
      <w:r>
        <w:rPr>
          <w:rFonts w:ascii="Times New Roman" w:cs="Times New Roman" w:eastAsia="Times New Roman" w:hAnsi="Times New Roman"/>
          <w:sz w:val="14"/>
          <w:szCs w:val="14"/>
          <w:color w:val="auto"/>
        </w:rPr>
        <w:t>Each time we wish to issue and sell shares of common stock under the 2025 Sales Agreements,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2025 Sales Agreement to sell our shares of common stock are subject to a number of conditions that we must meet.</w:t>
      </w:r>
    </w:p>
    <w:p>
      <w:pPr>
        <w:spacing w:after="0" w:line="145" w:lineRule="exact"/>
        <w:rPr>
          <w:sz w:val="20"/>
          <w:szCs w:val="20"/>
          <w:color w:val="auto"/>
        </w:rPr>
      </w:pPr>
    </w:p>
    <w:p>
      <w:pPr>
        <w:ind w:left="240" w:right="299" w:firstLine="341"/>
        <w:spacing w:after="0" w:line="259" w:lineRule="auto"/>
        <w:rPr>
          <w:sz w:val="20"/>
          <w:szCs w:val="20"/>
          <w:color w:val="auto"/>
        </w:rPr>
      </w:pPr>
      <w:r>
        <w:rPr>
          <w:rFonts w:ascii="Times New Roman" w:cs="Times New Roman" w:eastAsia="Times New Roman" w:hAnsi="Times New Roman"/>
          <w:sz w:val="14"/>
          <w:szCs w:val="14"/>
          <w:color w:val="auto"/>
        </w:rPr>
        <w:t>The settlement of sales of shares between us and Jefferies is generally anticipated to occur on the next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41" w:lineRule="exact"/>
        <w:rPr>
          <w:sz w:val="20"/>
          <w:szCs w:val="20"/>
          <w:color w:val="auto"/>
        </w:rPr>
      </w:pPr>
    </w:p>
    <w:p>
      <w:pPr>
        <w:ind w:left="240" w:right="339" w:firstLine="341"/>
        <w:spacing w:after="0" w:line="254" w:lineRule="auto"/>
        <w:rPr>
          <w:sz w:val="20"/>
          <w:szCs w:val="20"/>
          <w:color w:val="auto"/>
        </w:rPr>
      </w:pPr>
      <w:r>
        <w:rPr>
          <w:rFonts w:ascii="Times New Roman" w:cs="Times New Roman" w:eastAsia="Times New Roman" w:hAnsi="Times New Roman"/>
          <w:sz w:val="14"/>
          <w:szCs w:val="14"/>
          <w:color w:val="auto"/>
        </w:rPr>
        <w:t>We will pay Jefferies a commission of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2025 Sales Agreement, in an amount not to exceed $50,000, in addition to certain ongoing disbursements of its legal counsel, unless we and Jefferies otherwise agree. We estimate that the total expenses for the offering, excluding any commissions or expense reimbursement payable to Jefferies under the terms of the 2025 Sales Agreement, will be approximately $284,000. The remaining sale proceeds, after deducting any other transaction fees, will equal our net proceeds from the sale of such shares.</w:t>
      </w:r>
    </w:p>
    <w:p>
      <w:pPr>
        <w:spacing w:after="0" w:line="146" w:lineRule="exact"/>
        <w:rPr>
          <w:sz w:val="20"/>
          <w:szCs w:val="20"/>
          <w:color w:val="auto"/>
        </w:rPr>
      </w:pPr>
    </w:p>
    <w:p>
      <w:pPr>
        <w:ind w:left="240" w:right="379" w:firstLine="341"/>
        <w:spacing w:after="0" w:line="265" w:lineRule="auto"/>
        <w:rPr>
          <w:sz w:val="20"/>
          <w:szCs w:val="20"/>
          <w:color w:val="auto"/>
        </w:rPr>
      </w:pPr>
      <w:r>
        <w:rPr>
          <w:rFonts w:ascii="Times New Roman" w:cs="Times New Roman" w:eastAsia="Times New Roman" w:hAnsi="Times New Roman"/>
          <w:sz w:val="14"/>
          <w:szCs w:val="14"/>
          <w:color w:val="auto"/>
        </w:rPr>
        <w:t>Jefferies will provide written confirmation to us before the open on the Nasdaq Global Market on the day following each day on which shares of common stock are sold under the 2025 Sales Agreement. Each confirmation will include the number of shares sold on that day, the aggregate gross proceeds of such sales and the proceeds to us.</w:t>
      </w:r>
    </w:p>
    <w:p>
      <w:pPr>
        <w:spacing w:after="0" w:line="136" w:lineRule="exact"/>
        <w:rPr>
          <w:sz w:val="20"/>
          <w:szCs w:val="20"/>
          <w:color w:val="auto"/>
        </w:rPr>
      </w:pPr>
    </w:p>
    <w:p>
      <w:pPr>
        <w:ind w:left="240" w:right="439" w:firstLine="341"/>
        <w:spacing w:after="0" w:line="259" w:lineRule="auto"/>
        <w:rPr>
          <w:sz w:val="20"/>
          <w:szCs w:val="20"/>
          <w:color w:val="auto"/>
        </w:rPr>
      </w:pPr>
      <w:r>
        <w:rPr>
          <w:rFonts w:ascii="Times New Roman" w:cs="Times New Roman" w:eastAsia="Times New Roman" w:hAnsi="Times New Roman"/>
          <w:sz w:val="14"/>
          <w:szCs w:val="14"/>
          <w:color w:val="auto"/>
        </w:rPr>
        <w:t>In connection with the sale of the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41" w:lineRule="exact"/>
        <w:rPr>
          <w:sz w:val="20"/>
          <w:szCs w:val="20"/>
          <w:color w:val="auto"/>
        </w:rPr>
      </w:pPr>
    </w:p>
    <w:p>
      <w:pPr>
        <w:ind w:left="240" w:right="479" w:firstLine="341"/>
        <w:spacing w:after="0" w:line="280" w:lineRule="auto"/>
        <w:rPr>
          <w:sz w:val="20"/>
          <w:szCs w:val="20"/>
          <w:color w:val="auto"/>
        </w:rPr>
      </w:pPr>
      <w:r>
        <w:rPr>
          <w:rFonts w:ascii="Times New Roman" w:cs="Times New Roman" w:eastAsia="Times New Roman" w:hAnsi="Times New Roman"/>
          <w:sz w:val="14"/>
          <w:szCs w:val="14"/>
          <w:color w:val="auto"/>
        </w:rPr>
        <w:t>The offering of our shares of common stock pursuant to the 2025 Sales Agreement will terminate upon the earlier of (i) the sale of all shares of common stock subject to the 2025 Sales Agreement and (ii) the termination of the 2025 Sales Agreement as permitted therein.</w:t>
      </w:r>
    </w:p>
    <w:p>
      <w:pPr>
        <w:spacing w:after="0" w:line="126" w:lineRule="exact"/>
        <w:rPr>
          <w:sz w:val="20"/>
          <w:szCs w:val="20"/>
          <w:color w:val="auto"/>
        </w:rPr>
      </w:pPr>
    </w:p>
    <w:p>
      <w:pPr>
        <w:ind w:left="240" w:right="379" w:firstLine="341"/>
        <w:spacing w:after="0" w:line="280" w:lineRule="auto"/>
        <w:rPr>
          <w:sz w:val="20"/>
          <w:szCs w:val="20"/>
          <w:color w:val="auto"/>
        </w:rPr>
      </w:pPr>
      <w:r>
        <w:rPr>
          <w:rFonts w:ascii="Times New Roman" w:cs="Times New Roman" w:eastAsia="Times New Roman" w:hAnsi="Times New Roman"/>
          <w:sz w:val="14"/>
          <w:szCs w:val="14"/>
          <w:color w:val="auto"/>
        </w:rPr>
        <w:t>This summary of the material provisions of the 2025 Sales Agreement does not purport to be a complete statement of its terms and conditions. A copy of the 2025 Sales Agreement is filed as an exhibit to the registration statement of which this prospectus supplement forms a part.</w:t>
      </w:r>
    </w:p>
    <w:p>
      <w:pPr>
        <w:spacing w:after="0" w:line="126" w:lineRule="exact"/>
        <w:rPr>
          <w:sz w:val="20"/>
          <w:szCs w:val="20"/>
          <w:color w:val="auto"/>
        </w:rPr>
      </w:pPr>
    </w:p>
    <w:p>
      <w:pPr>
        <w:ind w:left="240" w:right="399" w:firstLine="341"/>
        <w:spacing w:after="0" w:line="280" w:lineRule="auto"/>
        <w:rPr>
          <w:sz w:val="20"/>
          <w:szCs w:val="20"/>
          <w:color w:val="auto"/>
        </w:rPr>
      </w:pPr>
      <w:r>
        <w:rPr>
          <w:rFonts w:ascii="Times New Roman" w:cs="Times New Roman" w:eastAsia="Times New Roman" w:hAnsi="Times New Roman"/>
          <w:sz w:val="14"/>
          <w:szCs w:val="14"/>
          <w:color w:val="auto"/>
        </w:rPr>
        <w:t>Jefferies and its affiliates have provided, and may in the future provide various investment banking, commercial banking, financial advisory and other financial services for us and our affiliates, for which services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9019"/>
          </w:cols>
          <w:pgMar w:left="1440" w:top="238" w:right="1440" w:bottom="1440" w:gutter="0" w:footer="0" w:header="0"/>
        </w:sectPr>
      </w:pPr>
    </w:p>
    <w:bookmarkStart w:id="43" w:name="page44"/>
    <w:bookmarkEnd w:id="43"/>
    <w:p>
      <w:pPr>
        <w:ind w:left="240" w:right="37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they have received, and may in the future receive customary fees. Jefferies is the agent under the 2023 Sales Agreement. Under the 2023 Sales Agreement, we may offer and sell, from time to time, shares of our common stock through Jefferies through an “at the market offering” as defined in Rule 415(a)(4) promulgated under the Securities Act. In the course of its business, Jefferies may actively trade our securities for its own account or for the accounts of customers, and, accordingly, Jefferies may at any time hold long or short positions in such securities.</w:t>
      </w:r>
    </w:p>
    <w:p>
      <w:pPr>
        <w:spacing w:after="0" w:line="141" w:lineRule="exact"/>
        <w:rPr>
          <w:sz w:val="20"/>
          <w:szCs w:val="20"/>
          <w:color w:val="auto"/>
        </w:rPr>
      </w:pPr>
    </w:p>
    <w:p>
      <w:pPr>
        <w:ind w:left="240" w:right="339" w:firstLine="341"/>
        <w:spacing w:after="0" w:line="280" w:lineRule="auto"/>
        <w:rPr>
          <w:sz w:val="20"/>
          <w:szCs w:val="20"/>
          <w:color w:val="auto"/>
        </w:rPr>
      </w:pPr>
      <w:r>
        <w:rPr>
          <w:rFonts w:ascii="Times New Roman" w:cs="Times New Roman" w:eastAsia="Times New Roman" w:hAnsi="Times New Roman"/>
          <w:sz w:val="14"/>
          <w:szCs w:val="14"/>
          <w:color w:val="auto"/>
        </w:rPr>
        <w:t>A prospectus supplement and the accompanying prospectus in electronic format may be made available on a website maintained by Jefferies, and Jefferies may distribute the prospectus supplement and the accompanying prospectus electronically.</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9019"/>
          </w:cols>
          <w:pgMar w:left="1440" w:top="240"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LEGAL MATTERS</w:t>
      </w:r>
    </w:p>
    <w:p>
      <w:pPr>
        <w:spacing w:after="0" w:line="176" w:lineRule="exact"/>
        <w:rPr>
          <w:sz w:val="20"/>
          <w:szCs w:val="20"/>
          <w:color w:val="auto"/>
        </w:rPr>
      </w:pPr>
    </w:p>
    <w:p>
      <w:pPr>
        <w:ind w:left="240" w:right="299" w:firstLine="341"/>
        <w:spacing w:after="0" w:line="280" w:lineRule="auto"/>
        <w:rPr>
          <w:sz w:val="20"/>
          <w:szCs w:val="20"/>
          <w:color w:val="auto"/>
        </w:rPr>
      </w:pPr>
      <w:r>
        <w:rPr>
          <w:rFonts w:ascii="Times New Roman" w:cs="Times New Roman" w:eastAsia="Times New Roman" w:hAnsi="Times New Roman"/>
          <w:sz w:val="14"/>
          <w:szCs w:val="14"/>
          <w:color w:val="auto"/>
        </w:rPr>
        <w:t>Latham &amp; Watkins LLP will pass upon certain legal matters relating to the issuance and sale of the securities offered hereby on behalf of Ardelyx, Inc. Jefferies LLC is being represented in connection with this offering by Davis Polk &amp; Wardwell LLP, Redwood City, California.</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6" w:lineRule="exact"/>
        <w:rPr>
          <w:sz w:val="20"/>
          <w:szCs w:val="20"/>
          <w:color w:val="auto"/>
        </w:rPr>
      </w:pPr>
    </w:p>
    <w:p>
      <w:pPr>
        <w:ind w:left="240" w:right="359" w:firstLine="341"/>
        <w:spacing w:after="0" w:line="259" w:lineRule="auto"/>
        <w:rPr>
          <w:sz w:val="20"/>
          <w:szCs w:val="20"/>
          <w:color w:val="auto"/>
        </w:rPr>
      </w:pPr>
      <w:r>
        <w:rPr>
          <w:rFonts w:ascii="Times New Roman" w:cs="Times New Roman" w:eastAsia="Times New Roman" w:hAnsi="Times New Roman"/>
          <w:sz w:val="14"/>
          <w:szCs w:val="14"/>
          <w:color w:val="auto"/>
        </w:rPr>
        <w:t>Ernst &amp; Young LLP, independent registered public accounting firm, has audited our financial statements included in our Annual Report on Form 10-K for the year ended December 31, 2024, and the effectiveness of our internal control over financial reporting as of December 31, 2024,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6" w:lineRule="exact"/>
        <w:rPr>
          <w:sz w:val="20"/>
          <w:szCs w:val="20"/>
          <w:color w:val="auto"/>
        </w:rPr>
      </w:pPr>
    </w:p>
    <w:p>
      <w:pPr>
        <w:ind w:left="240" w:right="279" w:firstLine="341"/>
        <w:spacing w:after="0" w:line="254"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S-3 under the Securities Act, of which this prospectus supplement and the accompanying prospectus form a part. The rules and regulations of the SEC allow us to omit from this prospectus supplement and the accompanying prospectus certain information included in the registration statement. For further information about us and the securities we are offering under this prospectus supplement and the accompanying prospectus, you should refer to the registration statement and the exhibits and schedules filed with the registration statement. With respect to the statements contained in this prospectus supplement and the accompanying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146" w:lineRule="exact"/>
        <w:rPr>
          <w:sz w:val="20"/>
          <w:szCs w:val="20"/>
          <w:color w:val="auto"/>
        </w:rPr>
      </w:pPr>
    </w:p>
    <w:p>
      <w:pPr>
        <w:ind w:left="240" w:right="439" w:firstLine="341"/>
        <w:spacing w:after="0" w:line="265" w:lineRule="auto"/>
        <w:rPr>
          <w:sz w:val="20"/>
          <w:szCs w:val="20"/>
          <w:color w:val="auto"/>
        </w:rPr>
      </w:pPr>
      <w:r>
        <w:rPr>
          <w:rFonts w:ascii="Times New Roman" w:cs="Times New Roman" w:eastAsia="Times New Roman" w:hAnsi="Times New Roman"/>
          <w:sz w:val="14"/>
          <w:szCs w:val="14"/>
          <w:color w:val="auto"/>
        </w:rPr>
        <w:t xml:space="preserve">We file reports, proxy statements and other information with the SEC under the Exchange Act. The SEC also maintains an Internet website that contains reports, proxy statements and other information about issuers, like us, that file electronically with the SEC. The address of that website is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6" w:lineRule="exact"/>
        <w:rPr>
          <w:sz w:val="20"/>
          <w:szCs w:val="20"/>
          <w:color w:val="auto"/>
        </w:rPr>
      </w:pPr>
    </w:p>
    <w:p>
      <w:pPr>
        <w:ind w:left="240" w:right="299" w:firstLine="341"/>
        <w:spacing w:after="0" w:line="276" w:lineRule="auto"/>
        <w:rPr>
          <w:sz w:val="20"/>
          <w:szCs w:val="20"/>
          <w:color w:val="auto"/>
        </w:rPr>
      </w:pPr>
      <w:r>
        <w:rPr>
          <w:rFonts w:ascii="Times New Roman" w:cs="Times New Roman" w:eastAsia="Times New Roman" w:hAnsi="Times New Roman"/>
          <w:sz w:val="13"/>
          <w:szCs w:val="13"/>
          <w:color w:val="auto"/>
        </w:rPr>
        <w:t>The SEC allows us to “incorporate by reference” the information we file with them which means that we can disclose important information to you by referring you to those documents instead of having to repeat the information in this prospectus supplement and the accompanying prospectus. The information incorporated by reference is considered to be part of this prospectus supplement and the accompanying prospectus, and later information that we file with the SEC will automatically update and supersede this information. Any statement contained in a previously filed document incorporated by reference will be deemed to be modified or superseded for purposes of this prospectus to the extent that a statement contained in this prospectus modifies or replaces that statement. We incorporate by reference the documents listed below and any future information filed (rather than furnished) with the SEC under Sections 13(a), 13(c), 14, or 15(d) of the Exchange Act between the date of this prospectus and the termination of this offering, provided, however, that we are not incorporating any information furnished under Item 2.02 or Item 7.01 of any current report on Form 8-K:</w:t>
      </w:r>
    </w:p>
    <w:p>
      <w:pPr>
        <w:spacing w:after="0" w:line="13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We incorporate by reference the documents set forth below that have previously been filed with the SEC:</w:t>
      </w:r>
    </w:p>
    <w:p>
      <w:pPr>
        <w:spacing w:after="0" w:line="100" w:lineRule="exact"/>
        <w:rPr>
          <w:sz w:val="20"/>
          <w:szCs w:val="20"/>
          <w:color w:val="auto"/>
        </w:rPr>
      </w:pPr>
    </w:p>
    <w:p>
      <w:pPr>
        <w:ind w:left="4380" w:right="2019" w:hanging="4058"/>
        <w:spacing w:after="0" w:line="452" w:lineRule="auto"/>
        <w:tabs>
          <w:tab w:leader="none" w:pos="581"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26">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filed with the SEC on February 20, 2025; S-13</w:t>
      </w:r>
    </w:p>
    <w:p>
      <w:pPr>
        <w:sectPr>
          <w:pgSz w:w="11900" w:h="16838" w:orient="portrait"/>
          <w:cols w:equalWidth="0" w:num="1">
            <w:col w:w="9019"/>
          </w:cols>
          <w:pgMar w:left="1440" w:top="238" w:right="1440" w:bottom="1440" w:gutter="0" w:footer="0" w:header="0"/>
        </w:sectPr>
      </w:pPr>
    </w:p>
    <w:bookmarkStart w:id="45" w:name="page46"/>
    <w:bookmarkEnd w:id="45"/>
    <w:p>
      <w:pPr>
        <w:ind w:left="580" w:right="479" w:hanging="258"/>
        <w:spacing w:after="0" w:line="280" w:lineRule="auto"/>
        <w:tabs>
          <w:tab w:leader="none" w:pos="580" w:val="left"/>
        </w:tabs>
        <w:numPr>
          <w:ilvl w:val="0"/>
          <w:numId w:val="26"/>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hyperlink r:id="rId27">
        <w:r>
          <w:rPr>
            <w:rFonts w:ascii="Times New Roman" w:cs="Times New Roman" w:eastAsia="Times New Roman" w:hAnsi="Times New Roman"/>
            <w:sz w:val="14"/>
            <w:szCs w:val="14"/>
            <w:color w:val="auto"/>
          </w:rPr>
          <w:t xml:space="preserve">the information specifically incorporated by reference into our Annual Report on Form 10-K from our Definitive Proxy Statement on </w:t>
        </w:r>
        <w:r>
          <w:rPr>
            <w:rFonts w:ascii="Times New Roman" w:cs="Times New Roman" w:eastAsia="Times New Roman" w:hAnsi="Times New Roman"/>
            <w:sz w:val="14"/>
            <w:szCs w:val="14"/>
            <w:u w:val="single" w:color="auto"/>
            <w:color w:val="0000EE"/>
          </w:rPr>
          <w:t>Schedule</w:t>
        </w:r>
      </w:hyperlink>
      <w:r>
        <w:rPr>
          <w:rFonts w:ascii="Times New Roman" w:cs="Times New Roman" w:eastAsia="Times New Roman" w:hAnsi="Times New Roman"/>
          <w:sz w:val="14"/>
          <w:szCs w:val="14"/>
          <w:color w:val="auto"/>
        </w:rPr>
        <w:t xml:space="preserve"> </w:t>
      </w:r>
      <w:hyperlink r:id="rId27">
        <w:r>
          <w:rPr>
            <w:rFonts w:ascii="Times New Roman" w:cs="Times New Roman" w:eastAsia="Times New Roman" w:hAnsi="Times New Roman"/>
            <w:sz w:val="14"/>
            <w:szCs w:val="14"/>
            <w:u w:val="single" w:color="auto"/>
            <w:color w:val="0000EE"/>
          </w:rPr>
          <w:t>14A</w:t>
        </w:r>
        <w:r>
          <w:rPr>
            <w:rFonts w:ascii="Times New Roman" w:cs="Times New Roman" w:eastAsia="Times New Roman" w:hAnsi="Times New Roman"/>
            <w:sz w:val="14"/>
            <w:szCs w:val="14"/>
            <w:color w:val="000000"/>
          </w:rPr>
          <w:t>, filed with the SEC on April 30, 2025;</w:t>
        </w:r>
      </w:hyperlink>
    </w:p>
    <w:p>
      <w:pPr>
        <w:spacing w:after="0" w:line="53" w:lineRule="exact"/>
        <w:rPr>
          <w:rFonts w:ascii="Times New Roman" w:cs="Times New Roman" w:eastAsia="Times New Roman" w:hAnsi="Times New Roman"/>
          <w:sz w:val="14"/>
          <w:szCs w:val="14"/>
          <w:color w:val="0000EE"/>
        </w:rPr>
      </w:pPr>
    </w:p>
    <w:p>
      <w:pPr>
        <w:ind w:left="580" w:right="499" w:hanging="258"/>
        <w:spacing w:after="0" w:line="280" w:lineRule="auto"/>
        <w:tabs>
          <w:tab w:leader="none" w:pos="5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quarters ended March 31, 2025, filed with the SEC on </w:t>
      </w:r>
      <w:hyperlink r:id="rId28">
        <w:r>
          <w:rPr>
            <w:rFonts w:ascii="Times New Roman" w:cs="Times New Roman" w:eastAsia="Times New Roman" w:hAnsi="Times New Roman"/>
            <w:sz w:val="14"/>
            <w:szCs w:val="14"/>
            <w:u w:val="single" w:color="auto"/>
            <w:color w:val="0000EE"/>
          </w:rPr>
          <w:t>May 1, 2025</w:t>
        </w:r>
      </w:hyperlink>
      <w:r>
        <w:rPr>
          <w:rFonts w:ascii="Times New Roman" w:cs="Times New Roman" w:eastAsia="Times New Roman" w:hAnsi="Times New Roman"/>
          <w:sz w:val="14"/>
          <w:szCs w:val="14"/>
          <w:color w:val="auto"/>
        </w:rPr>
        <w:t xml:space="preserve">, June 30, 2025, filed with the SEC on </w:t>
      </w:r>
      <w:hyperlink r:id="rId29">
        <w:r>
          <w:rPr>
            <w:rFonts w:ascii="Times New Roman" w:cs="Times New Roman" w:eastAsia="Times New Roman" w:hAnsi="Times New Roman"/>
            <w:sz w:val="14"/>
            <w:szCs w:val="14"/>
            <w:u w:val="single" w:color="auto"/>
            <w:color w:val="0000EE"/>
          </w:rPr>
          <w:t>August 4,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September 30, 2025, filed with the SEC on </w:t>
      </w:r>
      <w:hyperlink r:id="rId30">
        <w:r>
          <w:rPr>
            <w:rFonts w:ascii="Times New Roman" w:cs="Times New Roman" w:eastAsia="Times New Roman" w:hAnsi="Times New Roman"/>
            <w:sz w:val="14"/>
            <w:szCs w:val="14"/>
            <w:u w:val="single" w:color="auto"/>
            <w:color w:val="0000EE"/>
          </w:rPr>
          <w:t>October 30, 2025</w:t>
        </w:r>
      </w:hyperlink>
      <w:r>
        <w:rPr>
          <w:rFonts w:ascii="Times New Roman" w:cs="Times New Roman" w:eastAsia="Times New Roman" w:hAnsi="Times New Roman"/>
          <w:sz w:val="14"/>
          <w:szCs w:val="14"/>
          <w:color w:val="auto"/>
        </w:rPr>
        <w:t>;</w:t>
      </w:r>
    </w:p>
    <w:p>
      <w:pPr>
        <w:spacing w:after="0" w:line="53" w:lineRule="exact"/>
        <w:rPr>
          <w:rFonts w:ascii="Times New Roman" w:cs="Times New Roman" w:eastAsia="Times New Roman" w:hAnsi="Times New Roman"/>
          <w:sz w:val="14"/>
          <w:szCs w:val="14"/>
          <w:color w:val="auto"/>
        </w:rPr>
      </w:pPr>
    </w:p>
    <w:p>
      <w:pPr>
        <w:ind w:left="580" w:right="399" w:hanging="258"/>
        <w:spacing w:after="0" w:line="280" w:lineRule="auto"/>
        <w:tabs>
          <w:tab w:leader="none" w:pos="5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32">
        <w:r>
          <w:rPr>
            <w:rFonts w:ascii="Times New Roman" w:cs="Times New Roman" w:eastAsia="Times New Roman" w:hAnsi="Times New Roman"/>
            <w:sz w:val="14"/>
            <w:szCs w:val="14"/>
            <w:u w:val="single" w:color="auto"/>
            <w:color w:val="0000EE"/>
          </w:rPr>
          <w:t>January 13, 2025</w:t>
        </w:r>
      </w:hyperlink>
      <w:r>
        <w:rPr>
          <w:rFonts w:ascii="Times New Roman" w:cs="Times New Roman" w:eastAsia="Times New Roman" w:hAnsi="Times New Roman"/>
          <w:sz w:val="14"/>
          <w:szCs w:val="14"/>
          <w:color w:val="auto"/>
        </w:rPr>
        <w:t xml:space="preserve">, </w:t>
      </w:r>
      <w:hyperlink r:id="rId33">
        <w:r>
          <w:rPr>
            <w:rFonts w:ascii="Times New Roman" w:cs="Times New Roman" w:eastAsia="Times New Roman" w:hAnsi="Times New Roman"/>
            <w:sz w:val="14"/>
            <w:szCs w:val="14"/>
            <w:u w:val="single" w:color="auto"/>
            <w:color w:val="0000EE"/>
          </w:rPr>
          <w:t>April 29, 2025</w:t>
        </w:r>
      </w:hyperlink>
      <w:r>
        <w:rPr>
          <w:rFonts w:ascii="Times New Roman" w:cs="Times New Roman" w:eastAsia="Times New Roman" w:hAnsi="Times New Roman"/>
          <w:sz w:val="14"/>
          <w:szCs w:val="14"/>
          <w:color w:val="auto"/>
        </w:rPr>
        <w:t xml:space="preserve">, </w:t>
      </w:r>
      <w:hyperlink r:id="rId34">
        <w:r>
          <w:rPr>
            <w:rFonts w:ascii="Times New Roman" w:cs="Times New Roman" w:eastAsia="Times New Roman" w:hAnsi="Times New Roman"/>
            <w:sz w:val="14"/>
            <w:szCs w:val="14"/>
            <w:u w:val="single" w:color="auto"/>
            <w:color w:val="0000EE"/>
          </w:rPr>
          <w:t>June 18, 2025</w:t>
        </w:r>
      </w:hyperlink>
      <w:r>
        <w:rPr>
          <w:rFonts w:ascii="Times New Roman" w:cs="Times New Roman" w:eastAsia="Times New Roman" w:hAnsi="Times New Roman"/>
          <w:sz w:val="14"/>
          <w:szCs w:val="14"/>
          <w:color w:val="auto"/>
        </w:rPr>
        <w:t xml:space="preserve">, </w:t>
      </w:r>
      <w:hyperlink r:id="rId35">
        <w:r>
          <w:rPr>
            <w:rFonts w:ascii="Times New Roman" w:cs="Times New Roman" w:eastAsia="Times New Roman" w:hAnsi="Times New Roman"/>
            <w:sz w:val="14"/>
            <w:szCs w:val="14"/>
            <w:u w:val="single" w:color="auto"/>
            <w:color w:val="0000EE"/>
          </w:rPr>
          <w:t>July 3, 2025</w:t>
        </w:r>
      </w:hyperlink>
      <w:r>
        <w:rPr>
          <w:rFonts w:ascii="Times New Roman" w:cs="Times New Roman" w:eastAsia="Times New Roman" w:hAnsi="Times New Roman"/>
          <w:sz w:val="14"/>
          <w:szCs w:val="14"/>
          <w:color w:val="auto"/>
        </w:rPr>
        <w:t xml:space="preserve">, </w:t>
      </w:r>
      <w:hyperlink r:id="rId36">
        <w:r>
          <w:rPr>
            <w:rFonts w:ascii="Times New Roman" w:cs="Times New Roman" w:eastAsia="Times New Roman" w:hAnsi="Times New Roman"/>
            <w:sz w:val="14"/>
            <w:szCs w:val="14"/>
            <w:u w:val="single" w:color="auto"/>
            <w:color w:val="0000EE"/>
          </w:rPr>
          <w:t>August 4, 2025</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(solely with respect to Items 5.02 and 5.03 and Exhibit 3.1 thereto) and </w:t>
      </w:r>
      <w:hyperlink r:id="rId37">
        <w:r>
          <w:rPr>
            <w:rFonts w:ascii="Times New Roman" w:cs="Times New Roman" w:eastAsia="Times New Roman" w:hAnsi="Times New Roman"/>
            <w:sz w:val="14"/>
            <w:szCs w:val="14"/>
            <w:u w:val="single" w:color="auto"/>
            <w:color w:val="0000EE"/>
          </w:rPr>
          <w:t>October 14, 2025</w:t>
        </w:r>
      </w:hyperlink>
      <w:r>
        <w:rPr>
          <w:rFonts w:ascii="Times New Roman" w:cs="Times New Roman" w:eastAsia="Times New Roman" w:hAnsi="Times New Roman"/>
          <w:sz w:val="14"/>
          <w:szCs w:val="14"/>
          <w:color w:val="auto"/>
        </w:rPr>
        <w:t>; and</w:t>
      </w:r>
    </w:p>
    <w:p>
      <w:pPr>
        <w:spacing w:after="0" w:line="53" w:lineRule="exact"/>
        <w:rPr>
          <w:rFonts w:ascii="Times New Roman" w:cs="Times New Roman" w:eastAsia="Times New Roman" w:hAnsi="Times New Roman"/>
          <w:sz w:val="14"/>
          <w:szCs w:val="14"/>
          <w:color w:val="auto"/>
        </w:rPr>
      </w:pPr>
    </w:p>
    <w:p>
      <w:pPr>
        <w:ind w:left="580" w:right="259" w:hanging="258"/>
        <w:spacing w:after="0" w:line="259" w:lineRule="auto"/>
        <w:tabs>
          <w:tab w:leader="none" w:pos="5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incorporated by reference in our Registration Statement on </w:t>
      </w:r>
      <w:hyperlink r:id="rId38">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xml:space="preserve">, filed with the SEC on June 9, 2014, as amended by the description of the Registrant’s Common Stock contained in </w:t>
      </w:r>
      <w:hyperlink r:id="rId39">
        <w:r>
          <w:rPr>
            <w:rFonts w:ascii="Times New Roman" w:cs="Times New Roman" w:eastAsia="Times New Roman" w:hAnsi="Times New Roman"/>
            <w:sz w:val="14"/>
            <w:szCs w:val="14"/>
            <w:u w:val="single" w:color="auto"/>
            <w:color w:val="0000EE"/>
          </w:rPr>
          <w:t>Exhibit 4.4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the Registrant’s Annual Report on Form 10-K for the fiscal year ended December 31, 2020, filed on March 8, 2021, and any amendment or report filed with the SEC for the purpose of updating the description and any amendment or report filed with the SEC for the purpose of updating the description.</w:t>
      </w:r>
    </w:p>
    <w:p>
      <w:pPr>
        <w:spacing w:after="0" w:line="141" w:lineRule="exact"/>
        <w:rPr>
          <w:rFonts w:ascii="Times New Roman" w:cs="Times New Roman" w:eastAsia="Times New Roman" w:hAnsi="Times New Roman"/>
          <w:sz w:val="14"/>
          <w:szCs w:val="14"/>
          <w:color w:val="auto"/>
        </w:rPr>
      </w:pPr>
    </w:p>
    <w:p>
      <w:pPr>
        <w:jc w:val="both"/>
        <w:ind w:left="240" w:right="359" w:firstLine="341"/>
        <w:spacing w:after="0" w:line="265" w:lineRule="auto"/>
        <w:rPr>
          <w:sz w:val="20"/>
          <w:szCs w:val="20"/>
          <w:color w:val="auto"/>
        </w:rPr>
      </w:pPr>
      <w:r>
        <w:rPr>
          <w:rFonts w:ascii="Times New Roman" w:cs="Times New Roman" w:eastAsia="Times New Roman" w:hAnsi="Times New Roman"/>
          <w:sz w:val="14"/>
          <w:szCs w:val="14"/>
          <w:color w:val="auto"/>
        </w:rPr>
        <w:t>All reports and other documents we subsequently file pursuant to Sections 13(a), 13(c), 14 or 15(d) of the Exchange Act, prior to the termination of this offering, but excluding any information furnished to, rather than filed with, the SEC, will also be incorporated by reference into this prospectus supplement and deemed to be part of this prospectus supplement from the date of the filing of such reports and documents.</w:t>
      </w:r>
    </w:p>
    <w:p>
      <w:pPr>
        <w:spacing w:after="0" w:line="134" w:lineRule="exact"/>
        <w:rPr>
          <w:rFonts w:ascii="Times New Roman" w:cs="Times New Roman" w:eastAsia="Times New Roman" w:hAnsi="Times New Roman"/>
          <w:sz w:val="14"/>
          <w:szCs w:val="14"/>
          <w:color w:val="auto"/>
        </w:rPr>
      </w:pPr>
    </w:p>
    <w:p>
      <w:pPr>
        <w:jc w:val="both"/>
        <w:ind w:left="240" w:right="459" w:firstLine="341"/>
        <w:spacing w:after="0" w:line="266" w:lineRule="auto"/>
        <w:rPr>
          <w:sz w:val="20"/>
          <w:szCs w:val="20"/>
          <w:color w:val="auto"/>
        </w:rPr>
      </w:pPr>
      <w:r>
        <w:rPr>
          <w:rFonts w:ascii="Times New Roman" w:cs="Times New Roman" w:eastAsia="Times New Roman" w:hAnsi="Times New Roman"/>
          <w:sz w:val="14"/>
          <w:szCs w:val="14"/>
          <w:color w:val="auto"/>
        </w:rPr>
        <w:t xml:space="preserve">These documents may also be accessed on our website at </w:t>
      </w:r>
      <w:r>
        <w:rPr>
          <w:rFonts w:ascii="Times New Roman" w:cs="Times New Roman" w:eastAsia="Times New Roman" w:hAnsi="Times New Roman"/>
          <w:sz w:val="14"/>
          <w:szCs w:val="14"/>
          <w:i w:val="1"/>
          <w:iCs w:val="1"/>
          <w:color w:val="auto"/>
        </w:rPr>
        <w:t>www.ardelyx.com</w:t>
      </w:r>
      <w:r>
        <w:rPr>
          <w:rFonts w:ascii="Times New Roman" w:cs="Times New Roman" w:eastAsia="Times New Roman" w:hAnsi="Times New Roman"/>
          <w:sz w:val="14"/>
          <w:szCs w:val="14"/>
          <w:color w:val="auto"/>
        </w:rPr>
        <w:t>. Except as otherwise specifically incorporated by reference in this prospectus supplement and the accompanying prospectus, information contained in, or accessible through, our website is not a part of this prospectus supplement and the accompanying prospectus.</w:t>
      </w:r>
    </w:p>
    <w:p>
      <w:pPr>
        <w:spacing w:after="0" w:line="136" w:lineRule="exact"/>
        <w:rPr>
          <w:rFonts w:ascii="Times New Roman" w:cs="Times New Roman" w:eastAsia="Times New Roman" w:hAnsi="Times New Roman"/>
          <w:sz w:val="14"/>
          <w:szCs w:val="14"/>
          <w:color w:val="auto"/>
        </w:rPr>
      </w:pPr>
    </w:p>
    <w:p>
      <w:pPr>
        <w:ind w:left="240" w:right="359" w:firstLine="341"/>
        <w:spacing w:after="0" w:line="280" w:lineRule="auto"/>
        <w:rPr>
          <w:sz w:val="20"/>
          <w:szCs w:val="20"/>
          <w:color w:val="auto"/>
        </w:rPr>
      </w:pPr>
      <w:r>
        <w:rPr>
          <w:rFonts w:ascii="Times New Roman" w:cs="Times New Roman" w:eastAsia="Times New Roman" w:hAnsi="Times New Roman"/>
          <w:sz w:val="14"/>
          <w:szCs w:val="14"/>
          <w:color w:val="auto"/>
        </w:rPr>
        <w:t>You may request a free copy of any of the documents incorporated by reference in this prospectus supplement by writing or telephoning us at the following address:</w:t>
      </w:r>
    </w:p>
    <w:p>
      <w:pPr>
        <w:spacing w:after="0" w:line="12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Ardelyx, Inc.</w:t>
      </w:r>
    </w:p>
    <w:p>
      <w:pPr>
        <w:spacing w:after="0" w:line="21"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400 Fifth Avenue, Suite 210</w:t>
      </w:r>
    </w:p>
    <w:p>
      <w:pPr>
        <w:spacing w:after="0" w:line="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Waltham, MA 02451</w:t>
      </w:r>
    </w:p>
    <w:p>
      <w:pPr>
        <w:spacing w:after="0" w:line="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(510) 745-1700</w:t>
      </w:r>
    </w:p>
    <w:p>
      <w:pPr>
        <w:spacing w:after="0" w:line="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Attention: Chief Legal and Administrative Officer</w:t>
      </w:r>
    </w:p>
    <w:p>
      <w:pPr>
        <w:spacing w:after="0" w:line="159" w:lineRule="exact"/>
        <w:rPr>
          <w:rFonts w:ascii="Times New Roman" w:cs="Times New Roman" w:eastAsia="Times New Roman" w:hAnsi="Times New Roman"/>
          <w:sz w:val="14"/>
          <w:szCs w:val="14"/>
          <w:color w:val="auto"/>
        </w:rPr>
      </w:pPr>
    </w:p>
    <w:p>
      <w:pPr>
        <w:ind w:left="240" w:right="839" w:firstLine="341"/>
        <w:spacing w:after="0" w:line="280" w:lineRule="auto"/>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 supplement or any accompanying prospectus supplement.</w:t>
      </w:r>
    </w:p>
    <w:p>
      <w:pPr>
        <w:spacing w:after="0" w:line="74"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9019"/>
          </w:cols>
          <w:pgMar w:left="1440" w:top="334" w:right="1440"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page">
              <wp:posOffset>1069340</wp:posOffset>
            </wp:positionH>
            <wp:positionV relativeFrom="page">
              <wp:posOffset>181610</wp:posOffset>
            </wp:positionV>
            <wp:extent cx="5417185" cy="13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5417185" cy="13335"/>
                    </a:xfrm>
                    <a:prstGeom prst="rect">
                      <a:avLst/>
                    </a:prstGeom>
                    <a:noFill/>
                  </pic:spPr>
                </pic:pic>
              </a:graphicData>
            </a:graphic>
          </wp:anchor>
        </w:drawing>
        <w:drawing>
          <wp:anchor simplePos="0" relativeHeight="251657728" behindDoc="1" locked="0" layoutInCell="0" allowOverlap="1">
            <wp:simplePos x="0" y="0"/>
            <wp:positionH relativeFrom="page">
              <wp:posOffset>1069340</wp:posOffset>
            </wp:positionH>
            <wp:positionV relativeFrom="page">
              <wp:posOffset>221615</wp:posOffset>
            </wp:positionV>
            <wp:extent cx="5417185"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5417185" cy="6350"/>
                    </a:xfrm>
                    <a:prstGeom prst="rect">
                      <a:avLst/>
                    </a:prstGeom>
                    <a:noFill/>
                  </pic:spPr>
                </pic:pic>
              </a:graphicData>
            </a:graphic>
          </wp:anchor>
        </w:drawing>
        <w:drawing>
          <wp:anchor simplePos="0" relativeHeight="251657728" behindDoc="1" locked="0" layoutInCell="0" allowOverlap="1">
            <wp:simplePos x="0" y="0"/>
            <wp:positionH relativeFrom="page">
              <wp:posOffset>2184400</wp:posOffset>
            </wp:positionH>
            <wp:positionV relativeFrom="page">
              <wp:posOffset>739775</wp:posOffset>
            </wp:positionV>
            <wp:extent cx="3180080" cy="7302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3180080" cy="730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Up to $100,000,000</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1487805</wp:posOffset>
            </wp:positionV>
            <wp:extent cx="113538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197485</wp:posOffset>
            </wp:positionV>
            <wp:extent cx="113538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November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339725</wp:posOffset>
            </wp:positionV>
            <wp:extent cx="541718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5417185" cy="6350"/>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386080</wp:posOffset>
            </wp:positionV>
            <wp:extent cx="5417185" cy="133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5417185" cy="133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PART II</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8" w:lineRule="exact"/>
        <w:rPr>
          <w:sz w:val="20"/>
          <w:szCs w:val="20"/>
          <w:color w:val="auto"/>
        </w:rPr>
      </w:pPr>
    </w:p>
    <w:p>
      <w:pPr>
        <w:ind w:left="24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i w:val="1"/>
          <w:iCs w:val="1"/>
          <w:color w:val="auto"/>
        </w:rPr>
        <w:t>Other Expenses of Issuance and Distribution</w:t>
      </w:r>
    </w:p>
    <w:p>
      <w:pPr>
        <w:spacing w:after="0" w:line="92" w:lineRule="exact"/>
        <w:rPr>
          <w:sz w:val="20"/>
          <w:szCs w:val="20"/>
          <w:color w:val="auto"/>
        </w:rPr>
      </w:pPr>
    </w:p>
    <w:p>
      <w:pPr>
        <w:ind w:left="240" w:right="559" w:firstLine="341"/>
        <w:spacing w:after="0" w:line="280" w:lineRule="auto"/>
        <w:rPr>
          <w:sz w:val="20"/>
          <w:szCs w:val="20"/>
          <w:color w:val="auto"/>
        </w:rPr>
      </w:pPr>
      <w:r>
        <w:rPr>
          <w:rFonts w:ascii="Times New Roman" w:cs="Times New Roman" w:eastAsia="Times New Roman" w:hAnsi="Times New Roman"/>
          <w:sz w:val="14"/>
          <w:szCs w:val="14"/>
          <w:color w:val="auto"/>
        </w:rPr>
        <w:t>The following is an estimate of the expenses (all of which are to be paid by the registrant) that we may incur in connection with the securities being registered hereby.</w:t>
      </w:r>
    </w:p>
    <w:p>
      <w:pPr>
        <w:spacing w:after="0" w:line="162" w:lineRule="exact"/>
        <w:rPr>
          <w:sz w:val="20"/>
          <w:szCs w:val="20"/>
          <w:color w:val="auto"/>
        </w:rPr>
      </w:pPr>
    </w:p>
    <w:tbl>
      <w:tblPr>
        <w:tblLayout w:type="fixed"/>
        <w:tblInd w:w="12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and Exchange Commission “SEC” registration fee</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Financial Industry Regulatory Authority filing fee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Printing expenses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Blue Sky, qualification fees and expenses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Transfer agent fees and expenses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Trustee fees and expenses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 agent fees and expenses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114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580" w:right="259" w:hanging="342"/>
        <w:spacing w:after="0" w:line="254" w:lineRule="auto"/>
        <w:tabs>
          <w:tab w:leader="none" w:pos="5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Rules 456(b) and 457(r) under the Securities Act of 1933, as amended (the “Securities Act”), the SEC registration fee will be paid at the time of any particular offering of securities under the registration statement, and is therefore not currently determinable, other than with respect to the registration fees applicable to the offering of up to $100,000,000 of shares of common stock pursuant to the sales agreement prospectus supplement.</w:t>
      </w:r>
    </w:p>
    <w:p>
      <w:pPr>
        <w:spacing w:after="0" w:line="2" w:lineRule="exact"/>
        <w:rPr>
          <w:rFonts w:ascii="Times New Roman" w:cs="Times New Roman" w:eastAsia="Times New Roman" w:hAnsi="Times New Roman"/>
          <w:sz w:val="14"/>
          <w:szCs w:val="14"/>
          <w:color w:val="auto"/>
        </w:rPr>
      </w:pPr>
    </w:p>
    <w:p>
      <w:pPr>
        <w:ind w:left="580" w:hanging="342"/>
        <w:spacing w:after="0"/>
        <w:tabs>
          <w:tab w:leader="none" w:pos="5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fees are calculated based on the securities offered and the number of issuances and accordingly cannot be estimated at this time.</w:t>
      </w:r>
    </w:p>
    <w:p>
      <w:pPr>
        <w:spacing w:after="0" w:line="272" w:lineRule="exact"/>
        <w:rPr>
          <w:sz w:val="20"/>
          <w:szCs w:val="20"/>
          <w:color w:val="auto"/>
        </w:rPr>
      </w:pPr>
    </w:p>
    <w:p>
      <w:pPr>
        <w:ind w:left="24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i w:val="1"/>
          <w:iCs w:val="1"/>
          <w:color w:val="auto"/>
        </w:rPr>
        <w:t>Indemnification of Directors and Officers</w:t>
      </w:r>
    </w:p>
    <w:p>
      <w:pPr>
        <w:spacing w:after="0" w:line="92" w:lineRule="exact"/>
        <w:rPr>
          <w:sz w:val="20"/>
          <w:szCs w:val="20"/>
          <w:color w:val="auto"/>
        </w:rPr>
      </w:pPr>
    </w:p>
    <w:p>
      <w:pPr>
        <w:ind w:left="240" w:right="259"/>
        <w:spacing w:after="0" w:line="253" w:lineRule="auto"/>
        <w:rPr>
          <w:sz w:val="20"/>
          <w:szCs w:val="20"/>
          <w:color w:val="auto"/>
        </w:rPr>
      </w:pPr>
      <w:r>
        <w:rPr>
          <w:rFonts w:ascii="Times New Roman" w:cs="Times New Roman" w:eastAsia="Times New Roman" w:hAnsi="Times New Roman"/>
          <w:sz w:val="14"/>
          <w:szCs w:val="14"/>
          <w:color w:val="auto"/>
        </w:rPr>
        <w:t>Subsection (a) of Section 145 of the Delaware General Corporation Law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48" w:lineRule="exact"/>
        <w:rPr>
          <w:sz w:val="20"/>
          <w:szCs w:val="20"/>
          <w:color w:val="auto"/>
        </w:rPr>
      </w:pPr>
    </w:p>
    <w:p>
      <w:pPr>
        <w:ind w:left="240" w:right="259"/>
        <w:spacing w:after="0" w:line="253" w:lineRule="auto"/>
        <w:rPr>
          <w:sz w:val="20"/>
          <w:szCs w:val="20"/>
          <w:color w:val="auto"/>
        </w:rPr>
      </w:pPr>
      <w:r>
        <w:rPr>
          <w:rFonts w:ascii="Times New Roman" w:cs="Times New Roman" w:eastAsia="Times New Roman" w:hAnsi="Times New Roman"/>
          <w:sz w:val="14"/>
          <w:szCs w:val="14"/>
          <w:color w:val="auto"/>
        </w:rPr>
        <w:t>Subsection (b) of Section 145 of the DGCL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9019"/>
          </w:cols>
          <w:pgMar w:left="1440" w:top="238" w:right="1440" w:bottom="1440" w:gutter="0" w:footer="0" w:header="0"/>
        </w:sectPr>
      </w:pPr>
    </w:p>
    <w:bookmarkStart w:id="48" w:name="page49"/>
    <w:bookmarkEnd w:id="48"/>
    <w:p>
      <w:pPr>
        <w:ind w:left="240" w:right="25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145 of the DGCL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50" w:lineRule="exact"/>
        <w:rPr>
          <w:sz w:val="20"/>
          <w:szCs w:val="20"/>
          <w:color w:val="auto"/>
        </w:rPr>
      </w:pPr>
    </w:p>
    <w:p>
      <w:pPr>
        <w:ind w:left="240" w:right="299"/>
        <w:spacing w:after="0" w:line="255" w:lineRule="auto"/>
        <w:rPr>
          <w:sz w:val="20"/>
          <w:szCs w:val="20"/>
          <w:color w:val="auto"/>
        </w:rPr>
      </w:pPr>
      <w:r>
        <w:rPr>
          <w:rFonts w:ascii="Times New Roman" w:cs="Times New Roman" w:eastAsia="Times New Roman" w:hAnsi="Times New Roman"/>
          <w:sz w:val="14"/>
          <w:szCs w:val="14"/>
          <w:color w:val="auto"/>
        </w:rPr>
        <w:t>Section 102 of the DGCL permits a corporation to eliminate the personal liability of directors and officers of a corporation to the corporation or its stockholders for monetary damages for a breach of fiduciary duty as a director or officer, except where the director or officer breached his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contains a provision eliminating the personal liability of directors to us and our stockholders for monetary damages for breach of fiduciary duty as a director to the fullest extent permitted by the DGCL.</w:t>
      </w:r>
    </w:p>
    <w:p>
      <w:pPr>
        <w:spacing w:after="0" w:line="145" w:lineRule="exact"/>
        <w:rPr>
          <w:sz w:val="20"/>
          <w:szCs w:val="20"/>
          <w:color w:val="auto"/>
        </w:rPr>
      </w:pPr>
    </w:p>
    <w:p>
      <w:pPr>
        <w:jc w:val="both"/>
        <w:ind w:left="240" w:right="779"/>
        <w:spacing w:after="0" w:line="265" w:lineRule="auto"/>
        <w:rPr>
          <w:sz w:val="20"/>
          <w:szCs w:val="20"/>
          <w:color w:val="auto"/>
        </w:rPr>
      </w:pPr>
      <w:r>
        <w:rPr>
          <w:rFonts w:ascii="Times New Roman" w:cs="Times New Roman" w:eastAsia="Times New Roman" w:hAnsi="Times New Roman"/>
          <w:sz w:val="14"/>
          <w:szCs w:val="14"/>
          <w:color w:val="auto"/>
        </w:rPr>
        <w:t>Any underwriting agreement or distribution agreement that we enter into with any underwriters or agents involved in the offering or sale of any securities registered hereby may require such underwriters or dealers to indemnify the registrant, some or all of its directors and officers and its controlling persons, if any, for specified liabilities, which may include liabilities under the Securities Act.</w:t>
      </w:r>
    </w:p>
    <w:p>
      <w:pPr>
        <w:spacing w:after="0" w:line="136" w:lineRule="exact"/>
        <w:rPr>
          <w:sz w:val="20"/>
          <w:szCs w:val="20"/>
          <w:color w:val="auto"/>
        </w:rPr>
      </w:pPr>
    </w:p>
    <w:p>
      <w:pPr>
        <w:ind w:left="240" w:right="339"/>
        <w:spacing w:after="0" w:line="277" w:lineRule="auto"/>
        <w:rPr>
          <w:sz w:val="20"/>
          <w:szCs w:val="20"/>
          <w:color w:val="auto"/>
        </w:rPr>
      </w:pPr>
      <w:r>
        <w:rPr>
          <w:rFonts w:ascii="Times New Roman" w:cs="Times New Roman" w:eastAsia="Times New Roman" w:hAnsi="Times New Roman"/>
          <w:sz w:val="13"/>
          <w:szCs w:val="13"/>
          <w:color w:val="auto"/>
        </w:rPr>
        <w:t>Our amended and restated certificate of incorporation and our amended and restated bylaws provide for the indemnification provisions described above and elsewhere herein. 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9019"/>
          </w:cols>
          <w:pgMar w:left="1440" w:top="240" w:right="1440" w:bottom="1440" w:gutter="0" w:footer="0" w:header="0"/>
        </w:sectPr>
      </w:pPr>
    </w:p>
    <w:bookmarkStart w:id="49" w:name="page50"/>
    <w:bookmarkEnd w:id="49"/>
    <w:p>
      <w:pPr>
        <w:ind w:left="24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Item 16.</w:t>
      </w:r>
      <w:r>
        <w:rPr>
          <w:sz w:val="20"/>
          <w:szCs w:val="20"/>
          <w:color w:val="auto"/>
        </w:rPr>
        <w:tab/>
      </w:r>
      <w:r>
        <w:rPr>
          <w:rFonts w:ascii="Times New Roman" w:cs="Times New Roman" w:eastAsia="Times New Roman" w:hAnsi="Times New Roman"/>
          <w:sz w:val="14"/>
          <w:szCs w:val="14"/>
          <w:b w:val="1"/>
          <w:bCs w:val="1"/>
          <w:i w:val="1"/>
          <w:iCs w:val="1"/>
          <w:color w:val="auto"/>
        </w:rPr>
        <w:t>Exhibits</w:t>
      </w:r>
    </w:p>
    <w:p>
      <w:pPr>
        <w:spacing w:after="0" w:line="192"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1"/>
          <w:szCs w:val="11"/>
          <w:b w:val="1"/>
          <w:bCs w:val="1"/>
          <w:color w:val="auto"/>
        </w:rPr>
        <w:t>Incorporated by</w:t>
      </w:r>
    </w:p>
    <w:p>
      <w:pPr>
        <w:jc w:val="center"/>
        <w:ind w:left="6180"/>
        <w:spacing w:after="0" w:line="222" w:lineRule="auto"/>
        <w:rPr>
          <w:sz w:val="20"/>
          <w:szCs w:val="20"/>
          <w:color w:val="auto"/>
        </w:rPr>
      </w:pPr>
      <w:r>
        <w:rPr>
          <w:rFonts w:ascii="Times New Roman" w:cs="Times New Roman" w:eastAsia="Times New Roman" w:hAnsi="Times New Roman"/>
          <w:sz w:val="11"/>
          <w:szCs w:val="11"/>
          <w:b w:val="1"/>
          <w:bCs w:val="1"/>
          <w:color w:val="auto"/>
        </w:rPr>
        <w:t>Reference</w:t>
      </w:r>
    </w:p>
    <w:tbl>
      <w:tblPr>
        <w:tblLayout w:type="fixed"/>
        <w:tblInd w:w="240" w:type="dxa"/>
        <w:tblCellMar>
          <w:top w:w="0" w:type="dxa"/>
          <w:left w:w="0" w:type="dxa"/>
          <w:bottom w:w="0" w:type="dxa"/>
          <w:right w:w="0" w:type="dxa"/>
        </w:tblCellMar>
      </w:tblPr>
      <w:tr>
        <w:trPr>
          <w:trHeight w:val="90"/>
        </w:trPr>
        <w:tc>
          <w:tcPr>
            <w:tcW w:w="760" w:type="dxa"/>
            <w:vAlign w:val="bottom"/>
            <w:gridSpan w:val="2"/>
          </w:tcPr>
          <w:p>
            <w:pPr>
              <w:jc w:val="center"/>
              <w:ind w:right="180"/>
              <w:spacing w:after="0" w:line="91" w:lineRule="exact"/>
              <w:rPr>
                <w:sz w:val="20"/>
                <w:szCs w:val="20"/>
                <w:color w:val="auto"/>
              </w:rPr>
            </w:pPr>
            <w:r>
              <w:rPr>
                <w:rFonts w:ascii="Times New Roman" w:cs="Times New Roman" w:eastAsia="Times New Roman" w:hAnsi="Times New Roman"/>
                <w:sz w:val="10"/>
                <w:szCs w:val="10"/>
                <w:b w:val="1"/>
                <w:bCs w:val="1"/>
                <w:color w:val="auto"/>
              </w:rPr>
              <w:t>Exhibit</w:t>
            </w:r>
          </w:p>
        </w:tc>
        <w:tc>
          <w:tcPr>
            <w:tcW w:w="5300" w:type="dxa"/>
            <w:vAlign w:val="bottom"/>
            <w:vMerge w:val="restart"/>
          </w:tcPr>
          <w:p>
            <w:pPr>
              <w:ind w:left="218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180" w:type="dxa"/>
            <w:vAlign w:val="bottom"/>
            <w:vMerge w:val="restart"/>
          </w:tcPr>
          <w:p>
            <w:pPr>
              <w:spacing w:after="0"/>
              <w:rPr>
                <w:sz w:val="7"/>
                <w:szCs w:val="7"/>
                <w:color w:val="auto"/>
              </w:rPr>
            </w:pPr>
          </w:p>
        </w:tc>
        <w:tc>
          <w:tcPr>
            <w:tcW w:w="3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Form</w:t>
            </w:r>
          </w:p>
        </w:tc>
        <w:tc>
          <w:tcPr>
            <w:tcW w:w="180" w:type="dxa"/>
            <w:vAlign w:val="bottom"/>
            <w:tcBorders>
              <w:top w:val="single" w:sz="8" w:color="auto"/>
            </w:tcBorders>
            <w:vMerge w:val="restart"/>
          </w:tcPr>
          <w:p>
            <w:pPr>
              <w:spacing w:after="0"/>
              <w:rPr>
                <w:sz w:val="7"/>
                <w:szCs w:val="7"/>
                <w:color w:val="auto"/>
              </w:rPr>
            </w:pPr>
          </w:p>
        </w:tc>
        <w:tc>
          <w:tcPr>
            <w:tcW w:w="58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Date</w:t>
            </w:r>
          </w:p>
        </w:tc>
        <w:tc>
          <w:tcPr>
            <w:tcW w:w="1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ind w:left="100"/>
              <w:spacing w:after="0" w:line="91" w:lineRule="exact"/>
              <w:rPr>
                <w:sz w:val="20"/>
                <w:szCs w:val="20"/>
                <w:color w:val="auto"/>
              </w:rPr>
            </w:pPr>
            <w:r>
              <w:rPr>
                <w:rFonts w:ascii="Times New Roman" w:cs="Times New Roman" w:eastAsia="Times New Roman" w:hAnsi="Times New Roman"/>
                <w:sz w:val="10"/>
                <w:szCs w:val="10"/>
                <w:b w:val="1"/>
                <w:bCs w:val="1"/>
                <w:color w:val="auto"/>
              </w:rPr>
              <w:t>Filed</w:t>
            </w:r>
          </w:p>
        </w:tc>
        <w:tc>
          <w:tcPr>
            <w:tcW w:w="0" w:type="dxa"/>
            <w:vAlign w:val="bottom"/>
          </w:tcPr>
          <w:p>
            <w:pPr>
              <w:spacing w:after="0"/>
              <w:rPr>
                <w:sz w:val="1"/>
                <w:szCs w:val="1"/>
                <w:color w:val="auto"/>
              </w:rPr>
            </w:pPr>
          </w:p>
        </w:tc>
      </w:tr>
      <w:tr>
        <w:trPr>
          <w:trHeight w:val="136"/>
        </w:trPr>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Number</w:t>
            </w:r>
          </w:p>
        </w:tc>
        <w:tc>
          <w:tcPr>
            <w:tcW w:w="180" w:type="dxa"/>
            <w:vAlign w:val="bottom"/>
          </w:tcPr>
          <w:p>
            <w:pPr>
              <w:spacing w:after="0"/>
              <w:rPr>
                <w:sz w:val="11"/>
                <w:szCs w:val="11"/>
                <w:color w:val="auto"/>
              </w:rPr>
            </w:pPr>
          </w:p>
        </w:tc>
        <w:tc>
          <w:tcPr>
            <w:tcW w:w="530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180" w:type="dxa"/>
            <w:vAlign w:val="bottom"/>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Number   Herewith</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00" w:hanging="62"/>
        <w:spacing w:after="0"/>
        <w:tabs>
          <w:tab w:leader="none" w:pos="30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1.1*</w:t>
      </w:r>
      <w:r>
        <w:rPr>
          <w:rFonts w:ascii="Times New Roman" w:cs="Times New Roman" w:eastAsia="Times New Roman" w:hAnsi="Times New Roman"/>
          <w:sz w:val="13"/>
          <w:szCs w:val="13"/>
          <w:color w:val="auto"/>
        </w:rPr>
        <w:t>Form of Underwriting Agreement.</w:t>
      </w:r>
    </w:p>
    <w:p>
      <w:pPr>
        <w:spacing w:after="0" w:line="66" w:lineRule="exact"/>
        <w:rPr>
          <w:rFonts w:ascii="Times New Roman" w:cs="Times New Roman" w:eastAsia="Times New Roman" w:hAnsi="Times New Roman"/>
          <w:sz w:val="12"/>
          <w:szCs w:val="12"/>
          <w:color w:val="auto"/>
        </w:rPr>
      </w:pPr>
    </w:p>
    <w:p>
      <w:pPr>
        <w:ind w:left="300" w:hanging="62"/>
        <w:spacing w:after="0"/>
        <w:tabs>
          <w:tab w:leader="none" w:pos="30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1.2</w:t>
      </w:r>
      <w:r>
        <w:rPr>
          <w:rFonts w:ascii="Times New Roman" w:cs="Times New Roman" w:eastAsia="Times New Roman" w:hAnsi="Times New Roman"/>
          <w:sz w:val="13"/>
          <w:szCs w:val="13"/>
          <w:u w:val="single" w:color="auto"/>
          <w:color w:val="0000EE"/>
        </w:rPr>
        <w:t>Open Market Sale Agreement</w:t>
      </w:r>
      <w:r>
        <w:rPr>
          <w:rFonts w:ascii="Times New Roman" w:cs="Times New Roman" w:eastAsia="Times New Roman" w:hAnsi="Times New Roman"/>
          <w:sz w:val="19"/>
          <w:szCs w:val="19"/>
          <w:u w:val="single" w:color="auto"/>
          <w:color w:val="0000EE"/>
          <w:vertAlign w:val="superscript"/>
        </w:rPr>
        <w:t>SM</w:t>
      </w:r>
      <w:r>
        <w:rPr>
          <w:rFonts w:ascii="Times New Roman" w:cs="Times New Roman" w:eastAsia="Times New Roman" w:hAnsi="Times New Roman"/>
          <w:sz w:val="13"/>
          <w:szCs w:val="13"/>
          <w:u w:val="single" w:color="auto"/>
          <w:color w:val="0000EE"/>
        </w:rPr>
        <w:t>, dated November 3, 2025, by and between Ardelyx, Inc. and</w:t>
      </w:r>
    </w:p>
    <w:tbl>
      <w:tblPr>
        <w:tblLayout w:type="fixed"/>
        <w:tblInd w:w="240" w:type="dxa"/>
        <w:tblCellMar>
          <w:top w:w="0" w:type="dxa"/>
          <w:left w:w="0" w:type="dxa"/>
          <w:bottom w:w="0" w:type="dxa"/>
          <w:right w:w="0" w:type="dxa"/>
        </w:tblCellMar>
      </w:tblPr>
      <w:tr>
        <w:trPr>
          <w:trHeight w:val="135"/>
        </w:trPr>
        <w:tc>
          <w:tcPr>
            <w:tcW w:w="760" w:type="dxa"/>
            <w:vAlign w:val="bottom"/>
          </w:tcPr>
          <w:p>
            <w:pPr>
              <w:spacing w:after="0"/>
              <w:rPr>
                <w:sz w:val="11"/>
                <w:szCs w:val="11"/>
                <w:color w:val="auto"/>
              </w:rPr>
            </w:pPr>
          </w:p>
        </w:tc>
        <w:tc>
          <w:tcPr>
            <w:tcW w:w="800" w:type="dxa"/>
            <w:vAlign w:val="bottom"/>
            <w:tcBorders>
              <w:bottom w:val="single" w:sz="8" w:color="0000EE"/>
            </w:tcBorders>
          </w:tcPr>
          <w:p>
            <w:pPr>
              <w:spacing w:after="0" w:line="135" w:lineRule="exact"/>
              <w:rPr>
                <w:sz w:val="20"/>
                <w:szCs w:val="20"/>
                <w:color w:val="auto"/>
              </w:rPr>
            </w:pPr>
            <w:r>
              <w:rPr>
                <w:rFonts w:ascii="Times New Roman" w:cs="Times New Roman" w:eastAsia="Times New Roman" w:hAnsi="Times New Roman"/>
                <w:sz w:val="14"/>
                <w:szCs w:val="14"/>
                <w:color w:val="0000EE"/>
                <w:w w:val="96"/>
              </w:rPr>
              <w:t>Jefferies LLC.</w:t>
            </w:r>
          </w:p>
        </w:tc>
        <w:tc>
          <w:tcPr>
            <w:tcW w:w="4200" w:type="dxa"/>
            <w:vAlign w:val="bottom"/>
            <w:gridSpan w:val="6"/>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jc w:val="right"/>
              <w:spacing w:after="0" w:line="135" w:lineRule="exact"/>
              <w:rPr>
                <w:sz w:val="20"/>
                <w:szCs w:val="20"/>
                <w:color w:val="auto"/>
              </w:rPr>
            </w:pPr>
            <w:r>
              <w:rPr>
                <w:rFonts w:ascii="Times New Roman" w:cs="Times New Roman" w:eastAsia="Times New Roman" w:hAnsi="Times New Roman"/>
                <w:sz w:val="14"/>
                <w:szCs w:val="14"/>
                <w:color w:val="auto"/>
              </w:rPr>
              <w:t>X</w:t>
            </w:r>
          </w:p>
        </w:tc>
      </w:tr>
      <w:tr>
        <w:trPr>
          <w:trHeight w:val="23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3.1</w:t>
            </w:r>
          </w:p>
        </w:tc>
        <w:tc>
          <w:tcPr>
            <w:tcW w:w="5000" w:type="dxa"/>
            <w:vAlign w:val="bottom"/>
            <w:gridSpan w:val="7"/>
          </w:tcPr>
          <w:p>
            <w:pPr>
              <w:spacing w:after="0"/>
              <w:rPr>
                <w:rFonts w:ascii="Times New Roman" w:cs="Times New Roman" w:eastAsia="Times New Roman" w:hAnsi="Times New Roman"/>
                <w:sz w:val="14"/>
                <w:szCs w:val="14"/>
                <w:color w:val="0000EE"/>
              </w:rPr>
            </w:pPr>
            <w:hyperlink r:id="rId94">
              <w:r>
                <w:rPr>
                  <w:rFonts w:ascii="Times New Roman" w:cs="Times New Roman" w:eastAsia="Times New Roman" w:hAnsi="Times New Roman"/>
                  <w:sz w:val="14"/>
                  <w:szCs w:val="14"/>
                  <w:color w:val="0000EE"/>
                </w:rPr>
                <w:t>Amended and Restated Certificate of Incorporation.</w:t>
              </w:r>
            </w:hyperlink>
          </w:p>
        </w:tc>
        <w:tc>
          <w:tcPr>
            <w:tcW w:w="880" w:type="dxa"/>
            <w:vAlign w:val="bottom"/>
          </w:tcPr>
          <w:p>
            <w:pPr>
              <w:jc w:val="center"/>
              <w:ind w:left="310"/>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6/24/2014</w:t>
            </w:r>
          </w:p>
        </w:tc>
        <w:tc>
          <w:tcPr>
            <w:tcW w:w="104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3.1</w:t>
            </w:r>
          </w:p>
        </w:tc>
      </w:tr>
      <w:tr>
        <w:trPr>
          <w:trHeight w:val="20"/>
        </w:trPr>
        <w:tc>
          <w:tcPr>
            <w:tcW w:w="7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3.2</w:t>
            </w:r>
          </w:p>
        </w:tc>
        <w:tc>
          <w:tcPr>
            <w:tcW w:w="5000" w:type="dxa"/>
            <w:vAlign w:val="bottom"/>
            <w:gridSpan w:val="7"/>
          </w:tcPr>
          <w:p>
            <w:pPr>
              <w:spacing w:after="0"/>
              <w:rPr>
                <w:rFonts w:ascii="Times New Roman" w:cs="Times New Roman" w:eastAsia="Times New Roman" w:hAnsi="Times New Roman"/>
                <w:sz w:val="14"/>
                <w:szCs w:val="14"/>
                <w:color w:val="0000EE"/>
              </w:rPr>
            </w:pPr>
            <w:hyperlink r:id="rId95">
              <w:r>
                <w:rPr>
                  <w:rFonts w:ascii="Times New Roman" w:cs="Times New Roman" w:eastAsia="Times New Roman" w:hAnsi="Times New Roman"/>
                  <w:sz w:val="14"/>
                  <w:szCs w:val="14"/>
                  <w:color w:val="0000EE"/>
                </w:rPr>
                <w:t>Certificate of Amendment to Amended and Restated Certificate of Incorporation.</w:t>
              </w:r>
            </w:hyperlink>
          </w:p>
        </w:tc>
        <w:tc>
          <w:tcPr>
            <w:tcW w:w="880" w:type="dxa"/>
            <w:vAlign w:val="bottom"/>
          </w:tcPr>
          <w:p>
            <w:pPr>
              <w:jc w:val="center"/>
              <w:ind w:left="310"/>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6/20/2023</w:t>
            </w:r>
          </w:p>
        </w:tc>
        <w:tc>
          <w:tcPr>
            <w:tcW w:w="104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3.1</w:t>
            </w:r>
          </w:p>
        </w:tc>
      </w:tr>
      <w:tr>
        <w:trPr>
          <w:trHeight w:val="23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3.3</w:t>
            </w:r>
          </w:p>
        </w:tc>
        <w:tc>
          <w:tcPr>
            <w:tcW w:w="22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4"/>
                <w:szCs w:val="14"/>
                <w:color w:val="0000EE"/>
                <w:w w:val="98"/>
              </w:rPr>
            </w:pPr>
            <w:hyperlink r:id="rId96">
              <w:r>
                <w:rPr>
                  <w:rFonts w:ascii="Times New Roman" w:cs="Times New Roman" w:eastAsia="Times New Roman" w:hAnsi="Times New Roman"/>
                  <w:sz w:val="14"/>
                  <w:szCs w:val="14"/>
                  <w:color w:val="0000EE"/>
                  <w:w w:val="98"/>
                </w:rPr>
                <w:t>Second Amended and Restated Bylaws.</w:t>
              </w:r>
            </w:hyperlink>
          </w:p>
        </w:tc>
        <w:tc>
          <w:tcPr>
            <w:tcW w:w="2300" w:type="dxa"/>
            <w:vAlign w:val="bottom"/>
            <w:tcBorders>
              <w:top w:val="single" w:sz="8" w:color="0000EE"/>
            </w:tcBorders>
            <w:gridSpan w:val="2"/>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center"/>
              <w:ind w:left="310"/>
              <w:spacing w:after="0"/>
              <w:rPr>
                <w:sz w:val="20"/>
                <w:szCs w:val="20"/>
                <w:color w:val="auto"/>
              </w:rPr>
            </w:pPr>
            <w:r>
              <w:rPr>
                <w:rFonts w:ascii="Times New Roman" w:cs="Times New Roman" w:eastAsia="Times New Roman" w:hAnsi="Times New Roman"/>
                <w:sz w:val="14"/>
                <w:szCs w:val="14"/>
                <w:color w:val="auto"/>
              </w:rPr>
              <w:t>8-K</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8/4/2025</w:t>
            </w:r>
          </w:p>
        </w:tc>
        <w:tc>
          <w:tcPr>
            <w:tcW w:w="104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3.1</w:t>
            </w:r>
          </w:p>
        </w:tc>
      </w:tr>
      <w:tr>
        <w:trPr>
          <w:trHeight w:val="23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4.1</w:t>
            </w:r>
          </w:p>
        </w:tc>
        <w:tc>
          <w:tcPr>
            <w:tcW w:w="5000" w:type="dxa"/>
            <w:vAlign w:val="bottom"/>
            <w:gridSpan w:val="7"/>
          </w:tcPr>
          <w:p>
            <w:pPr>
              <w:spacing w:after="0"/>
              <w:rPr>
                <w:rFonts w:ascii="Times New Roman" w:cs="Times New Roman" w:eastAsia="Times New Roman" w:hAnsi="Times New Roman"/>
                <w:sz w:val="14"/>
                <w:szCs w:val="14"/>
                <w:color w:val="0000EE"/>
              </w:rPr>
            </w:pPr>
            <w:hyperlink r:id="rId97">
              <w:r>
                <w:rPr>
                  <w:rFonts w:ascii="Times New Roman" w:cs="Times New Roman" w:eastAsia="Times New Roman" w:hAnsi="Times New Roman"/>
                  <w:sz w:val="14"/>
                  <w:szCs w:val="14"/>
                  <w:color w:val="0000EE"/>
                </w:rPr>
                <w:t>Form of Common Stock Certificate.</w:t>
              </w:r>
            </w:hyperlink>
          </w:p>
        </w:tc>
        <w:tc>
          <w:tcPr>
            <w:tcW w:w="880" w:type="dxa"/>
            <w:vAlign w:val="bottom"/>
          </w:tcPr>
          <w:p>
            <w:pPr>
              <w:jc w:val="center"/>
              <w:ind w:left="330"/>
              <w:spacing w:after="0"/>
              <w:rPr>
                <w:sz w:val="20"/>
                <w:szCs w:val="20"/>
                <w:color w:val="auto"/>
              </w:rPr>
            </w:pPr>
            <w:r>
              <w:rPr>
                <w:rFonts w:ascii="Times New Roman" w:cs="Times New Roman" w:eastAsia="Times New Roman" w:hAnsi="Times New Roman"/>
                <w:sz w:val="14"/>
                <w:szCs w:val="14"/>
                <w:color w:val="auto"/>
                <w:w w:val="95"/>
              </w:rPr>
              <w:t>S-1/A</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6/18/2014</w:t>
            </w:r>
          </w:p>
        </w:tc>
        <w:tc>
          <w:tcPr>
            <w:tcW w:w="104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4.2</w:t>
            </w:r>
          </w:p>
        </w:tc>
      </w:tr>
      <w:tr>
        <w:trPr>
          <w:trHeight w:val="23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4.2</w:t>
            </w:r>
          </w:p>
        </w:tc>
        <w:tc>
          <w:tcPr>
            <w:tcW w:w="20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Form of Indenture.</w:t>
            </w:r>
          </w:p>
        </w:tc>
        <w:tc>
          <w:tcPr>
            <w:tcW w:w="3000" w:type="dxa"/>
            <w:vAlign w:val="bottom"/>
            <w:gridSpan w:val="4"/>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X</w:t>
            </w:r>
          </w:p>
        </w:tc>
      </w:tr>
      <w:tr>
        <w:trPr>
          <w:trHeight w:val="20"/>
        </w:trPr>
        <w:tc>
          <w:tcPr>
            <w:tcW w:w="7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90" w:lineRule="exact"/>
        <w:rPr>
          <w:sz w:val="20"/>
          <w:szCs w:val="20"/>
          <w:color w:val="auto"/>
        </w:rPr>
      </w:pPr>
    </w:p>
    <w:p>
      <w:pPr>
        <w:ind w:left="300" w:hanging="62"/>
        <w:spacing w:after="0"/>
        <w:tabs>
          <w:tab w:leader="none" w:pos="30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4.3*</w:t>
      </w:r>
      <w:r>
        <w:rPr>
          <w:rFonts w:ascii="Times New Roman" w:cs="Times New Roman" w:eastAsia="Times New Roman" w:hAnsi="Times New Roman"/>
          <w:sz w:val="13"/>
          <w:szCs w:val="13"/>
          <w:color w:val="auto"/>
        </w:rPr>
        <w:t>Form of Note.</w:t>
      </w:r>
    </w:p>
    <w:p>
      <w:pPr>
        <w:spacing w:after="0" w:line="101" w:lineRule="exact"/>
        <w:rPr>
          <w:rFonts w:ascii="Times New Roman" w:cs="Times New Roman" w:eastAsia="Times New Roman" w:hAnsi="Times New Roman"/>
          <w:sz w:val="12"/>
          <w:szCs w:val="12"/>
          <w:color w:val="auto"/>
        </w:rPr>
      </w:pPr>
    </w:p>
    <w:p>
      <w:pPr>
        <w:ind w:left="300" w:hanging="62"/>
        <w:spacing w:after="0"/>
        <w:tabs>
          <w:tab w:leader="none" w:pos="30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4.4*</w:t>
      </w:r>
      <w:r>
        <w:rPr>
          <w:rFonts w:ascii="Times New Roman" w:cs="Times New Roman" w:eastAsia="Times New Roman" w:hAnsi="Times New Roman"/>
          <w:sz w:val="13"/>
          <w:szCs w:val="13"/>
          <w:color w:val="auto"/>
        </w:rPr>
        <w:t>Form of Warrant.</w:t>
      </w:r>
    </w:p>
    <w:p>
      <w:pPr>
        <w:spacing w:after="0" w:line="101" w:lineRule="exact"/>
        <w:rPr>
          <w:rFonts w:ascii="Times New Roman" w:cs="Times New Roman" w:eastAsia="Times New Roman" w:hAnsi="Times New Roman"/>
          <w:sz w:val="12"/>
          <w:szCs w:val="12"/>
          <w:color w:val="auto"/>
        </w:rPr>
      </w:pPr>
    </w:p>
    <w:p>
      <w:pPr>
        <w:ind w:left="300" w:hanging="62"/>
        <w:spacing w:after="0"/>
        <w:tabs>
          <w:tab w:leader="none" w:pos="30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4.5*</w:t>
      </w:r>
      <w:r>
        <w:rPr>
          <w:rFonts w:ascii="Times New Roman" w:cs="Times New Roman" w:eastAsia="Times New Roman" w:hAnsi="Times New Roman"/>
          <w:sz w:val="13"/>
          <w:szCs w:val="13"/>
          <w:color w:val="auto"/>
        </w:rPr>
        <w:t>Form of Warrant Agreement.</w:t>
      </w:r>
    </w:p>
    <w:p>
      <w:pPr>
        <w:spacing w:after="0" w:line="101" w:lineRule="exact"/>
        <w:rPr>
          <w:rFonts w:ascii="Times New Roman" w:cs="Times New Roman" w:eastAsia="Times New Roman" w:hAnsi="Times New Roman"/>
          <w:sz w:val="12"/>
          <w:szCs w:val="12"/>
          <w:color w:val="auto"/>
        </w:rPr>
      </w:pPr>
    </w:p>
    <w:p>
      <w:pPr>
        <w:ind w:left="300" w:hanging="62"/>
        <w:spacing w:after="0"/>
        <w:tabs>
          <w:tab w:leader="none" w:pos="30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4.6*</w:t>
      </w:r>
      <w:r>
        <w:rPr>
          <w:rFonts w:ascii="Times New Roman" w:cs="Times New Roman" w:eastAsia="Times New Roman" w:hAnsi="Times New Roman"/>
          <w:sz w:val="13"/>
          <w:szCs w:val="13"/>
          <w:color w:val="auto"/>
        </w:rPr>
        <w:t>Form of Unit Agreement.</w:t>
      </w:r>
    </w:p>
    <w:p>
      <w:pPr>
        <w:spacing w:after="0" w:line="9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5.1</w:t>
            </w:r>
          </w:p>
        </w:tc>
        <w:tc>
          <w:tcPr>
            <w:tcW w:w="20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7"/>
              </w:rPr>
              <w:t>Opinion of Latham &amp; Watkins LLP.</w:t>
            </w:r>
          </w:p>
        </w:tc>
        <w:tc>
          <w:tcPr>
            <w:tcW w:w="4020" w:type="dxa"/>
            <w:vAlign w:val="bottom"/>
            <w:gridSpan w:val="4"/>
          </w:tcPr>
          <w:p>
            <w:pPr>
              <w:spacing w:after="0"/>
              <w:rPr>
                <w:sz w:val="13"/>
                <w:szCs w:val="13"/>
                <w:color w:val="auto"/>
              </w:rPr>
            </w:pPr>
          </w:p>
        </w:tc>
        <w:tc>
          <w:tcPr>
            <w:tcW w:w="1700" w:type="dxa"/>
            <w:vAlign w:val="bottom"/>
          </w:tcPr>
          <w:p>
            <w:pPr>
              <w:ind w:left="1600"/>
              <w:spacing w:after="0"/>
              <w:rPr>
                <w:sz w:val="20"/>
                <w:szCs w:val="20"/>
                <w:color w:val="auto"/>
              </w:rPr>
            </w:pPr>
            <w:r>
              <w:rPr>
                <w:rFonts w:ascii="Times New Roman" w:cs="Times New Roman" w:eastAsia="Times New Roman" w:hAnsi="Times New Roman"/>
                <w:sz w:val="14"/>
                <w:szCs w:val="14"/>
                <w:color w:val="auto"/>
                <w:w w:val="78"/>
              </w:rPr>
              <w:t>X</w:t>
            </w:r>
          </w:p>
        </w:tc>
      </w:tr>
      <w:tr>
        <w:trPr>
          <w:trHeight w:val="23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23.1</w:t>
            </w:r>
          </w:p>
        </w:tc>
        <w:tc>
          <w:tcPr>
            <w:tcW w:w="34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8"/>
              </w:rPr>
              <w:t>Consent of Latham &amp; Watkins LLP (included in Exhibit 5.1).</w:t>
            </w:r>
          </w:p>
        </w:tc>
        <w:tc>
          <w:tcPr>
            <w:tcW w:w="2600" w:type="dxa"/>
            <w:vAlign w:val="bottom"/>
            <w:gridSpan w:val="3"/>
          </w:tcPr>
          <w:p>
            <w:pPr>
              <w:spacing w:after="0"/>
              <w:rPr>
                <w:sz w:val="20"/>
                <w:szCs w:val="20"/>
                <w:color w:val="auto"/>
              </w:rPr>
            </w:pPr>
          </w:p>
        </w:tc>
        <w:tc>
          <w:tcPr>
            <w:tcW w:w="1700" w:type="dxa"/>
            <w:vAlign w:val="bottom"/>
          </w:tcPr>
          <w:p>
            <w:pPr>
              <w:ind w:left="1600"/>
              <w:spacing w:after="0"/>
              <w:rPr>
                <w:sz w:val="20"/>
                <w:szCs w:val="20"/>
                <w:color w:val="auto"/>
              </w:rPr>
            </w:pPr>
            <w:r>
              <w:rPr>
                <w:rFonts w:ascii="Times New Roman" w:cs="Times New Roman" w:eastAsia="Times New Roman" w:hAnsi="Times New Roman"/>
                <w:sz w:val="14"/>
                <w:szCs w:val="14"/>
                <w:color w:val="auto"/>
                <w:w w:val="78"/>
              </w:rPr>
              <w:t>X</w:t>
            </w:r>
          </w:p>
        </w:tc>
      </w:tr>
      <w:tr>
        <w:trPr>
          <w:trHeight w:val="23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23.2</w:t>
            </w:r>
          </w:p>
        </w:tc>
        <w:tc>
          <w:tcPr>
            <w:tcW w:w="44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w w:val="98"/>
              </w:rPr>
              <w:t>Consent of Ernst &amp; Young LLP, independent registered public accounting firm.</w:t>
            </w:r>
          </w:p>
        </w:tc>
        <w:tc>
          <w:tcPr>
            <w:tcW w:w="1600" w:type="dxa"/>
            <w:vAlign w:val="bottom"/>
          </w:tcPr>
          <w:p>
            <w:pPr>
              <w:spacing w:after="0"/>
              <w:rPr>
                <w:sz w:val="20"/>
                <w:szCs w:val="20"/>
                <w:color w:val="auto"/>
              </w:rPr>
            </w:pPr>
          </w:p>
        </w:tc>
        <w:tc>
          <w:tcPr>
            <w:tcW w:w="1700" w:type="dxa"/>
            <w:vAlign w:val="bottom"/>
          </w:tcPr>
          <w:p>
            <w:pPr>
              <w:ind w:left="1600"/>
              <w:spacing w:after="0"/>
              <w:rPr>
                <w:sz w:val="20"/>
                <w:szCs w:val="20"/>
                <w:color w:val="auto"/>
              </w:rPr>
            </w:pPr>
            <w:r>
              <w:rPr>
                <w:rFonts w:ascii="Times New Roman" w:cs="Times New Roman" w:eastAsia="Times New Roman" w:hAnsi="Times New Roman"/>
                <w:sz w:val="14"/>
                <w:szCs w:val="14"/>
                <w:color w:val="auto"/>
                <w:w w:val="78"/>
              </w:rPr>
              <w:t>X</w:t>
            </w:r>
          </w:p>
        </w:tc>
      </w:tr>
      <w:tr>
        <w:trPr>
          <w:trHeight w:val="23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  24.1</w:t>
            </w:r>
          </w:p>
        </w:tc>
        <w:tc>
          <w:tcPr>
            <w:tcW w:w="42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w w:val="99"/>
              </w:rPr>
              <w:t>Powers of Attorney (incorporated by reference to the signature page hereto).</w:t>
            </w:r>
          </w:p>
        </w:tc>
        <w:tc>
          <w:tcPr>
            <w:tcW w:w="1760" w:type="dxa"/>
            <w:vAlign w:val="bottom"/>
            <w:gridSpan w:val="2"/>
          </w:tcPr>
          <w:p>
            <w:pPr>
              <w:spacing w:after="0"/>
              <w:rPr>
                <w:sz w:val="20"/>
                <w:szCs w:val="20"/>
                <w:color w:val="auto"/>
              </w:rPr>
            </w:pPr>
          </w:p>
        </w:tc>
        <w:tc>
          <w:tcPr>
            <w:tcW w:w="1700" w:type="dxa"/>
            <w:vAlign w:val="bottom"/>
          </w:tcPr>
          <w:p>
            <w:pPr>
              <w:ind w:left="1600"/>
              <w:spacing w:after="0"/>
              <w:rPr>
                <w:sz w:val="20"/>
                <w:szCs w:val="20"/>
                <w:color w:val="auto"/>
              </w:rPr>
            </w:pPr>
            <w:r>
              <w:rPr>
                <w:rFonts w:ascii="Times New Roman" w:cs="Times New Roman" w:eastAsia="Times New Roman" w:hAnsi="Times New Roman"/>
                <w:sz w:val="14"/>
                <w:szCs w:val="14"/>
                <w:color w:val="auto"/>
                <w:w w:val="78"/>
              </w:rPr>
              <w:t>X</w:t>
            </w:r>
          </w:p>
        </w:tc>
      </w:tr>
    </w:tbl>
    <w:p>
      <w:pPr>
        <w:spacing w:after="0" w:line="90" w:lineRule="exact"/>
        <w:rPr>
          <w:sz w:val="20"/>
          <w:szCs w:val="20"/>
          <w:color w:val="auto"/>
        </w:rPr>
      </w:pPr>
    </w:p>
    <w:p>
      <w:pPr>
        <w:ind w:left="1000" w:right="2719" w:hanging="762"/>
        <w:spacing w:after="0" w:line="280" w:lineRule="auto"/>
        <w:tabs>
          <w:tab w:leader="none" w:pos="317"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25.1*Statement of Eligibility on Form T-1 under the Trust Indenture Act of 1939, as amended, of the trustee, as trustee under the indenture filed herewith.</w:t>
      </w:r>
    </w:p>
    <w:p>
      <w:pPr>
        <w:spacing w:after="0" w:line="43" w:lineRule="exact"/>
        <w:rPr>
          <w:sz w:val="20"/>
          <w:szCs w:val="20"/>
          <w:color w:val="auto"/>
        </w:rPr>
      </w:pPr>
    </w:p>
    <w:p>
      <w:pPr>
        <w:ind w:left="240"/>
        <w:spacing w:after="0"/>
        <w:tabs>
          <w:tab w:leader="none" w:pos="980" w:val="left"/>
          <w:tab w:leader="none" w:pos="8600" w:val="left"/>
        </w:tabs>
        <w:rPr>
          <w:sz w:val="20"/>
          <w:szCs w:val="20"/>
          <w:color w:val="auto"/>
        </w:rPr>
      </w:pPr>
      <w:r>
        <w:rPr>
          <w:rFonts w:ascii="Times New Roman" w:cs="Times New Roman" w:eastAsia="Times New Roman" w:hAnsi="Times New Roman"/>
          <w:sz w:val="14"/>
          <w:szCs w:val="14"/>
          <w:color w:val="auto"/>
        </w:rPr>
        <w:t>107.1</w:t>
      </w:r>
      <w:r>
        <w:rPr>
          <w:sz w:val="20"/>
          <w:szCs w:val="20"/>
          <w:color w:val="auto"/>
        </w:rPr>
        <w:tab/>
      </w:r>
      <w:r>
        <w:rPr>
          <w:rFonts w:ascii="Times New Roman" w:cs="Times New Roman" w:eastAsia="Times New Roman" w:hAnsi="Times New Roman"/>
          <w:sz w:val="14"/>
          <w:szCs w:val="14"/>
          <w:u w:val="single" w:color="auto"/>
          <w:color w:val="0000EE"/>
        </w:rPr>
        <w:t>Filing Fee Table.</w:t>
      </w:r>
      <w:r>
        <w:rPr>
          <w:sz w:val="20"/>
          <w:szCs w:val="20"/>
          <w:color w:val="auto"/>
        </w:rPr>
        <w:tab/>
      </w:r>
      <w:r>
        <w:rPr>
          <w:rFonts w:ascii="Times New Roman" w:cs="Times New Roman" w:eastAsia="Times New Roman" w:hAnsi="Times New Roman"/>
          <w:sz w:val="13"/>
          <w:szCs w:val="13"/>
          <w:color w:val="auto"/>
        </w:rPr>
        <w:t>X</w:t>
      </w:r>
    </w:p>
    <w:p>
      <w:pPr>
        <w:spacing w:after="0" w:line="194" w:lineRule="exact"/>
        <w:rPr>
          <w:sz w:val="20"/>
          <w:szCs w:val="20"/>
          <w:color w:val="auto"/>
        </w:rPr>
      </w:pPr>
    </w:p>
    <w:p>
      <w:pPr>
        <w:ind w:left="4400" w:right="2819" w:hanging="4162"/>
        <w:spacing w:after="0" w:line="452" w:lineRule="auto"/>
        <w:tabs>
          <w:tab w:leader="none" w:pos="40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 or incorporated by reference in connection with the offering of the securities. II-3</w:t>
      </w:r>
    </w:p>
    <w:p>
      <w:pPr>
        <w:sectPr>
          <w:pgSz w:w="11900" w:h="16838" w:orient="portrait"/>
          <w:cols w:equalWidth="0" w:num="1">
            <w:col w:w="9019"/>
          </w:cols>
          <w:pgMar w:left="1440" w:top="238" w:right="1440" w:bottom="1440" w:gutter="0" w:footer="0" w:header="0"/>
        </w:sectPr>
      </w:pPr>
    </w:p>
    <w:bookmarkStart w:id="50" w:name="page51"/>
    <w:bookmarkEnd w:id="50"/>
    <w:p>
      <w:pPr>
        <w:ind w:left="240"/>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Item 17.</w:t>
      </w:r>
      <w:r>
        <w:rPr>
          <w:sz w:val="20"/>
          <w:szCs w:val="20"/>
          <w:color w:val="auto"/>
        </w:rPr>
        <w:tab/>
      </w:r>
      <w:r>
        <w:rPr>
          <w:rFonts w:ascii="Times New Roman" w:cs="Times New Roman" w:eastAsia="Times New Roman" w:hAnsi="Times New Roman"/>
          <w:sz w:val="14"/>
          <w:szCs w:val="14"/>
          <w:b w:val="1"/>
          <w:bCs w:val="1"/>
          <w:i w:val="1"/>
          <w:iCs w:val="1"/>
          <w:color w:val="auto"/>
        </w:rPr>
        <w:t>Undertakings</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(a) The undersigned registrant hereby undertakes:</w:t>
      </w:r>
    </w:p>
    <w:p>
      <w:pPr>
        <w:spacing w:after="0" w:line="174" w:lineRule="exact"/>
        <w:rPr>
          <w:sz w:val="20"/>
          <w:szCs w:val="20"/>
          <w:color w:val="auto"/>
        </w:rPr>
      </w:pPr>
    </w:p>
    <w:p>
      <w:pPr>
        <w:ind w:left="780" w:hanging="200"/>
        <w:spacing w:after="0"/>
        <w:tabs>
          <w:tab w:leader="none" w:pos="7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73" w:lineRule="exact"/>
        <w:rPr>
          <w:rFonts w:ascii="Times New Roman" w:cs="Times New Roman" w:eastAsia="Times New Roman" w:hAnsi="Times New Roman"/>
          <w:sz w:val="14"/>
          <w:szCs w:val="14"/>
          <w:color w:val="auto"/>
        </w:rPr>
      </w:pPr>
    </w:p>
    <w:p>
      <w:pPr>
        <w:ind w:left="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To include any prospectus required by Section 10(a)(3) of the Securities Act;</w:t>
      </w:r>
    </w:p>
    <w:p>
      <w:pPr>
        <w:spacing w:after="0" w:line="174" w:lineRule="exact"/>
        <w:rPr>
          <w:sz w:val="20"/>
          <w:szCs w:val="20"/>
          <w:color w:val="auto"/>
        </w:rPr>
      </w:pPr>
    </w:p>
    <w:p>
      <w:pPr>
        <w:jc w:val="both"/>
        <w:ind w:left="240" w:right="459" w:firstLine="340"/>
        <w:spacing w:after="0" w:line="265" w:lineRule="auto"/>
        <w:tabs>
          <w:tab w:leader="none" w:pos="78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35" w:lineRule="exact"/>
        <w:rPr>
          <w:rFonts w:ascii="Times New Roman" w:cs="Times New Roman" w:eastAsia="Times New Roman" w:hAnsi="Times New Roman"/>
          <w:sz w:val="14"/>
          <w:szCs w:val="14"/>
          <w:color w:val="auto"/>
        </w:rPr>
      </w:pPr>
    </w:p>
    <w:p>
      <w:pPr>
        <w:ind w:left="240" w:right="659" w:firstLine="340"/>
        <w:spacing w:after="0" w:line="280" w:lineRule="auto"/>
        <w:tabs>
          <w:tab w:leader="none" w:pos="825"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24" w:lineRule="exact"/>
        <w:rPr>
          <w:sz w:val="20"/>
          <w:szCs w:val="20"/>
          <w:color w:val="auto"/>
        </w:rPr>
      </w:pPr>
    </w:p>
    <w:p>
      <w:pPr>
        <w:ind w:left="240" w:right="279"/>
        <w:spacing w:after="0" w:line="260"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paragraphs (a)(1)(i), (a)(1)(ii), and (a)(1)(iii) above do not apply if the information required to be included in a post-effective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amendment by those paragraphs is contained in reports filed with or furnished to the Securities and Exchange Commission (the “SEC”) by the registrant pursuant to Section 13 or Section 15(d) of the Securities Exchange Act of 1934, as amended (the “Exchange Act”) that are incorporated by reference in the registration statement, or is contained in a form of prospectus filed pursuant to Rule 424(b) that is a part of the registration statement.</w:t>
      </w:r>
    </w:p>
    <w:p>
      <w:pPr>
        <w:spacing w:after="0" w:line="141" w:lineRule="exact"/>
        <w:rPr>
          <w:sz w:val="20"/>
          <w:szCs w:val="20"/>
          <w:color w:val="auto"/>
        </w:rPr>
      </w:pPr>
    </w:p>
    <w:p>
      <w:pPr>
        <w:ind w:left="240" w:right="359" w:firstLine="340"/>
        <w:spacing w:after="0" w:line="265" w:lineRule="auto"/>
        <w:tabs>
          <w:tab w:leader="none" w:pos="778"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5" w:lineRule="exact"/>
        <w:rPr>
          <w:rFonts w:ascii="Times New Roman" w:cs="Times New Roman" w:eastAsia="Times New Roman" w:hAnsi="Times New Roman"/>
          <w:sz w:val="14"/>
          <w:szCs w:val="14"/>
          <w:color w:val="auto"/>
        </w:rPr>
      </w:pPr>
    </w:p>
    <w:p>
      <w:pPr>
        <w:ind w:left="240" w:right="739" w:firstLine="340"/>
        <w:spacing w:after="0" w:line="280" w:lineRule="auto"/>
        <w:tabs>
          <w:tab w:leader="none" w:pos="778"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(5) That, for the purpose of determining liability under the Securities Act to any purchaser:</w:t>
      </w:r>
    </w:p>
    <w:p>
      <w:pPr>
        <w:spacing w:after="0" w:line="174" w:lineRule="exact"/>
        <w:rPr>
          <w:sz w:val="20"/>
          <w:szCs w:val="20"/>
          <w:color w:val="auto"/>
        </w:rPr>
      </w:pPr>
    </w:p>
    <w:p>
      <w:pPr>
        <w:ind w:left="240" w:right="479" w:firstLine="340"/>
        <w:spacing w:after="0" w:line="280" w:lineRule="auto"/>
        <w:tabs>
          <w:tab w:leader="none" w:pos="809"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26" w:lineRule="exact"/>
        <w:rPr>
          <w:rFonts w:ascii="Times New Roman" w:cs="Times New Roman" w:eastAsia="Times New Roman" w:hAnsi="Times New Roman"/>
          <w:sz w:val="14"/>
          <w:szCs w:val="14"/>
          <w:color w:val="auto"/>
        </w:rPr>
      </w:pPr>
    </w:p>
    <w:p>
      <w:pPr>
        <w:ind w:left="240" w:right="259" w:firstLine="340"/>
        <w:spacing w:after="0" w:line="252" w:lineRule="auto"/>
        <w:tabs>
          <w:tab w:leader="none" w:pos="80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48" w:lineRule="exact"/>
        <w:rPr>
          <w:sz w:val="20"/>
          <w:szCs w:val="20"/>
          <w:color w:val="auto"/>
        </w:rPr>
      </w:pPr>
    </w:p>
    <w:p>
      <w:pPr>
        <w:ind w:left="240" w:right="759" w:firstLine="340"/>
        <w:spacing w:after="0" w:line="280" w:lineRule="auto"/>
        <w:tabs>
          <w:tab w:leader="none" w:pos="778"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9019"/>
          </w:cols>
          <w:pgMar w:left="1440" w:top="238" w:right="1440" w:bottom="1440" w:gutter="0" w:footer="0" w:header="0"/>
        </w:sectPr>
      </w:pPr>
    </w:p>
    <w:bookmarkStart w:id="51" w:name="page52"/>
    <w:bookmarkEnd w:id="51"/>
    <w:p>
      <w:pPr>
        <w:ind w:left="240" w:right="359" w:firstLine="341"/>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1" w:lineRule="exact"/>
        <w:rPr>
          <w:sz w:val="20"/>
          <w:szCs w:val="20"/>
          <w:color w:val="auto"/>
        </w:rPr>
      </w:pPr>
    </w:p>
    <w:p>
      <w:pPr>
        <w:ind w:left="740" w:hanging="160"/>
        <w:spacing w:after="0"/>
        <w:tabs>
          <w:tab w:leader="none" w:pos="7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73" w:lineRule="exact"/>
        <w:rPr>
          <w:rFonts w:ascii="Times New Roman" w:cs="Times New Roman" w:eastAsia="Times New Roman" w:hAnsi="Times New Roman"/>
          <w:sz w:val="14"/>
          <w:szCs w:val="14"/>
          <w:color w:val="auto"/>
        </w:rPr>
      </w:pPr>
    </w:p>
    <w:p>
      <w:pPr>
        <w:ind w:left="240" w:right="759" w:firstLine="340"/>
        <w:spacing w:after="0" w:line="280" w:lineRule="auto"/>
        <w:tabs>
          <w:tab w:leader="none" w:pos="78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26" w:lineRule="exact"/>
        <w:rPr>
          <w:rFonts w:ascii="Times New Roman" w:cs="Times New Roman" w:eastAsia="Times New Roman" w:hAnsi="Times New Roman"/>
          <w:sz w:val="14"/>
          <w:szCs w:val="14"/>
          <w:color w:val="auto"/>
        </w:rPr>
      </w:pPr>
    </w:p>
    <w:p>
      <w:pPr>
        <w:ind w:left="240" w:right="279" w:firstLine="340"/>
        <w:spacing w:after="0" w:line="280" w:lineRule="auto"/>
        <w:tabs>
          <w:tab w:leader="none" w:pos="825"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126" w:lineRule="exact"/>
        <w:rPr>
          <w:rFonts w:ascii="Times New Roman" w:cs="Times New Roman" w:eastAsia="Times New Roman" w:hAnsi="Times New Roman"/>
          <w:sz w:val="14"/>
          <w:szCs w:val="14"/>
          <w:color w:val="auto"/>
        </w:rPr>
      </w:pPr>
    </w:p>
    <w:p>
      <w:pPr>
        <w:ind w:left="820" w:hanging="240"/>
        <w:spacing w:after="0"/>
        <w:tabs>
          <w:tab w:leader="none" w:pos="8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communications that is an offer in the offering made by the undersigned registrant to the purchaser.</w:t>
      </w:r>
    </w:p>
    <w:p>
      <w:pPr>
        <w:spacing w:after="0" w:line="174" w:lineRule="exact"/>
        <w:rPr>
          <w:sz w:val="20"/>
          <w:szCs w:val="20"/>
          <w:color w:val="auto"/>
        </w:rPr>
      </w:pPr>
    </w:p>
    <w:p>
      <w:pPr>
        <w:ind w:left="240" w:right="339" w:firstLine="340"/>
        <w:spacing w:after="0" w:line="257" w:lineRule="auto"/>
        <w:tabs>
          <w:tab w:leader="none" w:pos="778"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4"/>
          <w:szCs w:val="14"/>
          <w:i w:val="1"/>
          <w:iCs w:val="1"/>
          <w:color w:val="auto"/>
        </w:rPr>
        <w:t xml:space="preserve">bona fide </w:t>
      </w:r>
      <w:r>
        <w:rPr>
          <w:rFonts w:ascii="Times New Roman" w:cs="Times New Roman" w:eastAsia="Times New Roman" w:hAnsi="Times New Roman"/>
          <w:sz w:val="14"/>
          <w:szCs w:val="14"/>
          <w:color w:val="auto"/>
        </w:rPr>
        <w:t>offering thereof.</w:t>
      </w:r>
    </w:p>
    <w:p>
      <w:pPr>
        <w:spacing w:after="0" w:line="142" w:lineRule="exact"/>
        <w:rPr>
          <w:sz w:val="20"/>
          <w:szCs w:val="20"/>
          <w:color w:val="auto"/>
        </w:rPr>
      </w:pPr>
    </w:p>
    <w:p>
      <w:pPr>
        <w:ind w:left="240" w:right="359" w:firstLine="340"/>
        <w:spacing w:after="0" w:line="253" w:lineRule="auto"/>
        <w:tabs>
          <w:tab w:leader="none" w:pos="778"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8" w:lineRule="exact"/>
        <w:rPr>
          <w:sz w:val="20"/>
          <w:szCs w:val="20"/>
          <w:color w:val="auto"/>
        </w:rPr>
      </w:pPr>
    </w:p>
    <w:p>
      <w:pPr>
        <w:ind w:left="240" w:right="419" w:firstLine="340"/>
        <w:spacing w:after="0" w:line="265" w:lineRule="auto"/>
        <w:tabs>
          <w:tab w:leader="none" w:pos="747"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file an application for the purpose of determining the eligibility of the trustee to act under subsection (a) of Section 310 of the Trust Indenture Act of 1939 (the “Act”) in accordance with the rules and regulations prescribed by the SEC under Section 305(b)(2) of the Act.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9019"/>
          </w:cols>
          <w:pgMar w:left="1440" w:top="240" w:right="1440"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SIGNATURES</w:t>
      </w:r>
    </w:p>
    <w:p>
      <w:pPr>
        <w:spacing w:after="0" w:line="176" w:lineRule="exact"/>
        <w:rPr>
          <w:sz w:val="20"/>
          <w:szCs w:val="20"/>
          <w:color w:val="auto"/>
        </w:rPr>
      </w:pPr>
    </w:p>
    <w:p>
      <w:pPr>
        <w:ind w:left="240" w:right="559" w:firstLine="341"/>
        <w:spacing w:after="0" w:line="265"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Waltham, State of Massachusetts, on November 3, 2025.</w:t>
      </w:r>
    </w:p>
    <w:p>
      <w:pPr>
        <w:spacing w:after="0" w:line="15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Ardelyx, Inc.</w:t>
      </w:r>
    </w:p>
    <w:p>
      <w:pPr>
        <w:spacing w:after="0" w:line="17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By: /s/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13335</wp:posOffset>
            </wp:positionV>
            <wp:extent cx="201168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2011680" cy="6350"/>
                    </a:xfrm>
                    <a:prstGeom prst="rect">
                      <a:avLst/>
                    </a:prstGeom>
                    <a:noFill/>
                  </pic:spPr>
                </pic:pic>
              </a:graphicData>
            </a:graphic>
          </wp:anchor>
        </w:drawing>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Michael Raab</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76" w:lineRule="exact"/>
        <w:rPr>
          <w:sz w:val="20"/>
          <w:szCs w:val="20"/>
          <w:color w:val="auto"/>
        </w:rPr>
      </w:pPr>
    </w:p>
    <w:p>
      <w:pPr>
        <w:ind w:left="240" w:right="259" w:firstLine="341"/>
        <w:spacing w:after="0" w:line="252" w:lineRule="auto"/>
        <w:rPr>
          <w:sz w:val="20"/>
          <w:szCs w:val="20"/>
          <w:color w:val="auto"/>
        </w:rPr>
      </w:pPr>
      <w:r>
        <w:rPr>
          <w:rFonts w:ascii="Times New Roman" w:cs="Times New Roman" w:eastAsia="Times New Roman" w:hAnsi="Times New Roman"/>
          <w:sz w:val="14"/>
          <w:szCs w:val="14"/>
          <w:color w:val="auto"/>
        </w:rPr>
        <w:t>Each of the undersigned officers and directors of the registrant hereby severally constitutes and appoints Michael Raab, Sue Hohenleitner and Elizabeth Grammer, and each of them singly (with full power to each of them to act alone), as his or her true and lawful attorneys-in-fact and agents, with full power of substitution and resubstitution,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50" w:lineRule="exact"/>
        <w:rPr>
          <w:sz w:val="20"/>
          <w:szCs w:val="20"/>
          <w:color w:val="auto"/>
        </w:rPr>
      </w:pPr>
    </w:p>
    <w:p>
      <w:pPr>
        <w:ind w:left="240" w:right="259" w:firstLine="341"/>
        <w:spacing w:after="0" w:line="280"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145" w:lineRule="exact"/>
        <w:rPr>
          <w:sz w:val="20"/>
          <w:szCs w:val="20"/>
          <w:color w:val="auto"/>
        </w:rPr>
      </w:pPr>
    </w:p>
    <w:tbl>
      <w:tblPr>
        <w:tblLayout w:type="fixed"/>
        <w:tblInd w:w="240" w:type="dxa"/>
        <w:tblCellMar>
          <w:top w:w="0" w:type="dxa"/>
          <w:left w:w="0" w:type="dxa"/>
          <w:bottom w:w="0" w:type="dxa"/>
          <w:right w:w="0" w:type="dxa"/>
        </w:tblCellMar>
      </w:tblPr>
      <w:tr>
        <w:trPr>
          <w:trHeight w:val="143"/>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SIGNATURE</w:t>
            </w:r>
          </w:p>
        </w:tc>
        <w:tc>
          <w:tcPr>
            <w:tcW w:w="100" w:type="dxa"/>
            <w:vAlign w:val="bottom"/>
          </w:tcPr>
          <w:p>
            <w:pPr>
              <w:spacing w:after="0"/>
              <w:rPr>
                <w:sz w:val="12"/>
                <w:szCs w:val="12"/>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TITLE</w:t>
            </w:r>
          </w:p>
        </w:tc>
        <w:tc>
          <w:tcPr>
            <w:tcW w:w="180" w:type="dxa"/>
            <w:vAlign w:val="bottom"/>
          </w:tcPr>
          <w:p>
            <w:pPr>
              <w:spacing w:after="0"/>
              <w:rPr>
                <w:sz w:val="12"/>
                <w:szCs w:val="1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DATE</w:t>
            </w:r>
          </w:p>
        </w:tc>
      </w:tr>
      <w:tr>
        <w:trPr>
          <w:trHeight w:val="315"/>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Raab</w:t>
            </w:r>
          </w:p>
        </w:tc>
        <w:tc>
          <w:tcPr>
            <w:tcW w:w="100" w:type="dxa"/>
            <w:vAlign w:val="bottom"/>
          </w:tcPr>
          <w:p>
            <w:pPr>
              <w:spacing w:after="0"/>
              <w:rPr>
                <w:sz w:val="24"/>
                <w:szCs w:val="24"/>
                <w:color w:val="auto"/>
              </w:rPr>
            </w:pPr>
          </w:p>
        </w:tc>
        <w:tc>
          <w:tcPr>
            <w:tcW w:w="4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President, Chief Executive Officer and 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November 3, 2025</w:t>
            </w:r>
          </w:p>
        </w:tc>
      </w:tr>
      <w:tr>
        <w:trPr>
          <w:trHeight w:val="173"/>
        </w:trPr>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Michael Raab</w:t>
            </w:r>
          </w:p>
        </w:tc>
        <w:tc>
          <w:tcPr>
            <w:tcW w:w="100" w:type="dxa"/>
            <w:vAlign w:val="bottom"/>
          </w:tcPr>
          <w:p>
            <w:pPr>
              <w:spacing w:after="0"/>
              <w:rPr>
                <w:sz w:val="15"/>
                <w:szCs w:val="15"/>
                <w:color w:val="auto"/>
              </w:rPr>
            </w:pPr>
          </w:p>
        </w:tc>
        <w:tc>
          <w:tcPr>
            <w:tcW w:w="4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(principal executive officer)</w:t>
            </w:r>
          </w:p>
        </w:tc>
        <w:tc>
          <w:tcPr>
            <w:tcW w:w="1560" w:type="dxa"/>
            <w:vAlign w:val="bottom"/>
          </w:tcPr>
          <w:p>
            <w:pPr>
              <w:spacing w:after="0"/>
              <w:rPr>
                <w:sz w:val="15"/>
                <w:szCs w:val="15"/>
                <w:color w:val="auto"/>
              </w:rPr>
            </w:pPr>
          </w:p>
        </w:tc>
      </w:tr>
      <w:tr>
        <w:trPr>
          <w:trHeight w:val="330"/>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Justin Renz</w:t>
            </w:r>
          </w:p>
        </w:tc>
        <w:tc>
          <w:tcPr>
            <w:tcW w:w="100" w:type="dxa"/>
            <w:vAlign w:val="bottom"/>
          </w:tcPr>
          <w:p>
            <w:pPr>
              <w:spacing w:after="0"/>
              <w:rPr>
                <w:sz w:val="24"/>
                <w:szCs w:val="24"/>
                <w:color w:val="auto"/>
              </w:rPr>
            </w:pPr>
          </w:p>
        </w:tc>
        <w:tc>
          <w:tcPr>
            <w:tcW w:w="4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Chief Financial &amp; Operations Officer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November 3, 2025</w:t>
            </w:r>
          </w:p>
        </w:tc>
      </w:tr>
      <w:tr>
        <w:trPr>
          <w:trHeight w:val="173"/>
        </w:trPr>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Justin Renz</w:t>
            </w:r>
          </w:p>
        </w:tc>
        <w:tc>
          <w:tcPr>
            <w:tcW w:w="100" w:type="dxa"/>
            <w:vAlign w:val="bottom"/>
          </w:tcPr>
          <w:p>
            <w:pPr>
              <w:spacing w:after="0"/>
              <w:rPr>
                <w:sz w:val="15"/>
                <w:szCs w:val="15"/>
                <w:color w:val="auto"/>
              </w:rPr>
            </w:pPr>
          </w:p>
        </w:tc>
        <w:tc>
          <w:tcPr>
            <w:tcW w:w="4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(principal financial officer)</w:t>
            </w:r>
          </w:p>
        </w:tc>
        <w:tc>
          <w:tcPr>
            <w:tcW w:w="1560" w:type="dxa"/>
            <w:vAlign w:val="bottom"/>
          </w:tcPr>
          <w:p>
            <w:pPr>
              <w:spacing w:after="0"/>
              <w:rPr>
                <w:sz w:val="15"/>
                <w:szCs w:val="15"/>
                <w:color w:val="auto"/>
              </w:rPr>
            </w:pPr>
          </w:p>
        </w:tc>
      </w:tr>
      <w:tr>
        <w:trPr>
          <w:trHeight w:val="330"/>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Joseph Reilly</w:t>
            </w:r>
          </w:p>
        </w:tc>
        <w:tc>
          <w:tcPr>
            <w:tcW w:w="100" w:type="dxa"/>
            <w:vAlign w:val="bottom"/>
          </w:tcPr>
          <w:p>
            <w:pPr>
              <w:spacing w:after="0"/>
              <w:rPr>
                <w:sz w:val="24"/>
                <w:szCs w:val="24"/>
                <w:color w:val="auto"/>
              </w:rPr>
            </w:pPr>
          </w:p>
        </w:tc>
        <w:tc>
          <w:tcPr>
            <w:tcW w:w="4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Senior Vice President and Chief Accounting Officer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November 3, 2025</w:t>
            </w:r>
          </w:p>
        </w:tc>
      </w:tr>
      <w:tr>
        <w:trPr>
          <w:trHeight w:val="173"/>
        </w:trPr>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Joseph Reilly</w:t>
            </w:r>
          </w:p>
        </w:tc>
        <w:tc>
          <w:tcPr>
            <w:tcW w:w="100" w:type="dxa"/>
            <w:vAlign w:val="bottom"/>
          </w:tcPr>
          <w:p>
            <w:pPr>
              <w:spacing w:after="0"/>
              <w:rPr>
                <w:sz w:val="15"/>
                <w:szCs w:val="15"/>
                <w:color w:val="auto"/>
              </w:rPr>
            </w:pPr>
          </w:p>
        </w:tc>
        <w:tc>
          <w:tcPr>
            <w:tcW w:w="4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(principal accounting officer)</w:t>
            </w:r>
          </w:p>
        </w:tc>
        <w:tc>
          <w:tcPr>
            <w:tcW w:w="1560" w:type="dxa"/>
            <w:vAlign w:val="bottom"/>
          </w:tcPr>
          <w:p>
            <w:pPr>
              <w:spacing w:after="0"/>
              <w:rPr>
                <w:sz w:val="15"/>
                <w:szCs w:val="15"/>
                <w:color w:val="auto"/>
              </w:rPr>
            </w:pPr>
          </w:p>
        </w:tc>
      </w:tr>
      <w:tr>
        <w:trPr>
          <w:trHeight w:val="330"/>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David Mott</w:t>
            </w:r>
          </w:p>
        </w:tc>
        <w:tc>
          <w:tcPr>
            <w:tcW w:w="100" w:type="dxa"/>
            <w:vAlign w:val="bottom"/>
          </w:tcPr>
          <w:p>
            <w:pPr>
              <w:spacing w:after="0"/>
              <w:rPr>
                <w:sz w:val="24"/>
                <w:szCs w:val="24"/>
                <w:color w:val="auto"/>
              </w:rPr>
            </w:pPr>
          </w:p>
        </w:tc>
        <w:tc>
          <w:tcPr>
            <w:tcW w:w="4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9"/>
              </w:rPr>
              <w:t>Chairman of the Board of Directors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November 3, 2025</w:t>
            </w:r>
          </w:p>
        </w:tc>
      </w:tr>
      <w:tr>
        <w:trPr>
          <w:trHeight w:val="173"/>
        </w:trPr>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David Mott</w:t>
            </w:r>
          </w:p>
        </w:tc>
        <w:tc>
          <w:tcPr>
            <w:tcW w:w="1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30"/>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Robert Bazemore</w:t>
            </w:r>
          </w:p>
        </w:tc>
        <w:tc>
          <w:tcPr>
            <w:tcW w:w="100" w:type="dxa"/>
            <w:vAlign w:val="bottom"/>
          </w:tcPr>
          <w:p>
            <w:pPr>
              <w:spacing w:after="0"/>
              <w:rPr>
                <w:sz w:val="24"/>
                <w:szCs w:val="24"/>
                <w:color w:val="auto"/>
              </w:rPr>
            </w:pPr>
          </w:p>
        </w:tc>
        <w:tc>
          <w:tcPr>
            <w:tcW w:w="4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November 3, 2025</w:t>
            </w:r>
          </w:p>
        </w:tc>
      </w:tr>
      <w:tr>
        <w:trPr>
          <w:trHeight w:val="173"/>
        </w:trPr>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Robert Bazemore</w:t>
            </w:r>
          </w:p>
        </w:tc>
        <w:tc>
          <w:tcPr>
            <w:tcW w:w="1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78"/>
        </w:trPr>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II-6</w:t>
            </w:r>
          </w:p>
        </w:tc>
        <w:tc>
          <w:tcPr>
            <w:tcW w:w="1560" w:type="dxa"/>
            <w:vAlign w:val="bottom"/>
          </w:tcPr>
          <w:p>
            <w:pPr>
              <w:spacing w:after="0"/>
              <w:rPr>
                <w:sz w:val="24"/>
                <w:szCs w:val="24"/>
                <w:color w:val="auto"/>
              </w:rPr>
            </w:pPr>
          </w:p>
        </w:tc>
      </w:tr>
    </w:tbl>
    <w:p>
      <w:pPr>
        <w:sectPr>
          <w:pgSz w:w="11900" w:h="16838" w:orient="portrait"/>
          <w:cols w:equalWidth="0" w:num="1">
            <w:col w:w="9019"/>
          </w:cols>
          <w:pgMar w:left="1440" w:top="238" w:right="1440" w:bottom="1440" w:gutter="0" w:footer="0" w:header="0"/>
        </w:sectPr>
      </w:pPr>
    </w:p>
    <w:bookmarkStart w:id="53" w:name="page54"/>
    <w:bookmarkEnd w:id="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143"/>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SIGNATURE</w:t>
            </w:r>
          </w:p>
        </w:tc>
        <w:tc>
          <w:tcPr>
            <w:tcW w:w="100" w:type="dxa"/>
            <w:vAlign w:val="bottom"/>
          </w:tcPr>
          <w:p>
            <w:pPr>
              <w:spacing w:after="0"/>
              <w:rPr>
                <w:sz w:val="12"/>
                <w:szCs w:val="12"/>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TITLE</w:t>
            </w:r>
          </w:p>
        </w:tc>
        <w:tc>
          <w:tcPr>
            <w:tcW w:w="180" w:type="dxa"/>
            <w:vAlign w:val="bottom"/>
          </w:tcPr>
          <w:p>
            <w:pPr>
              <w:spacing w:after="0"/>
              <w:rPr>
                <w:sz w:val="12"/>
                <w:szCs w:val="1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DATE</w:t>
            </w:r>
          </w:p>
        </w:tc>
      </w:tr>
      <w:tr>
        <w:trPr>
          <w:trHeight w:val="315"/>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William Bertrand, Jr.</w:t>
            </w:r>
          </w:p>
        </w:tc>
        <w:tc>
          <w:tcPr>
            <w:tcW w:w="100" w:type="dxa"/>
            <w:vAlign w:val="bottom"/>
          </w:tcPr>
          <w:p>
            <w:pPr>
              <w:spacing w:after="0"/>
              <w:rPr>
                <w:sz w:val="24"/>
                <w:szCs w:val="24"/>
                <w:color w:val="auto"/>
              </w:rPr>
            </w:pPr>
          </w:p>
        </w:tc>
        <w:tc>
          <w:tcPr>
            <w:tcW w:w="4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November 3, 2025</w:t>
            </w:r>
          </w:p>
        </w:tc>
      </w:tr>
      <w:tr>
        <w:trPr>
          <w:trHeight w:val="173"/>
        </w:trPr>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William Bertrand, Jr.</w:t>
            </w:r>
          </w:p>
        </w:tc>
        <w:tc>
          <w:tcPr>
            <w:tcW w:w="1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30"/>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/s/ Muna Bhanji</w:t>
            </w:r>
          </w:p>
        </w:tc>
        <w:tc>
          <w:tcPr>
            <w:tcW w:w="100" w:type="dxa"/>
            <w:vAlign w:val="bottom"/>
          </w:tcPr>
          <w:p>
            <w:pPr>
              <w:spacing w:after="0"/>
              <w:rPr>
                <w:sz w:val="24"/>
                <w:szCs w:val="24"/>
                <w:color w:val="auto"/>
              </w:rPr>
            </w:pPr>
          </w:p>
        </w:tc>
        <w:tc>
          <w:tcPr>
            <w:tcW w:w="4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November 3, 2025</w:t>
            </w:r>
          </w:p>
        </w:tc>
      </w:tr>
      <w:tr>
        <w:trPr>
          <w:trHeight w:val="173"/>
        </w:trPr>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Muna Bhanji, R.Ph.</w:t>
            </w:r>
          </w:p>
        </w:tc>
        <w:tc>
          <w:tcPr>
            <w:tcW w:w="1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30"/>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Onaiza Cadoret-Manier</w:t>
            </w:r>
          </w:p>
        </w:tc>
        <w:tc>
          <w:tcPr>
            <w:tcW w:w="100" w:type="dxa"/>
            <w:vAlign w:val="bottom"/>
          </w:tcPr>
          <w:p>
            <w:pPr>
              <w:spacing w:after="0"/>
              <w:rPr>
                <w:sz w:val="24"/>
                <w:szCs w:val="24"/>
                <w:color w:val="auto"/>
              </w:rPr>
            </w:pPr>
          </w:p>
        </w:tc>
        <w:tc>
          <w:tcPr>
            <w:tcW w:w="4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November 3, 2025</w:t>
            </w:r>
          </w:p>
        </w:tc>
      </w:tr>
      <w:tr>
        <w:trPr>
          <w:trHeight w:val="173"/>
        </w:trPr>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Onaiza Cadoret-Manier</w:t>
            </w:r>
          </w:p>
        </w:tc>
        <w:tc>
          <w:tcPr>
            <w:tcW w:w="1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30"/>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/s/ Merdad Parsey</w:t>
            </w:r>
          </w:p>
        </w:tc>
        <w:tc>
          <w:tcPr>
            <w:tcW w:w="100" w:type="dxa"/>
            <w:vAlign w:val="bottom"/>
          </w:tcPr>
          <w:p>
            <w:pPr>
              <w:spacing w:after="0"/>
              <w:rPr>
                <w:sz w:val="24"/>
                <w:szCs w:val="24"/>
                <w:color w:val="auto"/>
              </w:rPr>
            </w:pPr>
          </w:p>
        </w:tc>
        <w:tc>
          <w:tcPr>
            <w:tcW w:w="4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November 3, 2025</w:t>
            </w:r>
          </w:p>
        </w:tc>
      </w:tr>
      <w:tr>
        <w:trPr>
          <w:trHeight w:val="173"/>
        </w:trPr>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Merdad Parsey M.D., Ph.D.</w:t>
            </w:r>
          </w:p>
        </w:tc>
        <w:tc>
          <w:tcPr>
            <w:tcW w:w="1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30"/>
        </w:trPr>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Richard Rodgers</w:t>
            </w:r>
          </w:p>
        </w:tc>
        <w:tc>
          <w:tcPr>
            <w:tcW w:w="100" w:type="dxa"/>
            <w:vAlign w:val="bottom"/>
          </w:tcPr>
          <w:p>
            <w:pPr>
              <w:spacing w:after="0"/>
              <w:rPr>
                <w:sz w:val="24"/>
                <w:szCs w:val="24"/>
                <w:color w:val="auto"/>
              </w:rPr>
            </w:pPr>
          </w:p>
        </w:tc>
        <w:tc>
          <w:tcPr>
            <w:tcW w:w="4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w w:val="98"/>
              </w:rPr>
              <w:t>Director</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November 3, 2025</w:t>
            </w:r>
          </w:p>
        </w:tc>
      </w:tr>
      <w:tr>
        <w:trPr>
          <w:trHeight w:val="173"/>
        </w:trPr>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Richard Rodgers</w:t>
            </w:r>
          </w:p>
        </w:tc>
        <w:tc>
          <w:tcPr>
            <w:tcW w:w="1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78"/>
        </w:trPr>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gridSpan w:val="2"/>
          </w:tcPr>
          <w:p>
            <w:pPr>
              <w:ind w:left="1220"/>
              <w:spacing w:after="0"/>
              <w:rPr>
                <w:sz w:val="20"/>
                <w:szCs w:val="20"/>
                <w:color w:val="auto"/>
              </w:rPr>
            </w:pPr>
            <w:r>
              <w:rPr>
                <w:rFonts w:ascii="Times New Roman" w:cs="Times New Roman" w:eastAsia="Times New Roman" w:hAnsi="Times New Roman"/>
                <w:sz w:val="14"/>
                <w:szCs w:val="14"/>
                <w:color w:val="auto"/>
              </w:rPr>
              <w:t>II-7</w:t>
            </w:r>
          </w:p>
        </w:tc>
        <w:tc>
          <w:tcPr>
            <w:tcW w:w="1560" w:type="dxa"/>
            <w:vAlign w:val="bottom"/>
          </w:tcPr>
          <w:p>
            <w:pPr>
              <w:spacing w:after="0"/>
              <w:rPr>
                <w:sz w:val="24"/>
                <w:szCs w:val="24"/>
                <w:color w:val="auto"/>
              </w:rPr>
            </w:pPr>
          </w:p>
        </w:tc>
      </w:tr>
    </w:tbl>
    <w:p>
      <w:pPr>
        <w:sectPr>
          <w:pgSz w:w="11900" w:h="16838" w:orient="portrait"/>
          <w:cols w:equalWidth="0" w:num="1">
            <w:col w:w="9019"/>
          </w:cols>
          <w:pgMar w:left="1440" w:top="237" w:right="1440" w:bottom="1440" w:gutter="0" w:footer="0" w:header="0"/>
        </w:sectPr>
      </w:pPr>
    </w:p>
    <w:bookmarkStart w:id="54" w:name="page55"/>
    <w:bookmarkEnd w:id="54"/>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1.2</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OPEN MARKET SALE AGREEMENT</w:t>
      </w:r>
      <w:r>
        <w:rPr>
          <w:rFonts w:ascii="Times New Roman" w:cs="Times New Roman" w:eastAsia="Times New Roman" w:hAnsi="Times New Roman"/>
          <w:sz w:val="20"/>
          <w:szCs w:val="20"/>
          <w:b w:val="1"/>
          <w:bCs w:val="1"/>
          <w:color w:val="auto"/>
          <w:vertAlign w:val="superscript"/>
        </w:rPr>
        <w:t>SM</w:t>
      </w:r>
    </w:p>
    <w:p>
      <w:pPr>
        <w:spacing w:after="0" w:line="10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November 3, 2025</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JEFFERIES LLC</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520 Madison Avenue</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New York, New York 10022</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88" w:lineRule="exact"/>
        <w:rPr>
          <w:sz w:val="20"/>
          <w:szCs w:val="20"/>
          <w:color w:val="auto"/>
        </w:rPr>
      </w:pPr>
    </w:p>
    <w:p>
      <w:pPr>
        <w:ind w:left="240" w:right="279" w:firstLine="341"/>
        <w:spacing w:after="0" w:line="266" w:lineRule="auto"/>
        <w:rPr>
          <w:sz w:val="20"/>
          <w:szCs w:val="20"/>
          <w:color w:val="auto"/>
        </w:rPr>
      </w:pPr>
      <w:r>
        <w:rPr>
          <w:rFonts w:ascii="Times New Roman" w:cs="Times New Roman" w:eastAsia="Times New Roman" w:hAnsi="Times New Roman"/>
          <w:sz w:val="14"/>
          <w:szCs w:val="14"/>
          <w:color w:val="auto"/>
        </w:rPr>
        <w:t>Ardelyx, Inc.,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proposes, subject to the terms and conditions stated herein, to issue and sell from time to time through Jefferies LLC, as sales agent and/or principal (the “</w:t>
      </w:r>
      <w:r>
        <w:rPr>
          <w:rFonts w:ascii="Times New Roman" w:cs="Times New Roman" w:eastAsia="Times New Roman" w:hAnsi="Times New Roman"/>
          <w:sz w:val="14"/>
          <w:szCs w:val="14"/>
          <w:b w:val="1"/>
          <w:bCs w:val="1"/>
          <w:color w:val="auto"/>
        </w:rPr>
        <w:t>Agent</w:t>
      </w:r>
      <w:r>
        <w:rPr>
          <w:rFonts w:ascii="Times New Roman" w:cs="Times New Roman" w:eastAsia="Times New Roman" w:hAnsi="Times New Roman"/>
          <w:sz w:val="14"/>
          <w:szCs w:val="14"/>
          <w:color w:val="auto"/>
        </w:rPr>
        <w:t>”), shares of the Company’s common stock, par value $0.0001 per share (the “</w:t>
      </w:r>
      <w:r>
        <w:rPr>
          <w:rFonts w:ascii="Times New Roman" w:cs="Times New Roman" w:eastAsia="Times New Roman" w:hAnsi="Times New Roman"/>
          <w:sz w:val="14"/>
          <w:szCs w:val="14"/>
          <w:b w:val="1"/>
          <w:bCs w:val="1"/>
          <w:color w:val="auto"/>
        </w:rPr>
        <w:t>Common Shares</w:t>
      </w:r>
      <w:r>
        <w:rPr>
          <w:rFonts w:ascii="Times New Roman" w:cs="Times New Roman" w:eastAsia="Times New Roman" w:hAnsi="Times New Roman"/>
          <w:sz w:val="14"/>
          <w:szCs w:val="14"/>
          <w:color w:val="auto"/>
        </w:rPr>
        <w:t>”), having an aggregate offering price of up to $100,000,000 on the terms set forth in this agreement (this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Section 1. DEFINITIONS</w:t>
      </w:r>
    </w:p>
    <w:p>
      <w:pPr>
        <w:spacing w:after="0" w:line="92" w:lineRule="exact"/>
        <w:rPr>
          <w:sz w:val="20"/>
          <w:szCs w:val="20"/>
          <w:color w:val="auto"/>
        </w:rPr>
      </w:pPr>
    </w:p>
    <w:p>
      <w:pPr>
        <w:ind w:left="240" w:right="799" w:firstLine="340"/>
        <w:spacing w:after="0" w:line="280" w:lineRule="auto"/>
        <w:tabs>
          <w:tab w:leader="none" w:pos="77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Certain Definitions</w:t>
      </w:r>
      <w:r>
        <w:rPr>
          <w:rFonts w:ascii="Times New Roman" w:cs="Times New Roman" w:eastAsia="Times New Roman" w:hAnsi="Times New Roman"/>
          <w:sz w:val="14"/>
          <w:szCs w:val="14"/>
          <w:color w:val="auto"/>
        </w:rPr>
        <w:t>. For purposes of this Agreement, capitalized terms used herein and not otherwise defined shall have the following respective meanings:</w:t>
      </w:r>
    </w:p>
    <w:p>
      <w:pPr>
        <w:spacing w:after="0" w:line="41" w:lineRule="exact"/>
        <w:rPr>
          <w:sz w:val="20"/>
          <w:szCs w:val="20"/>
          <w:color w:val="auto"/>
        </w:rPr>
      </w:pPr>
    </w:p>
    <w:p>
      <w:pPr>
        <w:ind w:left="240" w:right="319" w:firstLine="341"/>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39" w:lineRule="exact"/>
        <w:rPr>
          <w:sz w:val="20"/>
          <w:szCs w:val="20"/>
          <w:color w:val="auto"/>
        </w:rPr>
      </w:pPr>
    </w:p>
    <w:p>
      <w:pPr>
        <w:ind w:left="240" w:right="259" w:firstLine="341"/>
        <w:spacing w:after="0" w:line="32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Agency Period</w:t>
      </w:r>
      <w:r>
        <w:rPr>
          <w:rFonts w:ascii="Times New Roman" w:cs="Times New Roman" w:eastAsia="Times New Roman" w:hAnsi="Times New Roman"/>
          <w:sz w:val="13"/>
          <w:szCs w:val="13"/>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w:t>
      </w:r>
    </w:p>
    <w:p>
      <w:pPr>
        <w:spacing w:after="0" w:line="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Commission</w:t>
      </w:r>
      <w:r>
        <w:rPr>
          <w:rFonts w:ascii="Times New Roman" w:cs="Times New Roman" w:eastAsia="Times New Roman" w:hAnsi="Times New Roman"/>
          <w:sz w:val="14"/>
          <w:szCs w:val="14"/>
          <w:color w:val="auto"/>
        </w:rPr>
        <w:t>” means the U.S. Securities and Exchange Commission.</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Exchange Act</w:t>
      </w:r>
      <w:r>
        <w:rPr>
          <w:rFonts w:ascii="Times New Roman" w:cs="Times New Roman" w:eastAsia="Times New Roman" w:hAnsi="Times New Roman"/>
          <w:sz w:val="14"/>
          <w:szCs w:val="14"/>
          <w:color w:val="auto"/>
        </w:rPr>
        <w:t>” means the Securities Exchange Act of 1934, as amended, and the rules and regulations of the Commission thereunder.</w:t>
      </w:r>
    </w:p>
    <w:p>
      <w:pPr>
        <w:spacing w:after="0" w:line="174" w:lineRule="exact"/>
        <w:rPr>
          <w:sz w:val="20"/>
          <w:szCs w:val="20"/>
          <w:color w:val="auto"/>
        </w:rPr>
      </w:pPr>
    </w:p>
    <w:p>
      <w:pPr>
        <w:ind w:left="240" w:right="339" w:firstLine="341"/>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Floor Price</w:t>
      </w:r>
      <w:r>
        <w:rPr>
          <w:rFonts w:ascii="Times New Roman" w:cs="Times New Roman" w:eastAsia="Times New Roman" w:hAnsi="Times New Roman"/>
          <w:sz w:val="14"/>
          <w:szCs w:val="14"/>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65405</wp:posOffset>
            </wp:positionV>
            <wp:extent cx="59055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590550" cy="6350"/>
                    </a:xfrm>
                    <a:prstGeom prst="rect">
                      <a:avLst/>
                    </a:prstGeom>
                    <a:noFill/>
                  </pic:spPr>
                </pic:pic>
              </a:graphicData>
            </a:graphic>
          </wp:anchor>
        </w:drawing>
      </w:r>
    </w:p>
    <w:p>
      <w:pPr>
        <w:spacing w:after="0" w:line="41" w:lineRule="exact"/>
        <w:rPr>
          <w:sz w:val="20"/>
          <w:szCs w:val="20"/>
          <w:color w:val="auto"/>
        </w:rPr>
      </w:pPr>
    </w:p>
    <w:p>
      <w:pPr>
        <w:ind w:left="240"/>
        <w:spacing w:after="0"/>
        <w:tabs>
          <w:tab w:leader="none" w:pos="560" w:val="left"/>
        </w:tabs>
        <w:rPr>
          <w:sz w:val="20"/>
          <w:szCs w:val="20"/>
          <w:color w:val="auto"/>
        </w:rPr>
      </w:pPr>
      <w:r>
        <w:rPr>
          <w:rFonts w:ascii="Times New Roman" w:cs="Times New Roman" w:eastAsia="Times New Roman" w:hAnsi="Times New Roman"/>
          <w:sz w:val="21"/>
          <w:szCs w:val="21"/>
          <w:color w:val="auto"/>
          <w:vertAlign w:val="superscript"/>
        </w:rPr>
        <w:t>SM</w:t>
      </w:r>
      <w:r>
        <w:rPr>
          <w:sz w:val="20"/>
          <w:szCs w:val="20"/>
          <w:color w:val="auto"/>
        </w:rPr>
        <w:tab/>
      </w:r>
      <w:r>
        <w:rPr>
          <w:rFonts w:ascii="Times New Roman" w:cs="Times New Roman" w:eastAsia="Times New Roman" w:hAnsi="Times New Roman"/>
          <w:sz w:val="14"/>
          <w:szCs w:val="14"/>
          <w:color w:val="auto"/>
        </w:rPr>
        <w:t>“Open Market Sale Agreement” is a service mark of Jefferies LLC</w:t>
      </w:r>
    </w:p>
    <w:p>
      <w:pPr>
        <w:sectPr>
          <w:pgSz w:w="11900" w:h="16838" w:orient="portrait"/>
          <w:cols w:equalWidth="0" w:num="1">
            <w:col w:w="9019"/>
          </w:cols>
          <w:pgMar w:left="1440" w:top="123" w:right="1440" w:bottom="1440" w:gutter="0" w:footer="0" w:header="0"/>
        </w:sectPr>
      </w:pPr>
    </w:p>
    <w:bookmarkStart w:id="55" w:name="page56"/>
    <w:bookmarkEnd w:id="55"/>
    <w:p>
      <w:pPr>
        <w:ind w:left="5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t>
      </w:r>
      <w:r>
        <w:rPr>
          <w:rFonts w:ascii="Times New Roman" w:cs="Times New Roman" w:eastAsia="Times New Roman" w:hAnsi="Times New Roman"/>
          <w:sz w:val="14"/>
          <w:szCs w:val="14"/>
          <w:b w:val="1"/>
          <w:bCs w:val="1"/>
          <w:color w:val="auto"/>
        </w:rPr>
        <w:t>Issuance Amount</w:t>
      </w:r>
      <w:r>
        <w:rPr>
          <w:rFonts w:ascii="Times New Roman" w:cs="Times New Roman" w:eastAsia="Times New Roman" w:hAnsi="Times New Roman"/>
          <w:sz w:val="14"/>
          <w:szCs w:val="14"/>
          <w:color w:val="auto"/>
        </w:rPr>
        <w:t>” means the aggregate Sales Price of the Shares to be sold by the Agent pursuant to any Issuance Notice.</w:t>
      </w:r>
    </w:p>
    <w:p>
      <w:pPr>
        <w:spacing w:after="0" w:line="174" w:lineRule="exact"/>
        <w:rPr>
          <w:sz w:val="20"/>
          <w:szCs w:val="20"/>
          <w:color w:val="auto"/>
        </w:rPr>
      </w:pPr>
    </w:p>
    <w:p>
      <w:pPr>
        <w:ind w:left="240" w:right="359" w:firstLine="34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Issuance Notice</w:t>
      </w:r>
      <w:r>
        <w:rPr>
          <w:rFonts w:ascii="Times New Roman" w:cs="Times New Roman" w:eastAsia="Times New Roman" w:hAnsi="Times New Roman"/>
          <w:sz w:val="14"/>
          <w:szCs w:val="14"/>
          <w:color w:val="auto"/>
        </w:rPr>
        <w:t xml:space="preserve">” means a written notice delivered to the Agent by the Company in accordance with this Agreement in the form attached hereto as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that is executed by its Chief Executive Officer, President or Chief Financial Officer.</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Issuance Notice Date</w:t>
      </w:r>
      <w:r>
        <w:rPr>
          <w:rFonts w:ascii="Times New Roman" w:cs="Times New Roman" w:eastAsia="Times New Roman" w:hAnsi="Times New Roman"/>
          <w:sz w:val="14"/>
          <w:szCs w:val="14"/>
          <w:color w:val="auto"/>
        </w:rPr>
        <w:t xml:space="preserve">” means any Trading Day during the Agency Period that an Issuance Notice is delivered pursuant to </w:t>
      </w:r>
      <w:r>
        <w:rPr>
          <w:rFonts w:ascii="Times New Roman" w:cs="Times New Roman" w:eastAsia="Times New Roman" w:hAnsi="Times New Roman"/>
          <w:sz w:val="14"/>
          <w:szCs w:val="14"/>
          <w:u w:val="single" w:color="auto"/>
          <w:color w:val="auto"/>
        </w:rPr>
        <w:t>Section 3(b)(i)</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Issuance Price</w:t>
      </w:r>
      <w:r>
        <w:rPr>
          <w:rFonts w:ascii="Times New Roman" w:cs="Times New Roman" w:eastAsia="Times New Roman" w:hAnsi="Times New Roman"/>
          <w:sz w:val="14"/>
          <w:szCs w:val="14"/>
          <w:color w:val="auto"/>
        </w:rPr>
        <w:t>” means the Sales Price less the Selling Commission.</w:t>
      </w:r>
    </w:p>
    <w:p>
      <w:pPr>
        <w:spacing w:after="0" w:line="174" w:lineRule="exact"/>
        <w:rPr>
          <w:sz w:val="20"/>
          <w:szCs w:val="20"/>
          <w:color w:val="auto"/>
        </w:rPr>
      </w:pPr>
    </w:p>
    <w:p>
      <w:pPr>
        <w:ind w:left="240" w:right="319" w:firstLine="341"/>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Maximum Program Amount</w:t>
      </w:r>
      <w:r>
        <w:rPr>
          <w:rFonts w:ascii="Times New Roman" w:cs="Times New Roman" w:eastAsia="Times New Roman" w:hAnsi="Times New Roman"/>
          <w:sz w:val="14"/>
          <w:szCs w:val="14"/>
          <w:color w:val="auto"/>
        </w:rPr>
        <w:t>” means Common Shares with an aggregate Sales Price of the lesser of (a) the number or dollar amount of Common Shares registered under the effective Registration Statement (defined below) pursuant to which the offering is being made, (b) the number of authorized but unissued Common Shares (less Common Shares issuable upon exercise, conversion or exchange of any outstanding securities of the Company or otherwise reserved from the Company’s authorized capital stock), (c) the number or dollar amount of Common Shares permitted to be sold under Form S-3 (including General Instruction I.B.6 thereof, if applicable), or (d) the number or dollar amount of Common Shares for which the Company has filed a Prospectus (defined below).</w:t>
      </w:r>
    </w:p>
    <w:p>
      <w:pPr>
        <w:spacing w:after="0" w:line="141" w:lineRule="exact"/>
        <w:rPr>
          <w:sz w:val="20"/>
          <w:szCs w:val="20"/>
          <w:color w:val="auto"/>
        </w:rPr>
      </w:pPr>
    </w:p>
    <w:p>
      <w:pPr>
        <w:ind w:left="240" w:right="559" w:firstLine="34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means an individual or a corporation, partnership, limited liability company, trust, incorporated or unincorporated association, joint venture, joint stock company, governmental authority or other entity of any kind.</w:t>
      </w:r>
    </w:p>
    <w:p>
      <w:pPr>
        <w:spacing w:after="0" w:line="122" w:lineRule="exact"/>
        <w:rPr>
          <w:sz w:val="20"/>
          <w:szCs w:val="20"/>
          <w:color w:val="auto"/>
        </w:rPr>
      </w:pPr>
    </w:p>
    <w:p>
      <w:pPr>
        <w:ind w:left="240" w:right="459" w:firstLine="34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Principal Market</w:t>
      </w:r>
      <w:r>
        <w:rPr>
          <w:rFonts w:ascii="Times New Roman" w:cs="Times New Roman" w:eastAsia="Times New Roman" w:hAnsi="Times New Roman"/>
          <w:sz w:val="14"/>
          <w:szCs w:val="14"/>
          <w:color w:val="auto"/>
        </w:rPr>
        <w:t>” means the Nasdaq Global Market or such other national securities exchange on which the Common Shares, including any Shares, are then listed.</w:t>
      </w:r>
    </w:p>
    <w:p>
      <w:pPr>
        <w:spacing w:after="0" w:line="1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Sales Price</w:t>
      </w:r>
      <w:r>
        <w:rPr>
          <w:rFonts w:ascii="Times New Roman" w:cs="Times New Roman" w:eastAsia="Times New Roman" w:hAnsi="Times New Roman"/>
          <w:sz w:val="14"/>
          <w:szCs w:val="14"/>
          <w:color w:val="auto"/>
        </w:rPr>
        <w:t>” means the actual sale execution price of each Share placed by the Agent pursuant to this Agreement.</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 Act</w:t>
      </w:r>
      <w:r>
        <w:rPr>
          <w:rFonts w:ascii="Times New Roman" w:cs="Times New Roman" w:eastAsia="Times New Roman" w:hAnsi="Times New Roman"/>
          <w:sz w:val="14"/>
          <w:szCs w:val="14"/>
          <w:color w:val="auto"/>
        </w:rPr>
        <w:t>” means the Securities Act of 1933, as amended, and the rules and regulations of the Commission thereunder.</w:t>
      </w:r>
    </w:p>
    <w:p>
      <w:pPr>
        <w:spacing w:after="0" w:line="174" w:lineRule="exact"/>
        <w:rPr>
          <w:sz w:val="20"/>
          <w:szCs w:val="20"/>
          <w:color w:val="auto"/>
        </w:rPr>
      </w:pPr>
    </w:p>
    <w:p>
      <w:pPr>
        <w:ind w:left="240" w:right="359" w:firstLine="341"/>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Selling Commission</w:t>
      </w:r>
      <w:r>
        <w:rPr>
          <w:rFonts w:ascii="Times New Roman" w:cs="Times New Roman" w:eastAsia="Times New Roman" w:hAnsi="Times New Roman"/>
          <w:sz w:val="14"/>
          <w:szCs w:val="14"/>
          <w:color w:val="auto"/>
        </w:rPr>
        <w:t>” means up to three percent (3.0%) of the gross proceeds of Shares sold pursuant to this Agreement, or as otherwise agreed between the Company and the Agent with respect to any Shares sold pursuant to this Agreement.</w:t>
      </w:r>
    </w:p>
    <w:p>
      <w:pPr>
        <w:spacing w:after="0" w:line="122" w:lineRule="exact"/>
        <w:rPr>
          <w:sz w:val="20"/>
          <w:szCs w:val="20"/>
          <w:color w:val="auto"/>
        </w:rPr>
      </w:pPr>
    </w:p>
    <w:p>
      <w:pPr>
        <w:ind w:left="240" w:right="499" w:firstLine="341"/>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Settlement Date</w:t>
      </w:r>
      <w:r>
        <w:rPr>
          <w:rFonts w:ascii="Times New Roman" w:cs="Times New Roman" w:eastAsia="Times New Roman" w:hAnsi="Times New Roman"/>
          <w:sz w:val="14"/>
          <w:szCs w:val="14"/>
          <w:color w:val="auto"/>
        </w:rPr>
        <w:t>” means the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Shares</w:t>
      </w:r>
      <w:r>
        <w:rPr>
          <w:rFonts w:ascii="Times New Roman" w:cs="Times New Roman" w:eastAsia="Times New Roman" w:hAnsi="Times New Roman"/>
          <w:sz w:val="14"/>
          <w:szCs w:val="14"/>
          <w:color w:val="auto"/>
        </w:rPr>
        <w:t>” means the Company’s Common Shares issued or issuable pursuant to this Agreement.</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Trading Day</w:t>
      </w:r>
      <w:r>
        <w:rPr>
          <w:rFonts w:ascii="Times New Roman" w:cs="Times New Roman" w:eastAsia="Times New Roman" w:hAnsi="Times New Roman"/>
          <w:sz w:val="14"/>
          <w:szCs w:val="14"/>
          <w:color w:val="auto"/>
        </w:rPr>
        <w:t>” means any day on which the Principal Market is open for trading.</w:t>
      </w:r>
    </w:p>
    <w:p>
      <w:pPr>
        <w:spacing w:after="0" w:line="1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8" w:right="1440" w:bottom="1440" w:gutter="0" w:footer="0" w:header="0"/>
        </w:sectPr>
      </w:pPr>
    </w:p>
    <w:bookmarkStart w:id="56" w:name="page57"/>
    <w:bookmarkEnd w:id="56"/>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Section 2. REPRESENTATIONS AND WARRANTIES OF THE COMPANY</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Company represents and warrants to, and agrees with, the Agent that as of (1) the date of this Agreement, (2) each Issuance Notice Date,</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(3) each Settlement Date, (4) each Triggering Event Date and (5) as of each Time of Sale (each of the times referenced above is referred to herein as a</w:t>
      </w:r>
    </w:p>
    <w:p>
      <w:pPr>
        <w:spacing w:after="0" w:line="6" w:lineRule="exact"/>
        <w:rPr>
          <w:sz w:val="20"/>
          <w:szCs w:val="20"/>
          <w:color w:val="auto"/>
        </w:rPr>
      </w:pPr>
    </w:p>
    <w:p>
      <w:pPr>
        <w:ind w:left="240" w:right="25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Representation Date</w:t>
      </w:r>
      <w:r>
        <w:rPr>
          <w:rFonts w:ascii="Times New Roman" w:cs="Times New Roman" w:eastAsia="Times New Roman" w:hAnsi="Times New Roman"/>
          <w:sz w:val="14"/>
          <w:szCs w:val="14"/>
          <w:color w:val="auto"/>
        </w:rPr>
        <w:t>”), except as may be disclosed in the Prospectus (including any documents incorporated by reference therein and any supplements thereto) on or before a Representation Date, and unless such representation, warranty or agreement specifies a different time:</w:t>
      </w:r>
    </w:p>
    <w:p>
      <w:pPr>
        <w:spacing w:after="0" w:line="57" w:lineRule="exact"/>
        <w:rPr>
          <w:sz w:val="20"/>
          <w:szCs w:val="20"/>
          <w:color w:val="auto"/>
        </w:rPr>
      </w:pPr>
    </w:p>
    <w:p>
      <w:pPr>
        <w:ind w:left="240" w:right="259" w:firstLine="340"/>
        <w:spacing w:after="0" w:line="250" w:lineRule="auto"/>
        <w:tabs>
          <w:tab w:leader="none" w:pos="77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The Company has prepared and has filed, or will file, with the Commission an “automatic shelf registration statement,” as defined under Rule 405 under the Securities Act on Form S-3ASR that contains a base prospectus (the “</w:t>
      </w:r>
      <w:r>
        <w:rPr>
          <w:rFonts w:ascii="Times New Roman" w:cs="Times New Roman" w:eastAsia="Times New Roman" w:hAnsi="Times New Roman"/>
          <w:sz w:val="14"/>
          <w:szCs w:val="14"/>
          <w:b w:val="1"/>
          <w:bCs w:val="1"/>
          <w:color w:val="auto"/>
        </w:rPr>
        <w:t>Base Prospectus</w:t>
      </w:r>
      <w:r>
        <w:rPr>
          <w:rFonts w:ascii="Times New Roman" w:cs="Times New Roman" w:eastAsia="Times New Roman" w:hAnsi="Times New Roman"/>
          <w:sz w:val="14"/>
          <w:szCs w:val="14"/>
          <w:color w:val="auto"/>
        </w:rPr>
        <w:t>”) and a prospectus supplement relating to the shares (the “Prospectus Supplement”). Such registration statement registers the issuance and sale by the Company of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Regulations or deemed to be a part of such registration statement pursuant to Rule 430B under the Securities Act as from time to time amended or supplemented, is herein referred to as the “</w:t>
      </w:r>
      <w:r>
        <w:rPr>
          <w:rFonts w:ascii="Times New Roman" w:cs="Times New Roman" w:eastAsia="Times New Roman" w:hAnsi="Times New Roman"/>
          <w:sz w:val="14"/>
          <w:szCs w:val="14"/>
          <w:b w:val="1"/>
          <w:bCs w:val="1"/>
          <w:color w:val="auto"/>
        </w:rPr>
        <w:t>Registration Statement</w:t>
      </w:r>
      <w:r>
        <w:rPr>
          <w:rFonts w:ascii="Times New Roman" w:cs="Times New Roman" w:eastAsia="Times New Roman" w:hAnsi="Times New Roman"/>
          <w:sz w:val="14"/>
          <w:szCs w:val="14"/>
          <w:color w:val="auto"/>
        </w:rPr>
        <w:t>,” and the Base Prospectus constituting a part of such registration statement(s), together with the Prospectus Supplement and any other prospectus supplement filed with the Commission pursuant to Rule 424(b) under the Securities Act relating to the Shares to be issued from time to time by the Company, including all documents incorporated or deemed to be incorporated therein by reference pursuant to Item 12 of Form S-3 under the Securities Act, in each case, as from time to time amended or supplemented, is referred to herein as the “</w:t>
      </w:r>
      <w:r>
        <w:rPr>
          <w:rFonts w:ascii="Times New Roman" w:cs="Times New Roman" w:eastAsia="Times New Roman" w:hAnsi="Times New Roman"/>
          <w:sz w:val="14"/>
          <w:szCs w:val="14"/>
          <w:b w:val="1"/>
          <w:bCs w:val="1"/>
          <w:color w:val="auto"/>
        </w:rPr>
        <w:t>Prospectus</w:t>
      </w:r>
      <w:r>
        <w:rPr>
          <w:rFonts w:ascii="Times New Roman" w:cs="Times New Roman" w:eastAsia="Times New Roman" w:hAnsi="Times New Roman"/>
          <w:sz w:val="14"/>
          <w:szCs w:val="14"/>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Times New Roman" w:cs="Times New Roman" w:eastAsia="Times New Roman" w:hAnsi="Times New Roman"/>
          <w:sz w:val="14"/>
          <w:szCs w:val="14"/>
          <w:b w:val="1"/>
          <w:bCs w:val="1"/>
          <w:color w:val="auto"/>
        </w:rPr>
        <w:t>Prospectus</w:t>
      </w:r>
      <w:r>
        <w:rPr>
          <w:rFonts w:ascii="Times New Roman" w:cs="Times New Roman" w:eastAsia="Times New Roman" w:hAnsi="Times New Roman"/>
          <w:sz w:val="14"/>
          <w:szCs w:val="14"/>
          <w:color w:val="auto"/>
        </w:rPr>
        <w:t>” shall refer to such revised prospectus from and after the time it is first provided to the Agent for such use. The Registration Statement at the time it originally became or becomes automatically effective is herein called the “</w:t>
      </w:r>
      <w:r>
        <w:rPr>
          <w:rFonts w:ascii="Times New Roman" w:cs="Times New Roman" w:eastAsia="Times New Roman" w:hAnsi="Times New Roman"/>
          <w:sz w:val="14"/>
          <w:szCs w:val="14"/>
          <w:b w:val="1"/>
          <w:bCs w:val="1"/>
          <w:color w:val="auto"/>
        </w:rPr>
        <w:t>Original Registration Statement</w:t>
      </w:r>
      <w:r>
        <w:rPr>
          <w:rFonts w:ascii="Times New Roman" w:cs="Times New Roman" w:eastAsia="Times New Roman" w:hAnsi="Times New Roman"/>
          <w:sz w:val="14"/>
          <w:szCs w:val="14"/>
          <w:color w:val="auto"/>
        </w:rPr>
        <w:t>.” As used in this Agreement, the terms “amend,” “amendment” or “supplement” when applied to the Registration Statement, the Prospectus or any Issuer Free Writing Prospectus shall be deemed to refer to and include the filing by the Company with the Commission of any document under the Exchange Act on or after the most-recent effective date of the Registration Statement, or the date of the Prospectus or such Issuer Free Writing Prospectus, as the case may be, that is or is deemed to be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cs="Times New Roman" w:eastAsia="Times New Roman" w:hAnsi="Times New Roman"/>
          <w:sz w:val="14"/>
          <w:szCs w:val="14"/>
          <w:b w:val="1"/>
          <w:bCs w:val="1"/>
          <w:color w:val="auto"/>
        </w:rPr>
        <w:t>EDGAR</w:t>
      </w:r>
      <w:r>
        <w:rPr>
          <w:rFonts w:ascii="Times New Roman" w:cs="Times New Roman" w:eastAsia="Times New Roman" w:hAnsi="Times New Roman"/>
          <w:sz w:val="14"/>
          <w:szCs w:val="14"/>
          <w:color w:val="auto"/>
        </w:rPr>
        <w: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8" w:right="1440" w:bottom="1440" w:gutter="0" w:footer="0" w:header="0"/>
        </w:sectPr>
      </w:pPr>
    </w:p>
    <w:bookmarkStart w:id="57" w:name="page58"/>
    <w:bookmarkEnd w:id="57"/>
    <w:p>
      <w:pPr>
        <w:ind w:left="240" w:right="279" w:firstLine="341"/>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All references in this Agreement to financial statements and schedules and other information which is “contained,” “included” or “stated” in the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or the Prospectus, as the case may be, as of any specified date; and all references in this Agreement to amendments or supplements to the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or the Prospectus, as the case may be, as of any specified date.</w:t>
      </w:r>
    </w:p>
    <w:p>
      <w:pPr>
        <w:spacing w:after="0" w:line="146" w:lineRule="exact"/>
        <w:rPr>
          <w:sz w:val="20"/>
          <w:szCs w:val="20"/>
          <w:color w:val="auto"/>
        </w:rPr>
      </w:pPr>
    </w:p>
    <w:p>
      <w:pPr>
        <w:ind w:left="240" w:right="259" w:firstLine="341"/>
        <w:spacing w:after="0" w:line="253" w:lineRule="auto"/>
        <w:rPr>
          <w:sz w:val="20"/>
          <w:szCs w:val="20"/>
          <w:color w:val="auto"/>
        </w:rPr>
      </w:pPr>
      <w:r>
        <w:rPr>
          <w:rFonts w:ascii="Times New Roman" w:cs="Times New Roman" w:eastAsia="Times New Roman" w:hAnsi="Times New Roman"/>
          <w:sz w:val="14"/>
          <w:szCs w:val="14"/>
          <w:color w:val="auto"/>
        </w:rPr>
        <w:t>At the time the Original Registration Statement becomes automatically effective and at the time of the most recent amendment thereto for the purposes of complying with Section 10(a)(3) of the Securities Act (whether such amendment was by post-effective amendment, incorporated report filed pursuant to Section 13 or 15(d) of the Exchange Act or form of prospectus), the Company was, or will be, a “well known seasoned issuer” as defined in Rule 405 under the Securities Act. The Original Registration Statement is an “automatic shelf registration statement,” as defined in Rule 405 under the Securities Act, and will become automatically effective upon filing. The Company has not received from the Commission any notice pursuant to Rule 401(g)(2) under the Securities Act objecting to the Company’s use of the automatic shelf registration form. The Company meets the requirements for use of Form S-3 under the Securities Act. During the Agency Period, each time the Company files an annual report on Form 10-K the Company will meet the then-applicable requirements for use of Form S-3 under the Securities Act.</w:t>
      </w:r>
    </w:p>
    <w:p>
      <w:pPr>
        <w:spacing w:after="0" w:line="148" w:lineRule="exact"/>
        <w:rPr>
          <w:sz w:val="20"/>
          <w:szCs w:val="20"/>
          <w:color w:val="auto"/>
        </w:rPr>
      </w:pPr>
    </w:p>
    <w:p>
      <w:pPr>
        <w:ind w:left="240" w:right="259" w:firstLine="340"/>
        <w:spacing w:after="0" w:line="257" w:lineRule="auto"/>
        <w:tabs>
          <w:tab w:leader="none" w:pos="778"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Compliance with Registration Requirements</w:t>
      </w:r>
      <w:r>
        <w:rPr>
          <w:rFonts w:ascii="Times New Roman" w:cs="Times New Roman" w:eastAsia="Times New Roman" w:hAnsi="Times New Roman"/>
          <w:sz w:val="14"/>
          <w:szCs w:val="14"/>
          <w:color w:val="auto"/>
        </w:rPr>
        <w:t>. The Original Registration Statement and any Rule 462(b) Registration Statement (as defined below) will be automatically effective upon filing with the Commission under the Securities Act prior to the date of their first use. The Company has complied or will comply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w:t>
      </w:r>
    </w:p>
    <w:p>
      <w:pPr>
        <w:spacing w:after="0" w:line="142" w:lineRule="exact"/>
        <w:rPr>
          <w:sz w:val="20"/>
          <w:szCs w:val="20"/>
          <w:color w:val="auto"/>
        </w:rPr>
      </w:pPr>
    </w:p>
    <w:p>
      <w:pPr>
        <w:ind w:left="240" w:right="279" w:firstLine="341"/>
        <w:spacing w:after="0" w:line="252" w:lineRule="auto"/>
        <w:rPr>
          <w:sz w:val="20"/>
          <w:szCs w:val="20"/>
          <w:color w:val="auto"/>
        </w:rPr>
      </w:pPr>
      <w:r>
        <w:rPr>
          <w:rFonts w:ascii="Times New Roman" w:cs="Times New Roman" w:eastAsia="Times New Roman" w:hAnsi="Times New Roman"/>
          <w:sz w:val="14"/>
          <w:szCs w:val="14"/>
          <w:color w:val="auto"/>
        </w:rPr>
        <w:t>The Prospectus as of its date complied or will comply in all material respects with the Securities Act and, if filed with the Commission through EDGAR (except as may be permitted by Regulation S-T under the Securities Act), was identical to the copy thereof delivered to the Agent for use in connection with the issuance and sale of the Shares. Each of the Registration Statement, any Rule 462(b) Registration Statement and any post-effective amendment thereto, at the time it became or becomes effective and at all subsequent times, complied and will comply in all material respects with the Securities Act and, at the time it became or becomes effective and at each Settlement Date, did not and will not contain any untrue statement of a material fact or omit to state a material fact required to be stated therein or necessary to make the statements therein not misleading. As of the date of this Agreement, the Prospectus and any Free Writing Prospectus (as defined below) considered together (collectively, the “</w:t>
      </w:r>
      <w:r>
        <w:rPr>
          <w:rFonts w:ascii="Times New Roman" w:cs="Times New Roman" w:eastAsia="Times New Roman" w:hAnsi="Times New Roman"/>
          <w:sz w:val="14"/>
          <w:szCs w:val="14"/>
          <w:b w:val="1"/>
          <w:bCs w:val="1"/>
          <w:color w:val="auto"/>
        </w:rPr>
        <w:t>Time of Sale Information</w:t>
      </w:r>
      <w:r>
        <w:rPr>
          <w:rFonts w:ascii="Times New Roman" w:cs="Times New Roman" w:eastAsia="Times New Roman" w:hAnsi="Times New Roman"/>
          <w:sz w:val="14"/>
          <w:szCs w:val="14"/>
          <w:color w:val="auto"/>
        </w:rPr>
        <w:t>”) did not contain any untrue statement of a material fact or omit to state a material fact necessary to make the statements therein, in the light of the circumstances under which they were made, not misleading. The Prospectus, as amended or supplemented, as of its date, did not and, at each Settlement Date, will not contain any untrue statement of a material fact or omit to state a material fact necessary in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58" w:name="page59"/>
    <w:bookmarkEnd w:id="58"/>
    <w:p>
      <w:pPr>
        <w:ind w:left="240" w:right="25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order to make the statements therein, in the light of the circumstances under which they were made, not misleading. The representations and warranties set forth in the three immediately preceding sentences do not apply to statements in or omissions from the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148" w:lineRule="exact"/>
        <w:rPr>
          <w:sz w:val="20"/>
          <w:szCs w:val="20"/>
          <w:color w:val="auto"/>
        </w:rPr>
      </w:pPr>
    </w:p>
    <w:p>
      <w:pPr>
        <w:ind w:left="240" w:right="319" w:firstLine="340"/>
        <w:spacing w:after="0" w:line="257" w:lineRule="auto"/>
        <w:tabs>
          <w:tab w:leader="none" w:pos="77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Incorporated Documents</w:t>
      </w:r>
      <w:r>
        <w:rPr>
          <w:rFonts w:ascii="Times New Roman" w:cs="Times New Roman" w:eastAsia="Times New Roman" w:hAnsi="Times New Roman"/>
          <w:sz w:val="14"/>
          <w:szCs w:val="14"/>
          <w:color w:val="auto"/>
        </w:rPr>
        <w:t>. The documents incorporated or deemed to be incorporated by reference in the Registration Statement and the Prospectus, at the time they were or hereafter are filed with the Commission, complied and will comply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41" w:lineRule="exact"/>
        <w:rPr>
          <w:rFonts w:ascii="Times New Roman" w:cs="Times New Roman" w:eastAsia="Times New Roman" w:hAnsi="Times New Roman"/>
          <w:sz w:val="14"/>
          <w:szCs w:val="14"/>
          <w:color w:val="auto"/>
        </w:rPr>
      </w:pPr>
    </w:p>
    <w:p>
      <w:pPr>
        <w:ind w:left="240" w:right="259" w:firstLine="340"/>
        <w:spacing w:after="0" w:line="257" w:lineRule="auto"/>
        <w:tabs>
          <w:tab w:leader="none" w:pos="778"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Exchange Listing</w:t>
      </w:r>
      <w:r>
        <w:rPr>
          <w:rFonts w:ascii="Times New Roman" w:cs="Times New Roman" w:eastAsia="Times New Roman" w:hAnsi="Times New Roman"/>
          <w:sz w:val="14"/>
          <w:szCs w:val="14"/>
          <w:color w:val="auto"/>
        </w:rPr>
        <w:t>. The Common Shares are registered pursuant to Section 12(b) or 12(g) of the Exchange Act and are listed on the Principal Market, and the Company has taken no action designed to, or likely to have the effect of, terminating the registration of the Common Shares under the Exchange Act or delisting the Common Shares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41" w:lineRule="exact"/>
        <w:rPr>
          <w:rFonts w:ascii="Times New Roman" w:cs="Times New Roman" w:eastAsia="Times New Roman" w:hAnsi="Times New Roman"/>
          <w:sz w:val="14"/>
          <w:szCs w:val="14"/>
          <w:color w:val="auto"/>
        </w:rPr>
      </w:pPr>
    </w:p>
    <w:p>
      <w:pPr>
        <w:ind w:left="240" w:right="299" w:firstLine="340"/>
        <w:spacing w:after="0" w:line="259" w:lineRule="auto"/>
        <w:tabs>
          <w:tab w:leader="none" w:pos="77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Conformity with Securities Act and Exchange Act</w:t>
      </w:r>
      <w:r>
        <w:rPr>
          <w:rFonts w:ascii="Times New Roman" w:cs="Times New Roman" w:eastAsia="Times New Roman" w:hAnsi="Times New Roman"/>
          <w:sz w:val="14"/>
          <w:szCs w:val="14"/>
          <w:color w:val="auto"/>
        </w:rPr>
        <w:t>. The Registration Statement, the Prospectus, any Issuer Free Writing Prospectus or any amendment or supplement thereto, and any documents incorporated by reference therein,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41" w:lineRule="exact"/>
        <w:rPr>
          <w:rFonts w:ascii="Times New Roman" w:cs="Times New Roman" w:eastAsia="Times New Roman" w:hAnsi="Times New Roman"/>
          <w:sz w:val="14"/>
          <w:szCs w:val="14"/>
          <w:color w:val="auto"/>
        </w:rPr>
      </w:pPr>
    </w:p>
    <w:p>
      <w:pPr>
        <w:ind w:left="240" w:right="279" w:firstLine="340"/>
        <w:spacing w:after="0" w:line="254" w:lineRule="auto"/>
        <w:tabs>
          <w:tab w:leader="none" w:pos="755"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Financial Information</w:t>
      </w:r>
      <w:r>
        <w:rPr>
          <w:rFonts w:ascii="Times New Roman" w:cs="Times New Roman" w:eastAsia="Times New Roman" w:hAnsi="Times New Roman"/>
          <w:sz w:val="14"/>
          <w:szCs w:val="14"/>
          <w:color w:val="auto"/>
        </w:rPr>
        <w:t>. The financial statements of the Company included or incorporated by reference in the Registration Statement, the Prospectus and the Issuer Free Writing Prospectuses, if any, together with the related notes and schedules, present fairly, in all material respects, the financial position of the Company as of the dates indicated and the results of operations, cash flows and changes in stockholders’ equity of the Company for the periods specified (subject, in the case of unaudited statements, to normal and recurring year-end audit adjustments) and have been prepared in compliance with the requirements of the Securities Act and Exchange Act, as applicable, and in conformity with U.S. generally accepted accounting principles (“</w:t>
      </w:r>
      <w:r>
        <w:rPr>
          <w:rFonts w:ascii="Times New Roman" w:cs="Times New Roman" w:eastAsia="Times New Roman" w:hAnsi="Times New Roman"/>
          <w:sz w:val="14"/>
          <w:szCs w:val="14"/>
          <w:b w:val="1"/>
          <w:bCs w:val="1"/>
          <w:color w:val="auto"/>
        </w:rPr>
        <w:t>GAAP</w:t>
      </w:r>
      <w:r>
        <w:rPr>
          <w:rFonts w:ascii="Times New Roman" w:cs="Times New Roman" w:eastAsia="Times New Roman" w:hAnsi="Times New Roman"/>
          <w:sz w:val="14"/>
          <w:szCs w:val="14"/>
          <w:color w:val="auto"/>
        </w:rPr>
        <w:t>”) applied on a consistent basis (except for such adjustments to accounting standards and practices as are noted therein) during the periods involved (except that any interim statements are in condensed form and do not contain all footnotes that would be required under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0" w:right="1440" w:bottom="1440" w:gutter="0" w:footer="0" w:header="0"/>
        </w:sectPr>
      </w:pPr>
    </w:p>
    <w:bookmarkStart w:id="59" w:name="page60"/>
    <w:bookmarkEnd w:id="59"/>
    <w:p>
      <w:pPr>
        <w:ind w:left="240" w:right="29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GAAP and are subject to year-end audit adjustments); the other financial and statistical data with respect to the Company contained or incorporated by reference in the Registration Statement, the Prospectus and the Issuer Free Writing Prospectuses, if any, are accurately and fairly presented in all material respects and prepared on a basis consistent, in all material respects, with the financial statements (in the case of financial data only)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does not have any material liabilities or obligations, direct or contingent (including any off-balance sheet obligations), that are required to be described in the Registration Statement and the Prospectus that are not described in the Registration Statement (excluding the exhibits thereto) and the Prospectus; and all disclosures contained or incorporated by reference in the Registration Statement, the Prospectus and the Issuer Free Writing Prospectuses, if any, regarding “non-GAAP financial measures” (as such term is defined by the rules and regulations of the Commission) comply in all material respects with Regulation G of the Exchange Act and Item 10 of Regulation S-K under the Securities Act, to the extent applicable.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w:t>
      </w:r>
    </w:p>
    <w:p>
      <w:pPr>
        <w:spacing w:after="0" w:line="146" w:lineRule="exact"/>
        <w:rPr>
          <w:sz w:val="20"/>
          <w:szCs w:val="20"/>
          <w:color w:val="auto"/>
        </w:rPr>
      </w:pPr>
    </w:p>
    <w:p>
      <w:pPr>
        <w:ind w:left="240" w:right="479" w:firstLine="340"/>
        <w:spacing w:after="0" w:line="265" w:lineRule="auto"/>
        <w:tabs>
          <w:tab w:leader="none" w:pos="778"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Conformity with EDGAR Filing</w:t>
      </w:r>
      <w:r>
        <w:rPr>
          <w:rFonts w:ascii="Times New Roman" w:cs="Times New Roman" w:eastAsia="Times New Roman" w:hAnsi="Times New Roman"/>
          <w:sz w:val="14"/>
          <w:szCs w:val="14"/>
          <w:color w:val="auto"/>
        </w:rPr>
        <w:t>. The Prospectus delivered to Agent for use in connection with the sale of the Shares pursuant to this Agreement will be identical to the versions of the Prospectus created to be transmitted to the Commission for filing via EDGAR, except to the extent permitted by Regulation S-T under the Securities Act.</w:t>
      </w:r>
    </w:p>
    <w:p>
      <w:pPr>
        <w:spacing w:after="0" w:line="135" w:lineRule="exact"/>
        <w:rPr>
          <w:rFonts w:ascii="Times New Roman" w:cs="Times New Roman" w:eastAsia="Times New Roman" w:hAnsi="Times New Roman"/>
          <w:sz w:val="14"/>
          <w:szCs w:val="14"/>
          <w:color w:val="auto"/>
        </w:rPr>
      </w:pPr>
    </w:p>
    <w:p>
      <w:pPr>
        <w:ind w:left="240" w:right="279" w:firstLine="340"/>
        <w:spacing w:after="0" w:line="253" w:lineRule="auto"/>
        <w:tabs>
          <w:tab w:leader="none" w:pos="778"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Organization</w:t>
      </w:r>
      <w:r>
        <w:rPr>
          <w:rFonts w:ascii="Times New Roman" w:cs="Times New Roman" w:eastAsia="Times New Roman" w:hAnsi="Times New Roman"/>
          <w:sz w:val="14"/>
          <w:szCs w:val="14"/>
          <w:color w:val="auto"/>
        </w:rPr>
        <w:t>. The Company is duly incorporated, validly existing as a corporation and in good standing under the laws of its jurisdiction of incorporation. The Company is duly licensed or qualified as a foreign corporation for the transaction of business and in good standing under the laws of each other jurisdiction in which its ownership or lease of property or the conduct of its business requires such license or qualification, and has all corporate power and authority necessary to own or hold its properties and to conduct its business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the assets, business, operations, earnings, properties, condition (financial or otherwise), prospects, stockholders’ equity or results of operations of the Company, or prevent or materially interfere with consummation of the transactions contemplated hereby (a “</w:t>
      </w:r>
      <w:r>
        <w:rPr>
          <w:rFonts w:ascii="Times New Roman" w:cs="Times New Roman" w:eastAsia="Times New Roman" w:hAnsi="Times New Roman"/>
          <w:sz w:val="14"/>
          <w:szCs w:val="14"/>
          <w:b w:val="1"/>
          <w:bCs w:val="1"/>
          <w:color w:val="auto"/>
        </w:rPr>
        <w:t>Material Adverse Effect</w:t>
      </w:r>
      <w:r>
        <w:rPr>
          <w:rFonts w:ascii="Times New Roman" w:cs="Times New Roman" w:eastAsia="Times New Roman" w:hAnsi="Times New Roman"/>
          <w:sz w:val="14"/>
          <w:szCs w:val="14"/>
          <w:color w:val="auto"/>
        </w:rPr>
        <w:t>”).</w:t>
      </w:r>
    </w:p>
    <w:p>
      <w:pPr>
        <w:spacing w:after="0" w:line="147" w:lineRule="exact"/>
        <w:rPr>
          <w:rFonts w:ascii="Times New Roman" w:cs="Times New Roman" w:eastAsia="Times New Roman" w:hAnsi="Times New Roman"/>
          <w:sz w:val="14"/>
          <w:szCs w:val="14"/>
          <w:color w:val="auto"/>
        </w:rPr>
      </w:pPr>
    </w:p>
    <w:p>
      <w:pPr>
        <w:ind w:left="740" w:hanging="160"/>
        <w:spacing w:after="0"/>
        <w:tabs>
          <w:tab w:leader="none" w:pos="7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Subsidiaries</w:t>
      </w:r>
      <w:r>
        <w:rPr>
          <w:rFonts w:ascii="Times New Roman" w:cs="Times New Roman" w:eastAsia="Times New Roman" w:hAnsi="Times New Roman"/>
          <w:sz w:val="14"/>
          <w:szCs w:val="14"/>
          <w:color w:val="auto"/>
        </w:rPr>
        <w:t>. The Company has no subsidiaries (as defined in Rule 405 under the Securities Act).</w:t>
      </w:r>
    </w:p>
    <w:p>
      <w:pPr>
        <w:spacing w:after="0" w:line="173" w:lineRule="exact"/>
        <w:rPr>
          <w:rFonts w:ascii="Times New Roman" w:cs="Times New Roman" w:eastAsia="Times New Roman" w:hAnsi="Times New Roman"/>
          <w:sz w:val="14"/>
          <w:szCs w:val="14"/>
          <w:color w:val="auto"/>
        </w:rPr>
      </w:pPr>
    </w:p>
    <w:p>
      <w:pPr>
        <w:jc w:val="both"/>
        <w:ind w:left="240" w:right="419" w:firstLine="340"/>
        <w:spacing w:after="0" w:line="259" w:lineRule="auto"/>
        <w:tabs>
          <w:tab w:leader="none" w:pos="747"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Violation or Default</w:t>
      </w:r>
      <w:r>
        <w:rPr>
          <w:rFonts w:ascii="Times New Roman" w:cs="Times New Roman" w:eastAsia="Times New Roman" w:hAnsi="Times New Roman"/>
          <w:sz w:val="14"/>
          <w:szCs w:val="14"/>
          <w:color w:val="auto"/>
        </w:rPr>
        <w:t>. The Company is not (i) in violation of its certificate of incorporation or bylaws;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are subject (an “</w:t>
      </w:r>
      <w:r>
        <w:rPr>
          <w:rFonts w:ascii="Times New Roman" w:cs="Times New Roman" w:eastAsia="Times New Roman" w:hAnsi="Times New Roman"/>
          <w:sz w:val="14"/>
          <w:szCs w:val="14"/>
          <w:b w:val="1"/>
          <w:bCs w:val="1"/>
          <w:color w:val="auto"/>
        </w:rPr>
        <w:t>Existing Instrument</w:t>
      </w:r>
      <w:r>
        <w:rPr>
          <w:rFonts w:ascii="Times New Roman" w:cs="Times New Roman" w:eastAsia="Times New Roman" w:hAnsi="Times New Roman"/>
          <w:sz w:val="14"/>
          <w:szCs w:val="14"/>
          <w:color w:val="auto"/>
        </w:rPr>
        <w:t>”); or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60" w:name="page61"/>
    <w:bookmarkEnd w:id="60"/>
    <w:p>
      <w:pPr>
        <w:ind w:left="480" w:hanging="242"/>
        <w:spacing w:after="0"/>
        <w:tabs>
          <w:tab w:leader="none" w:pos="4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 violation of any law or statute or any judgment, order, rule or regulation of any Governmental Authority, except, in the case of each of clauses</w:t>
      </w:r>
    </w:p>
    <w:p>
      <w:pPr>
        <w:spacing w:after="0" w:line="21" w:lineRule="exact"/>
        <w:rPr>
          <w:rFonts w:ascii="Times New Roman" w:cs="Times New Roman" w:eastAsia="Times New Roman" w:hAnsi="Times New Roman"/>
          <w:sz w:val="14"/>
          <w:szCs w:val="14"/>
          <w:color w:val="auto"/>
        </w:rPr>
      </w:pPr>
    </w:p>
    <w:p>
      <w:pPr>
        <w:ind w:left="240" w:right="259" w:hanging="2"/>
        <w:spacing w:after="0" w:line="250" w:lineRule="auto"/>
        <w:tabs>
          <w:tab w:leader="none" w:pos="445"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 (iii) above, for any such violation or default that would not, individually or in the aggregate, reasonably be expected to have a Material Adverse Effect. The Company’s execution, delivery and performance of this Agreement, consummation of the transactions contemplated hereby and by the Registration Statement and the Prospectus and the issuance and sale of the Shares (including the use of proceeds from the sale of the Shares as described in the Registration Statement and the Prospectus under the caption “Use of Proceeds”) (i) have been duly authorized by all necessary corporate action and will not result in any violation of the provisions of the certificate of incorporation or bylaws of the Company (ii) will not conflict with or constitute a breach of, or default or a Debt Repayment Triggering Event (as defined below) under, or result in the creation or imposition of any lien, charge or encumbrance upon any property or assets of the Company pursuant to, or require the consent of any other party to, any Existing Instrument, except as could not be expected, individually or in the aggregate, to have a Material Adverse Effect and (iii) will not result in any violation of any law, administrative regulation or administrative or court decree applicable to the Company, except as could not be expected, individually or in the aggregate, to have a Material Adverse Effect. As used herein, a “</w:t>
      </w:r>
      <w:r>
        <w:rPr>
          <w:rFonts w:ascii="Times New Roman" w:cs="Times New Roman" w:eastAsia="Times New Roman" w:hAnsi="Times New Roman"/>
          <w:sz w:val="14"/>
          <w:szCs w:val="14"/>
          <w:b w:val="1"/>
          <w:bCs w:val="1"/>
          <w:color w:val="auto"/>
        </w:rPr>
        <w:t>Debt Repayment Triggering Event</w:t>
      </w:r>
      <w:r>
        <w:rPr>
          <w:rFonts w:ascii="Times New Roman" w:cs="Times New Roman" w:eastAsia="Times New Roman" w:hAnsi="Times New Roman"/>
          <w:sz w:val="14"/>
          <w:szCs w:val="14"/>
          <w:color w:val="auto"/>
        </w:rPr>
        <w:t>” means any event or condition which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w:t>
      </w:r>
    </w:p>
    <w:p>
      <w:pPr>
        <w:spacing w:after="0" w:line="147" w:lineRule="exact"/>
        <w:rPr>
          <w:rFonts w:ascii="Times New Roman" w:cs="Times New Roman" w:eastAsia="Times New Roman" w:hAnsi="Times New Roman"/>
          <w:sz w:val="14"/>
          <w:szCs w:val="14"/>
          <w:color w:val="auto"/>
        </w:rPr>
      </w:pPr>
    </w:p>
    <w:p>
      <w:pPr>
        <w:ind w:left="240" w:right="299" w:firstLine="340"/>
        <w:spacing w:after="0" w:line="252" w:lineRule="auto"/>
        <w:tabs>
          <w:tab w:leader="none" w:pos="778"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Material Adverse Change</w:t>
      </w:r>
      <w:r>
        <w:rPr>
          <w:rFonts w:ascii="Times New Roman" w:cs="Times New Roman" w:eastAsia="Times New Roman" w:hAnsi="Times New Roman"/>
          <w:sz w:val="14"/>
          <w:szCs w:val="14"/>
          <w:color w:val="auto"/>
        </w:rPr>
        <w:t>. Subsequent to the respective dates as of which information is given in the Registration Statement, the Prospectus and the Issuer Free Writing Prospectuses, if any (including any documents incorporated by reference therein), there has not been (i) any Material Adverse Effect or the occurrence of any development that the Company reasonably expects will result in a Material Adverse Effect, (ii) any transaction which is material to the Company, (iii) any material obligation or liability, direct or contingent (including any off-balance sheet obligations), incurred by the Company, (iv) any material change in the capital stock or any material increase in the outstanding long-term indebtedness of the Company (other than (a) as a result of the sale of Shares, or (b) changes in the number of shares of outstanding Common Stock of the Company due to the issuance of shares upon the exercise or conversion of securities exercisable for, or convertible into, shares of Common Stock outstanding on the date hereof, or the vesting of restricted stock units outstanding on the date hereof) or (v) any dividend or distribution of any kind declared, paid or made on the capital stock of the Company, other than in each case above in the ordinary course of business or as otherwise disclosed in the Registration Statement or Prospectus (including any document deemed incorporated by reference therein).</w:t>
      </w:r>
    </w:p>
    <w:p>
      <w:pPr>
        <w:spacing w:after="0" w:line="149" w:lineRule="exact"/>
        <w:rPr>
          <w:rFonts w:ascii="Times New Roman" w:cs="Times New Roman" w:eastAsia="Times New Roman" w:hAnsi="Times New Roman"/>
          <w:sz w:val="14"/>
          <w:szCs w:val="14"/>
          <w:color w:val="auto"/>
        </w:rPr>
      </w:pPr>
    </w:p>
    <w:p>
      <w:pPr>
        <w:ind w:left="240" w:right="359" w:firstLine="340"/>
        <w:spacing w:after="0" w:line="255" w:lineRule="auto"/>
        <w:tabs>
          <w:tab w:leader="none" w:pos="747"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Capitalization</w:t>
      </w:r>
      <w:r>
        <w:rPr>
          <w:rFonts w:ascii="Times New Roman" w:cs="Times New Roman" w:eastAsia="Times New Roman" w:hAnsi="Times New Roman"/>
          <w:sz w:val="14"/>
          <w:szCs w:val="14"/>
          <w:color w:val="auto"/>
        </w:rPr>
        <w:t>. The issued and outstanding shares of capital stock of the Company have been validly issued, are fully paid and nonassessable and, other than as disclosed in the Registration Statement or the Prospectus, are not subject to any preemptive rights, rights of first refusal or similar rights to subscribe for or purchase securities of the Company. The Company has an authorized, issued and outstanding capitalization as set forth in the Registration Statement and the Prospectus as of the dates referred to therein (other than the grant of additional options or other securities under the Company’s existing employee benefits plans, or changes in the number of outstanding shares of Common Stock of the Company due to the issuance of shares upon the exercise or conversion of securities exercisable for, or convertible into, Common Stock</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61" w:name="page62"/>
    <w:bookmarkEnd w:id="61"/>
    <w:p>
      <w:pPr>
        <w:ind w:left="240" w:right="25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outstanding on the date hereof, or due to the issuance of shares in connection with Company’s Employee Stock Purchase Plan) and such authorized capital stock conforms to the description thereof set forth in the Registration Statement and the Prospectus. The description of the securities of the Company in the Registration Statement and the Prospectus is complete and accurate in all material respects. Except as disclosed in or contemplated by the Registration Statement or the Prospectus,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w:t>
      </w:r>
    </w:p>
    <w:p>
      <w:pPr>
        <w:spacing w:after="0" w:line="145" w:lineRule="exact"/>
        <w:rPr>
          <w:sz w:val="20"/>
          <w:szCs w:val="20"/>
          <w:color w:val="auto"/>
        </w:rPr>
      </w:pPr>
    </w:p>
    <w:p>
      <w:pPr>
        <w:ind w:left="240" w:right="379" w:firstLine="340"/>
        <w:spacing w:after="0" w:line="257" w:lineRule="auto"/>
        <w:tabs>
          <w:tab w:leader="none" w:pos="817"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Authorization; Enforceability</w:t>
      </w:r>
      <w:r>
        <w:rPr>
          <w:rFonts w:ascii="Times New Roman" w:cs="Times New Roman" w:eastAsia="Times New Roman" w:hAnsi="Times New Roman"/>
          <w:sz w:val="14"/>
          <w:szCs w:val="14"/>
          <w:color w:val="auto"/>
        </w:rPr>
        <w:t>.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in accordance with its terms, except to the extent that enforceability may be limited by bankruptcy, insolvency, reorganization, moratorium or similar laws affecting creditors’ rights generally and by general equitable principles and that the enforceability of the indemnification and contribution provisions may be limited by federal and state securities laws and principles of public policy.</w:t>
      </w:r>
    </w:p>
    <w:p>
      <w:pPr>
        <w:spacing w:after="0" w:line="141" w:lineRule="exact"/>
        <w:rPr>
          <w:rFonts w:ascii="Times New Roman" w:cs="Times New Roman" w:eastAsia="Times New Roman" w:hAnsi="Times New Roman"/>
          <w:sz w:val="14"/>
          <w:szCs w:val="14"/>
          <w:color w:val="auto"/>
        </w:rPr>
      </w:pPr>
    </w:p>
    <w:p>
      <w:pPr>
        <w:ind w:left="240" w:right="259" w:firstLine="340"/>
        <w:spacing w:after="0" w:line="254" w:lineRule="auto"/>
        <w:tabs>
          <w:tab w:leader="none" w:pos="77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Authorization of Shares</w:t>
      </w:r>
      <w:r>
        <w:rPr>
          <w:rFonts w:ascii="Times New Roman" w:cs="Times New Roman" w:eastAsia="Times New Roman" w:hAnsi="Times New Roman"/>
          <w:sz w:val="14"/>
          <w:szCs w:val="14"/>
          <w:color w:val="auto"/>
        </w:rPr>
        <w:t>. The Shares, when issued and delivered pursuant to the terms approved by the board of directors of the Company or a duly authorized committee thereof, or a duly authorized Executive Committee, against payment therefor as provided herein, will be duly authorized, validly issued, fully paid and nonassessable, free and clear of any pledge, lien, encumbrance, security interest or other claim (other than any pledge, lien, encumbrance, security interest or other claim arising from an act or omission of the Agent or a purchaser), including any statutory or contractual preemptive rights, resale rights, rights of first refusal or other similar rights to subscribe for or purchase the Shares, and will be registered pursuant to Section 12 of the Exchange Act. The Shares, when issued, will conform in all material respects to the description thereof set forth in or incorporated into the Prospectus.</w:t>
      </w:r>
    </w:p>
    <w:p>
      <w:pPr>
        <w:spacing w:after="0" w:line="145" w:lineRule="exact"/>
        <w:rPr>
          <w:rFonts w:ascii="Times New Roman" w:cs="Times New Roman" w:eastAsia="Times New Roman" w:hAnsi="Times New Roman"/>
          <w:sz w:val="14"/>
          <w:szCs w:val="14"/>
          <w:color w:val="auto"/>
        </w:rPr>
      </w:pPr>
    </w:p>
    <w:p>
      <w:pPr>
        <w:ind w:left="240" w:right="259" w:firstLine="340"/>
        <w:spacing w:after="0" w:line="257" w:lineRule="auto"/>
        <w:tabs>
          <w:tab w:leader="none" w:pos="77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Consents Required</w:t>
      </w:r>
      <w:r>
        <w:rPr>
          <w:rFonts w:ascii="Times New Roman" w:cs="Times New Roman" w:eastAsia="Times New Roman" w:hAnsi="Times New Roman"/>
          <w:sz w:val="14"/>
          <w:szCs w:val="14"/>
          <w:color w:val="auto"/>
        </w:rPr>
        <w:t>. No consent, approval, authorization, order, registration or qualification of or with any Governmental Authority is required for the execution, delivery and performance by the Company of this Agreement, the issuance and sale by the Company of the Shares, except for the registration of the Shares under the Securities Act and such consents, approvals, authorizations, orders and registrations or qualifications as may be required under applicable state securities laws or by the by-laws and rules of the Financial Industry Regulatory Authority (“</w:t>
      </w:r>
      <w:r>
        <w:rPr>
          <w:rFonts w:ascii="Times New Roman" w:cs="Times New Roman" w:eastAsia="Times New Roman" w:hAnsi="Times New Roman"/>
          <w:sz w:val="14"/>
          <w:szCs w:val="14"/>
          <w:b w:val="1"/>
          <w:bCs w:val="1"/>
          <w:color w:val="auto"/>
        </w:rPr>
        <w:t>FINRA</w:t>
      </w:r>
      <w:r>
        <w:rPr>
          <w:rFonts w:ascii="Times New Roman" w:cs="Times New Roman" w:eastAsia="Times New Roman" w:hAnsi="Times New Roman"/>
          <w:sz w:val="14"/>
          <w:szCs w:val="14"/>
          <w:color w:val="auto"/>
        </w:rPr>
        <w:t>”) or the Exchange in connection with the sale of the Shares by the Agent.</w:t>
      </w:r>
    </w:p>
    <w:p>
      <w:pPr>
        <w:spacing w:after="0" w:line="141" w:lineRule="exact"/>
        <w:rPr>
          <w:rFonts w:ascii="Times New Roman" w:cs="Times New Roman" w:eastAsia="Times New Roman" w:hAnsi="Times New Roman"/>
          <w:sz w:val="14"/>
          <w:szCs w:val="14"/>
          <w:color w:val="auto"/>
        </w:rPr>
      </w:pPr>
    </w:p>
    <w:p>
      <w:pPr>
        <w:ind w:left="240" w:right="259" w:firstLine="340"/>
        <w:spacing w:after="0" w:line="255" w:lineRule="auto"/>
        <w:tabs>
          <w:tab w:leader="none" w:pos="778"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Preferential Rights</w:t>
      </w:r>
      <w:r>
        <w:rPr>
          <w:rFonts w:ascii="Times New Roman" w:cs="Times New Roman" w:eastAsia="Times New Roman" w:hAnsi="Times New Roman"/>
          <w:sz w:val="14"/>
          <w:szCs w:val="14"/>
          <w:color w:val="auto"/>
        </w:rPr>
        <w:t>. Except as set forth in the Registration Statement and the Prospectus, (i) no person, as such term is defined in Rule 1-02 of Regulation S-X promulgated under the Securities Act (each, a “</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has the right, contractual or otherwise, to cause the Company to issue or sell to such Person any Common Stock or shares of any other capital stock or other securities of the Company (other than upon the exercise of options or warrants to purchase Common Stock or upon the exercise of options or other securities that may be granted from time to time under the Company’s equity incentive plans and which are disclosed in the Registration Statement and Prospectus), (ii) no Person has any preemptive rights, resale rights, rights of first refusal, rights of co-sale, or any other rights (whether pursuant to a “poison pill” provision or</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62" w:name="page63"/>
    <w:bookmarkEnd w:id="62"/>
    <w:p>
      <w:pPr>
        <w:ind w:left="240" w:right="339"/>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otherwise) to purchase any Common Stock or shares of any other capital stock or other securities of the Company, (iii) no Person has the right to act as an underwriter or as a financial advisor to the Company in connection with the offer and sale of the Shares,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Shares as contemplated thereby or otherwise, except for such rights as have been waived in writing on or prior to the date hereof.</w:t>
      </w:r>
    </w:p>
    <w:p>
      <w:pPr>
        <w:spacing w:after="0" w:line="145" w:lineRule="exact"/>
        <w:rPr>
          <w:sz w:val="20"/>
          <w:szCs w:val="20"/>
          <w:color w:val="auto"/>
        </w:rPr>
      </w:pPr>
    </w:p>
    <w:p>
      <w:pPr>
        <w:ind w:left="240" w:right="319" w:firstLine="340"/>
        <w:spacing w:after="0" w:line="255" w:lineRule="auto"/>
        <w:tabs>
          <w:tab w:leader="none" w:pos="77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Independent Public Accounting Firm</w:t>
      </w:r>
      <w:r>
        <w:rPr>
          <w:rFonts w:ascii="Times New Roman" w:cs="Times New Roman" w:eastAsia="Times New Roman" w:hAnsi="Times New Roman"/>
          <w:sz w:val="14"/>
          <w:szCs w:val="14"/>
          <w:color w:val="auto"/>
        </w:rPr>
        <w:t>. Ernst &amp; Young LLP, whose report on the financial statements of the Company is filed with the Commission as part of the Company’s most recent Annual Report on Form 10-K filed with the Commission and incorporated by reference into the Registration Statement and the Prospectus, is, and during the periods covered by Ernst &amp; Young LLP’s report was, an independent registered public accounting firm within the meaning of the Securities Act and the Public Company Accounting Oversight Board (United States) (the “</w:t>
      </w:r>
      <w:r>
        <w:rPr>
          <w:rFonts w:ascii="Times New Roman" w:cs="Times New Roman" w:eastAsia="Times New Roman" w:hAnsi="Times New Roman"/>
          <w:sz w:val="14"/>
          <w:szCs w:val="14"/>
          <w:b w:val="1"/>
          <w:bCs w:val="1"/>
          <w:color w:val="auto"/>
        </w:rPr>
        <w:t>PCAOB</w:t>
      </w:r>
      <w:r>
        <w:rPr>
          <w:rFonts w:ascii="Times New Roman" w:cs="Times New Roman" w:eastAsia="Times New Roman" w:hAnsi="Times New Roman"/>
          <w:sz w:val="14"/>
          <w:szCs w:val="14"/>
          <w:color w:val="auto"/>
        </w:rPr>
        <w:t>”). To the Company’s knowledge, Ernst &amp; Young LLP is not in violation of the auditor independence requirements of the Sarbanes-Oxley Act of 2002 (the “</w:t>
      </w:r>
      <w:r>
        <w:rPr>
          <w:rFonts w:ascii="Times New Roman" w:cs="Times New Roman" w:eastAsia="Times New Roman" w:hAnsi="Times New Roman"/>
          <w:sz w:val="14"/>
          <w:szCs w:val="14"/>
          <w:b w:val="1"/>
          <w:bCs w:val="1"/>
          <w:color w:val="auto"/>
        </w:rPr>
        <w:t>Sarbanes-Oxley Act</w:t>
      </w:r>
      <w:r>
        <w:rPr>
          <w:rFonts w:ascii="Times New Roman" w:cs="Times New Roman" w:eastAsia="Times New Roman" w:hAnsi="Times New Roman"/>
          <w:sz w:val="14"/>
          <w:szCs w:val="14"/>
          <w:color w:val="auto"/>
        </w:rPr>
        <w:t>”) with respect to the Company.</w:t>
      </w:r>
    </w:p>
    <w:p>
      <w:pPr>
        <w:spacing w:after="0" w:line="144" w:lineRule="exact"/>
        <w:rPr>
          <w:rFonts w:ascii="Times New Roman" w:cs="Times New Roman" w:eastAsia="Times New Roman" w:hAnsi="Times New Roman"/>
          <w:sz w:val="14"/>
          <w:szCs w:val="14"/>
          <w:color w:val="auto"/>
        </w:rPr>
      </w:pPr>
    </w:p>
    <w:p>
      <w:pPr>
        <w:ind w:left="240" w:right="279" w:firstLine="340"/>
        <w:spacing w:after="0" w:line="276" w:lineRule="auto"/>
        <w:tabs>
          <w:tab w:leader="none" w:pos="755"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Litigation</w:t>
      </w:r>
      <w:r>
        <w:rPr>
          <w:rFonts w:ascii="Times New Roman" w:cs="Times New Roman" w:eastAsia="Times New Roman" w:hAnsi="Times New Roman"/>
          <w:sz w:val="13"/>
          <w:szCs w:val="13"/>
          <w:color w:val="auto"/>
        </w:rPr>
        <w:t>. Except as set forth in the Registration Statement or the Prospectus, there are no legal, governmental or regulatory actions, suits, or proceedings pending, nor, to the Company’s knowledge, any legal, governmental or regulatory audits, inquiries or investigations, to which the Company is a party or of which any property of the Company is the subject that, if determined adversely to the Company, would reasonably be expected to have a Material Adverse Effect, and, to the Company’s knowledge, no such actions, suits or proceedings are threatened by any Governmental Authority or threatened by others that, individually or in the aggregate, if determined adversely to the Company, would reasonably be expected to have a Material Adverse Effect; and (i) there are no pending legal, governmental or regulatory audits, actions, suits or proceedings, or, to the Company’s knowledge, investigations, that are required under the Securities Act to be described in the Prospectus that are not so described; and (ii) there are no contracts or other documents that are required under the Securities Act to be filed as exhibits to the Registration Statement that are not so filed.</w:t>
      </w:r>
    </w:p>
    <w:p>
      <w:pPr>
        <w:spacing w:after="0" w:line="130" w:lineRule="exact"/>
        <w:rPr>
          <w:rFonts w:ascii="Times New Roman" w:cs="Times New Roman" w:eastAsia="Times New Roman" w:hAnsi="Times New Roman"/>
          <w:sz w:val="13"/>
          <w:szCs w:val="13"/>
          <w:color w:val="auto"/>
        </w:rPr>
      </w:pPr>
    </w:p>
    <w:p>
      <w:pPr>
        <w:ind w:left="240" w:right="419" w:firstLine="340"/>
        <w:spacing w:after="0" w:line="257" w:lineRule="auto"/>
        <w:tabs>
          <w:tab w:leader="none" w:pos="763"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Permits</w:t>
      </w:r>
      <w:r>
        <w:rPr>
          <w:rFonts w:ascii="Times New Roman" w:cs="Times New Roman" w:eastAsia="Times New Roman" w:hAnsi="Times New Roman"/>
          <w:sz w:val="14"/>
          <w:szCs w:val="14"/>
          <w:color w:val="auto"/>
        </w:rPr>
        <w:t>. The Company possesses all licenses, certificates, permits and other authorizations issued by all applicable authorities necessary to conduct its business, and the Company has not received any notice of proceedings relating to the revocation or modification of any such certificate, authorization or permit which, singly or in the aggregate, if the subject of an unfavorable decision, ruling or finding, would have a Material Adverse Effect, whether or not arising from transactions in the ordinary course of business, except as set forth in or contemplated in the Registration Statement and the Prospectus (exclusive of any supplement thereto).</w:t>
      </w:r>
    </w:p>
    <w:p>
      <w:pPr>
        <w:spacing w:after="0" w:line="141" w:lineRule="exact"/>
        <w:rPr>
          <w:rFonts w:ascii="Times New Roman" w:cs="Times New Roman" w:eastAsia="Times New Roman" w:hAnsi="Times New Roman"/>
          <w:sz w:val="14"/>
          <w:szCs w:val="14"/>
          <w:color w:val="auto"/>
        </w:rPr>
      </w:pPr>
    </w:p>
    <w:p>
      <w:pPr>
        <w:ind w:left="240" w:right="319" w:firstLine="340"/>
        <w:spacing w:after="0" w:line="259" w:lineRule="auto"/>
        <w:tabs>
          <w:tab w:leader="none" w:pos="747"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Regulatory Filings</w:t>
      </w:r>
      <w:r>
        <w:rPr>
          <w:rFonts w:ascii="Times New Roman" w:cs="Times New Roman" w:eastAsia="Times New Roman" w:hAnsi="Times New Roman"/>
          <w:sz w:val="14"/>
          <w:szCs w:val="14"/>
          <w:color w:val="auto"/>
        </w:rPr>
        <w:t>. Except as described in the Registration Statement and Prospectus, and as would not, individually or in the aggregate, result in a Material Adverse Effect: (i) the Company is and has been in compliance with statutes, laws, ordinances, rules and regulations applicable to the Company for the ownership, testing, development, manufacture, packaging, processing, use, labeling, storage, or disposal of any product manufactured by or on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63" w:name="page64"/>
    <w:bookmarkEnd w:id="63"/>
    <w:p>
      <w:pPr>
        <w:ind w:left="240" w:right="25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behalf of the Company (a “</w:t>
      </w:r>
      <w:r>
        <w:rPr>
          <w:rFonts w:ascii="Times New Roman" w:cs="Times New Roman" w:eastAsia="Times New Roman" w:hAnsi="Times New Roman"/>
          <w:sz w:val="14"/>
          <w:szCs w:val="14"/>
          <w:b w:val="1"/>
          <w:bCs w:val="1"/>
          <w:color w:val="auto"/>
        </w:rPr>
        <w:t>Company Product</w:t>
      </w:r>
      <w:r>
        <w:rPr>
          <w:rFonts w:ascii="Times New Roman" w:cs="Times New Roman" w:eastAsia="Times New Roman" w:hAnsi="Times New Roman"/>
          <w:sz w:val="14"/>
          <w:szCs w:val="14"/>
          <w:color w:val="auto"/>
        </w:rPr>
        <w:t>”), including without limitation, the Federal Food, Drug, and Cosmetic Act, 21 U.S.C. §301, et seq., the Public Health Service Act, 42 U.S.C. §262, similar laws of other governmental entities and the regulations promulgated pursuant to such laws (collectively, “</w:t>
      </w:r>
      <w:r>
        <w:rPr>
          <w:rFonts w:ascii="Times New Roman" w:cs="Times New Roman" w:eastAsia="Times New Roman" w:hAnsi="Times New Roman"/>
          <w:sz w:val="14"/>
          <w:szCs w:val="14"/>
          <w:b w:val="1"/>
          <w:bCs w:val="1"/>
          <w:color w:val="auto"/>
        </w:rPr>
        <w:t>Applicable Laws</w:t>
      </w:r>
      <w:r>
        <w:rPr>
          <w:rFonts w:ascii="Times New Roman" w:cs="Times New Roman" w:eastAsia="Times New Roman" w:hAnsi="Times New Roman"/>
          <w:sz w:val="14"/>
          <w:szCs w:val="14"/>
          <w:color w:val="auto"/>
        </w:rPr>
        <w:t>”); (ii) the Company possesses all licenses, certificates, approvals, authorizations, permits and supplements or amendments thereto required by any such Applicable Laws and/or for the ownership of its properties or the conduct of its business as it relates to a Company Product and as described in the Registration Statement and the Prospectus (collectively, “</w:t>
      </w:r>
      <w:r>
        <w:rPr>
          <w:rFonts w:ascii="Times New Roman" w:cs="Times New Roman" w:eastAsia="Times New Roman" w:hAnsi="Times New Roman"/>
          <w:sz w:val="14"/>
          <w:szCs w:val="14"/>
          <w:b w:val="1"/>
          <w:bCs w:val="1"/>
          <w:color w:val="auto"/>
        </w:rPr>
        <w:t>Authorizations</w:t>
      </w:r>
      <w:r>
        <w:rPr>
          <w:rFonts w:ascii="Times New Roman" w:cs="Times New Roman" w:eastAsia="Times New Roman" w:hAnsi="Times New Roman"/>
          <w:sz w:val="14"/>
          <w:szCs w:val="14"/>
          <w:color w:val="auto"/>
        </w:rPr>
        <w:t>”) and such Authorizations are valid and in full force and effect and the Company is not in violation of any term of any such Authorizations; (iii) the Company has not received any written notice of adverse finding, warning letter or other written correspondence or notice from the U.S. Food and Drug Administration (“</w:t>
      </w:r>
      <w:r>
        <w:rPr>
          <w:rFonts w:ascii="Times New Roman" w:cs="Times New Roman" w:eastAsia="Times New Roman" w:hAnsi="Times New Roman"/>
          <w:sz w:val="14"/>
          <w:szCs w:val="14"/>
          <w:b w:val="1"/>
          <w:bCs w:val="1"/>
          <w:color w:val="auto"/>
        </w:rPr>
        <w:t>FDA</w:t>
      </w:r>
      <w:r>
        <w:rPr>
          <w:rFonts w:ascii="Times New Roman" w:cs="Times New Roman" w:eastAsia="Times New Roman" w:hAnsi="Times New Roman"/>
          <w:sz w:val="14"/>
          <w:szCs w:val="14"/>
          <w:color w:val="auto"/>
        </w:rPr>
        <w:t>”) or any other governmental entity alleging or asserting noncompliance with any Applicable Laws or Authorizations relating to a Company Product; (iv) the Company has not received written notice of any ongoing claim, action, suit, proceeding, hearing, enforcement, investigation, arbitration or other action from any governmental entity or third party alleging that any Company Product, operation or activity related to a Company Product is in violation of any Applicable Laws or Authorizations or has any knowledge that any such governmental entity or third party is considering any such claim, litigation, arbitration, action, suit, investigation or proceeding, nor, to the best of the Company’s knowledge, has there been any noncompliance with or violation of any Applicable Laws by the Company that could reasonably be expected to require the issuance of any such written notice or result in an investigation, corrective action, or enforcement action by FDA or similar governmental entity with respect to a Company Product; (v) the Company has not received written notice that any governmental entity has taken, is taking or intends to take action to limit, suspend, modify or revoke any Authorizations or has any knowledge that any such governmental entity has threatened or is considering such action with respect to a Company Product; and (vi) the Company has filed, obtained, maintained or submitted all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correct and not misleading on the date filed (or were corrected or supplemented by a subsequent submission). To the Company’s knowledge, neither the Company nor any of its directors, officers, employees or agents, has made, or caused the making of, any false statements on, or material omissions from, any other records or documentation prepared or maintained to comply with the requirements of the FDA or any other governmental entity.</w:t>
      </w:r>
    </w:p>
    <w:p>
      <w:pPr>
        <w:spacing w:after="0" w:line="145" w:lineRule="exact"/>
        <w:rPr>
          <w:sz w:val="20"/>
          <w:szCs w:val="20"/>
          <w:color w:val="auto"/>
        </w:rPr>
      </w:pPr>
    </w:p>
    <w:p>
      <w:pPr>
        <w:ind w:left="240" w:right="279" w:firstLine="340"/>
        <w:spacing w:after="0" w:line="253" w:lineRule="auto"/>
        <w:tabs>
          <w:tab w:leader="none" w:pos="778"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Intellectual Property</w:t>
      </w:r>
      <w:r>
        <w:rPr>
          <w:rFonts w:ascii="Times New Roman" w:cs="Times New Roman" w:eastAsia="Times New Roman" w:hAnsi="Times New Roman"/>
          <w:sz w:val="14"/>
          <w:szCs w:val="14"/>
          <w:color w:val="auto"/>
        </w:rPr>
        <w:t>. Except as described in the Registration Statement and Prospectus, the Company owns, possesses, licenses or has other rights to use all foreign and domestic patents, patent applications, trade and service marks, trade and service mark registrations, trade names, copyrights, inventions, trade secrets, technology, Internet domain names, know-how and other intellectual property (collectively, the “</w:t>
      </w:r>
      <w:r>
        <w:rPr>
          <w:rFonts w:ascii="Times New Roman" w:cs="Times New Roman" w:eastAsia="Times New Roman" w:hAnsi="Times New Roman"/>
          <w:sz w:val="14"/>
          <w:szCs w:val="14"/>
          <w:b w:val="1"/>
          <w:bCs w:val="1"/>
          <w:color w:val="auto"/>
        </w:rPr>
        <w:t>Intellectual Property</w:t>
      </w:r>
      <w:r>
        <w:rPr>
          <w:rFonts w:ascii="Times New Roman" w:cs="Times New Roman" w:eastAsia="Times New Roman" w:hAnsi="Times New Roman"/>
          <w:sz w:val="14"/>
          <w:szCs w:val="14"/>
          <w:color w:val="auto"/>
        </w:rPr>
        <w:t>”), necessary for the conduct of its business as now conducted except to the extent that the failure to own, possess, license or otherwise hold adequate rights to use such Intellectual Property would not, individually or in the aggregate, reasonably be expected to have a Material Adverse Effect. Except as described in the Registration Statement and Prospectus, and except in each of (i) through (vii) below, as would not, individually or in the aggregate, reasonably be expected to result in a Material Adverse Effect: (i) to the Company’s knowledge, there are no rights of third parties to any such Intellectual Property owned by the Company, except for rights granted to independent contractors of the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8" w:right="1440" w:bottom="1440" w:gutter="0" w:footer="0" w:header="0"/>
        </w:sectPr>
      </w:pPr>
    </w:p>
    <w:bookmarkStart w:id="64" w:name="page65"/>
    <w:bookmarkEnd w:id="64"/>
    <w:p>
      <w:pPr>
        <w:ind w:left="240" w:right="25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Company or to academic or other research institutions under research agreements; (ii) to the Company’s knowledge, there is no infringement by third parties of any such Intellectual Property; (iii) there is no pending or, to the Company’s knowledge, threatened action, suit, proceeding or claim by others challenging the Company’s rights in or to any such Intellectual Property; (iv) there is no pending or, to the Company’s knowledge, threatened action, suit, proceeding or claim by others challenging the validity or scope of any issued patent included in such Intellectual Property; (v) there is no pending or, to the Company’s knowledge, threatened action, suit, proceeding or claim by others that the Company infringes or otherwise violates any patent, trademark, copyright, trade secret or other proprietary rights of others; (vi) to the Company’s knowledge, there is no U.S. patent or published U.S. patent application owned by a third-party which contains claims for which an Interference Proceeding (as defined in 35 U.S.C. §135) has been commenced against any patent or patent application described in the Prospectus as being owned by or licensed to the Company; and (vii) the Company has not failed to comply with the terms of each agreement pursuant to which Intellectual Property has been licensed to the Company, and all such agreements are in full force and effect.</w:t>
      </w:r>
    </w:p>
    <w:p>
      <w:pPr>
        <w:spacing w:after="0" w:line="150" w:lineRule="exact"/>
        <w:rPr>
          <w:sz w:val="20"/>
          <w:szCs w:val="20"/>
          <w:color w:val="auto"/>
        </w:rPr>
      </w:pPr>
    </w:p>
    <w:p>
      <w:pPr>
        <w:ind w:left="240" w:right="259" w:firstLine="340"/>
        <w:spacing w:after="0" w:line="251" w:lineRule="auto"/>
        <w:tabs>
          <w:tab w:leader="none" w:pos="77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Cybersecurity</w:t>
      </w:r>
      <w:r>
        <w:rPr>
          <w:rFonts w:ascii="Times New Roman" w:cs="Times New Roman" w:eastAsia="Times New Roman" w:hAnsi="Times New Roman"/>
          <w:sz w:val="14"/>
          <w:szCs w:val="14"/>
          <w:color w:val="auto"/>
        </w:rPr>
        <w:t>. The Company’s information technology and computer systems, networks, hardware, software, internet web sites, data and databases (including the data of their respective customers, employees, suppliers, vendors and any third party data maintained by or on behalf of them), equipment or technology (collectively, “</w:t>
      </w:r>
      <w:r>
        <w:rPr>
          <w:rFonts w:ascii="Times New Roman" w:cs="Times New Roman" w:eastAsia="Times New Roman" w:hAnsi="Times New Roman"/>
          <w:sz w:val="14"/>
          <w:szCs w:val="14"/>
          <w:b w:val="1"/>
          <w:bCs w:val="1"/>
          <w:color w:val="auto"/>
        </w:rPr>
        <w:t>IT Systems and Data</w:t>
      </w:r>
      <w:r>
        <w:rPr>
          <w:rFonts w:ascii="Times New Roman" w:cs="Times New Roman" w:eastAsia="Times New Roman" w:hAnsi="Times New Roman"/>
          <w:sz w:val="14"/>
          <w:szCs w:val="14"/>
          <w:color w:val="auto"/>
        </w:rPr>
        <w:t>”) are adequate for, and operate and perform in all material respects as required in connection with, the operation of the business of the Company as currently conducted, except as would not reasonably be expected to have a Material Adverse Effect. The Company and its former subsidiaries have implemented and maintained commercially reasonable information technology, information security, cyber security and data protection controls, policies and procedures, including to protect and prevent security breaches of, unauthorized access to and other compromises of IT Systems and Data. The Company has no knowledge of, and is not currently investigating, any cyber attack, security breach, unauthorized access or other compromise to its IT Systems and Data, which attack, breach, unauthorized access or compromise could reasonably be expected to have a Material Adverse Effect. The Company is presently, and at all prior times the Company and its former subsidiaries were, in compliance with all applicable laws or statutes and, to the knowledge of the Company, all judgments, orders, rules and regulations of any court or arbitrator or governmental or regulatory authority, internal policies and contractual obligations to which the Company is and its former subsidiaries were subject relating to the privacy and security of IT Systems and Data and to the protection of such IT Systems and Data from unauthorized use, access, misappropriation or modification, except as would not, individually or in the aggregate, reasonably be expected to have a Material Adverse Effect on the Company.</w:t>
      </w:r>
    </w:p>
    <w:p>
      <w:pPr>
        <w:spacing w:after="0" w:line="152" w:lineRule="exact"/>
        <w:rPr>
          <w:rFonts w:ascii="Times New Roman" w:cs="Times New Roman" w:eastAsia="Times New Roman" w:hAnsi="Times New Roman"/>
          <w:sz w:val="14"/>
          <w:szCs w:val="14"/>
          <w:color w:val="auto"/>
        </w:rPr>
      </w:pPr>
    </w:p>
    <w:p>
      <w:pPr>
        <w:ind w:left="240" w:right="399" w:firstLine="340"/>
        <w:spacing w:after="0" w:line="255" w:lineRule="auto"/>
        <w:tabs>
          <w:tab w:leader="none" w:pos="809"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Compliance with Data Privacy Laws</w:t>
      </w:r>
      <w:r>
        <w:rPr>
          <w:rFonts w:ascii="Times New Roman" w:cs="Times New Roman" w:eastAsia="Times New Roman" w:hAnsi="Times New Roman"/>
          <w:sz w:val="14"/>
          <w:szCs w:val="14"/>
          <w:color w:val="auto"/>
        </w:rPr>
        <w:t>. Except as would not, individually or in the aggregate, reasonably be expected to have a Material Adverse Effect, (A) the Company is, and at all prior times the Company and its former subsidiaries were, in compliance with all applicable state and federal data privacy and security laws and regulations, including without limitation HIPAA, and (B) the Company has taken commercially reasonable actions to prepare to comply with, and since May 25, 2018, has been and currently is in compliance with, to the extent applicable, the European Union General Data Protection Regulation (“</w:t>
      </w:r>
      <w:r>
        <w:rPr>
          <w:rFonts w:ascii="Times New Roman" w:cs="Times New Roman" w:eastAsia="Times New Roman" w:hAnsi="Times New Roman"/>
          <w:sz w:val="14"/>
          <w:szCs w:val="14"/>
          <w:b w:val="1"/>
          <w:bCs w:val="1"/>
          <w:color w:val="auto"/>
        </w:rPr>
        <w:t>GDPR</w:t>
      </w:r>
      <w:r>
        <w:rPr>
          <w:rFonts w:ascii="Times New Roman" w:cs="Times New Roman" w:eastAsia="Times New Roman" w:hAnsi="Times New Roman"/>
          <w:sz w:val="14"/>
          <w:szCs w:val="14"/>
          <w:color w:val="auto"/>
        </w:rPr>
        <w:t>”) (EU 2016/679) (collectively, the “</w:t>
      </w:r>
      <w:r>
        <w:rPr>
          <w:rFonts w:ascii="Times New Roman" w:cs="Times New Roman" w:eastAsia="Times New Roman" w:hAnsi="Times New Roman"/>
          <w:sz w:val="14"/>
          <w:szCs w:val="14"/>
          <w:b w:val="1"/>
          <w:bCs w:val="1"/>
          <w:color w:val="auto"/>
        </w:rPr>
        <w:t>Privacy Laws</w:t>
      </w:r>
      <w:r>
        <w:rPr>
          <w:rFonts w:ascii="Times New Roman" w:cs="Times New Roman" w:eastAsia="Times New Roman" w:hAnsi="Times New Roman"/>
          <w:sz w:val="14"/>
          <w:szCs w:val="14"/>
          <w:color w:val="auto"/>
        </w:rPr>
        <w:t>”). Except as would not, individually or in the aggregate, reasonably be expected to have a Material Adverse Effect, the Company has in place, complies with, and takes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65" w:name="page66"/>
    <w:bookmarkEnd w:id="65"/>
    <w:p>
      <w:pPr>
        <w:ind w:left="240" w:right="31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appropriate steps reasonably designed to ensure compliance with its policies and procedures relating to data privacy and security and the collection, storage, use, disclosure, handling, and analysis of Personal Data (each, a “</w:t>
      </w:r>
      <w:r>
        <w:rPr>
          <w:rFonts w:ascii="Times New Roman" w:cs="Times New Roman" w:eastAsia="Times New Roman" w:hAnsi="Times New Roman"/>
          <w:sz w:val="14"/>
          <w:szCs w:val="14"/>
          <w:b w:val="1"/>
          <w:bCs w:val="1"/>
          <w:color w:val="auto"/>
        </w:rPr>
        <w:t>Policy</w:t>
      </w:r>
      <w:r>
        <w:rPr>
          <w:rFonts w:ascii="Times New Roman" w:cs="Times New Roman" w:eastAsia="Times New Roman" w:hAnsi="Times New Roman"/>
          <w:sz w:val="14"/>
          <w:szCs w:val="14"/>
          <w:color w:val="auto"/>
        </w:rPr>
        <w:t>”). Except as would not, individually or in the aggregate, reasonably be expected to have a Material Adverse Effect, the Company and its former subsidiaries have at all times made all disclosures to users or customers required by applicable laws and regulatory rules or requirements, and none of such disclosures made or contained in any Policy have, to the knowledge of the Company, been inaccurate or in violation of any applicable laws and regulatory rules or requirements. The Company further certifies that neither it nor any former subsidiary: (i) has received notice of any actual or potential liability under or relating to, or actual or potential violation of, any of the Privacy Laws, and has no knowledge of any event or condition that would reasonably expected to result in any such notice; (ii) is currently conducting or paying for, in whole or in part, any investigation, remediation, or other corrective action pursuant to any Privacy Law; or (iii) is a party to any order, decree, or agreement that imposes any obligation or liability under any Privacy Law.</w:t>
      </w:r>
    </w:p>
    <w:p>
      <w:pPr>
        <w:spacing w:after="0" w:line="145" w:lineRule="exact"/>
        <w:rPr>
          <w:sz w:val="20"/>
          <w:szCs w:val="20"/>
          <w:color w:val="auto"/>
        </w:rPr>
      </w:pPr>
    </w:p>
    <w:p>
      <w:pPr>
        <w:ind w:left="240" w:right="259" w:firstLine="340"/>
        <w:spacing w:after="0" w:line="253" w:lineRule="auto"/>
        <w:tabs>
          <w:tab w:leader="none" w:pos="778"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Clinical Studies</w:t>
      </w:r>
      <w:r>
        <w:rPr>
          <w:rFonts w:ascii="Times New Roman" w:cs="Times New Roman" w:eastAsia="Times New Roman" w:hAnsi="Times New Roman"/>
          <w:sz w:val="14"/>
          <w:szCs w:val="14"/>
          <w:color w:val="auto"/>
        </w:rPr>
        <w:t>. The clinical studies and tests conducted by the Company, or to the knowledge of the Company or on behalf of the Company, have been and, if still pending, are being conducted in all material respects pursuant to all Applicable Laws and Authorizations; the descriptions of the results of such clinical studies and tests contained in the Registration Statement and the Prospectus are accurate and complete in all material respects and fairly present the data derived from such clinical studies and tests; except to the extent disclosed in the Registration Statement and the Prospectus, the Company is not aware of any clinical studies or tests, the results of which the Company believes reasonably call into question the research, nonclinical or clinical study or test results described or referred to in the Registration Statement and the Prospectus when viewed in the context in which such results are described; and the Company has not received any written notices or correspondence from any governmental entity requiring the termination, suspension or material modification of any clinical study or test conducted by or on behalf of the Company.</w:t>
      </w:r>
    </w:p>
    <w:p>
      <w:pPr>
        <w:spacing w:after="0" w:line="147" w:lineRule="exact"/>
        <w:rPr>
          <w:rFonts w:ascii="Times New Roman" w:cs="Times New Roman" w:eastAsia="Times New Roman" w:hAnsi="Times New Roman"/>
          <w:sz w:val="14"/>
          <w:szCs w:val="14"/>
          <w:color w:val="auto"/>
        </w:rPr>
      </w:pPr>
    </w:p>
    <w:p>
      <w:pPr>
        <w:ind w:left="240" w:right="259" w:firstLine="340"/>
        <w:spacing w:after="0" w:line="254" w:lineRule="auto"/>
        <w:tabs>
          <w:tab w:leader="none" w:pos="778"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Market Capitalization</w:t>
      </w:r>
      <w:r>
        <w:rPr>
          <w:rFonts w:ascii="Times New Roman" w:cs="Times New Roman" w:eastAsia="Times New Roman" w:hAnsi="Times New Roman"/>
          <w:sz w:val="14"/>
          <w:szCs w:val="14"/>
          <w:color w:val="auto"/>
        </w:rPr>
        <w:t>. At the time the Original Registration Statement becomes automatically effective, and at the time the Company’s most recent Annual Report on Form 10-K was filed with the Commission, the Company met or will meet the then applicable requirements for the use of Form S-3 under the Securities Act, including, but not limited to, General Instruction I.B.1 of Form S-3. The Company satisfies the pre-1992 eligibility requirements for the use of a registration statement on Form S-3 in connection with this offering. The Company is not a shell company (as defined in Rule 405 under the Securities Act) and has not been a shell company for at least 12 calendar months previously and if it has been a shell company at any time previously, has filed current Form 10 information (as defined in General Instruction I.B.6 of Form S-3) with the Commission at least 12 calendar months previously reflecting its status as an entity that is not a shell company.</w:t>
      </w:r>
    </w:p>
    <w:p>
      <w:pPr>
        <w:spacing w:after="0" w:line="145" w:lineRule="exact"/>
        <w:rPr>
          <w:rFonts w:ascii="Times New Roman" w:cs="Times New Roman" w:eastAsia="Times New Roman" w:hAnsi="Times New Roman"/>
          <w:sz w:val="14"/>
          <w:szCs w:val="14"/>
          <w:color w:val="auto"/>
        </w:rPr>
      </w:pPr>
    </w:p>
    <w:p>
      <w:pPr>
        <w:jc w:val="both"/>
        <w:ind w:left="240" w:right="319" w:firstLine="340"/>
        <w:spacing w:after="0" w:line="257" w:lineRule="auto"/>
        <w:tabs>
          <w:tab w:leader="none" w:pos="77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Material Defaults</w:t>
      </w:r>
      <w:r>
        <w:rPr>
          <w:rFonts w:ascii="Times New Roman" w:cs="Times New Roman" w:eastAsia="Times New Roman" w:hAnsi="Times New Roman"/>
          <w:sz w:val="14"/>
          <w:szCs w:val="14"/>
          <w:color w:val="auto"/>
        </w:rPr>
        <w:t>. The Company has not defaulted on any installment on indebtedness for borrowed money or on any rental on one or more long-term leases, which defaults, individually or in the aggregate, would have a Material Adverse Effect. The Company has not filed a report pursuant to Section 13(a) or 15(d) of the Exchange Act since the filing of its last Annual Report on Form 10-K indicating that it (i) has failed to pay any dividend or sinking fund installment on preferred stock or (ii) has defaulted on any installment on indebtedness for borrowed money or on any rental on one or more long-term leases, which defaults, individually or in the aggregate, would have a Material Adverse Effect.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66" w:name="page67"/>
    <w:bookmarkEnd w:id="66"/>
    <w:p>
      <w:pPr>
        <w:jc w:val="both"/>
        <w:ind w:left="240" w:right="499" w:firstLine="340"/>
        <w:spacing w:after="0" w:line="294" w:lineRule="auto"/>
        <w:tabs>
          <w:tab w:leader="none" w:pos="832"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Certain Market Activities</w:t>
      </w:r>
      <w:r>
        <w:rPr>
          <w:rFonts w:ascii="Times New Roman" w:cs="Times New Roman" w:eastAsia="Times New Roman" w:hAnsi="Times New Roman"/>
          <w:sz w:val="13"/>
          <w:szCs w:val="13"/>
          <w:color w:val="auto"/>
        </w:rPr>
        <w:t>. Neither the Company, nor, to the Company’s knowledge, any of its respective directors, officers or controlling persons has taken, directly or indirectly, any action designed, or that has constituted or might reasonably be expected to cause or result in, under the Exchange Act or otherwise, the stabilization or manipulation of the price of any security of the Company to facilitate the sale or resale of the Shares.</w:t>
      </w:r>
    </w:p>
    <w:p>
      <w:pPr>
        <w:spacing w:after="0" w:line="119" w:lineRule="exact"/>
        <w:rPr>
          <w:rFonts w:ascii="Times New Roman" w:cs="Times New Roman" w:eastAsia="Times New Roman" w:hAnsi="Times New Roman"/>
          <w:sz w:val="13"/>
          <w:szCs w:val="13"/>
          <w:color w:val="auto"/>
        </w:rPr>
      </w:pPr>
    </w:p>
    <w:p>
      <w:pPr>
        <w:ind w:left="240" w:right="439" w:firstLine="340"/>
        <w:spacing w:after="0" w:line="265" w:lineRule="auto"/>
        <w:tabs>
          <w:tab w:leader="none" w:pos="848"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Broker/Dealer Relationships</w:t>
      </w:r>
      <w:r>
        <w:rPr>
          <w:rFonts w:ascii="Times New Roman" w:cs="Times New Roman" w:eastAsia="Times New Roman" w:hAnsi="Times New Roman"/>
          <w:sz w:val="14"/>
          <w:szCs w:val="14"/>
          <w:color w:val="auto"/>
        </w:rPr>
        <w:t>. The Company (i) is not required to register as a “broker” or “dealer” in accordance with the provisions of the Exchange Act and (ii) is not, and does not directly or indirectly through one or more intermediaries, control, a “person associated with a member” or “associated person of a member” (within the meaning set forth in the FINRA Manual).</w:t>
      </w:r>
    </w:p>
    <w:p>
      <w:pPr>
        <w:spacing w:after="0" w:line="135" w:lineRule="exact"/>
        <w:rPr>
          <w:rFonts w:ascii="Times New Roman" w:cs="Times New Roman" w:eastAsia="Times New Roman" w:hAnsi="Times New Roman"/>
          <w:sz w:val="14"/>
          <w:szCs w:val="14"/>
          <w:color w:val="auto"/>
        </w:rPr>
      </w:pPr>
    </w:p>
    <w:p>
      <w:pPr>
        <w:ind w:left="240" w:right="299" w:firstLine="340"/>
        <w:spacing w:after="0" w:line="280" w:lineRule="auto"/>
        <w:tabs>
          <w:tab w:leader="none" w:pos="83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Reliance</w:t>
      </w:r>
      <w:r>
        <w:rPr>
          <w:rFonts w:ascii="Times New Roman" w:cs="Times New Roman" w:eastAsia="Times New Roman" w:hAnsi="Times New Roman"/>
          <w:sz w:val="14"/>
          <w:szCs w:val="14"/>
          <w:color w:val="auto"/>
        </w:rPr>
        <w:t>. The Company has not relied upon the Agent or legal counsel for the Agent for any legal, tax or accounting advice in connection with the offering and sale of the Shares.</w:t>
      </w:r>
    </w:p>
    <w:p>
      <w:pPr>
        <w:spacing w:after="0" w:line="126" w:lineRule="exact"/>
        <w:rPr>
          <w:rFonts w:ascii="Times New Roman" w:cs="Times New Roman" w:eastAsia="Times New Roman" w:hAnsi="Times New Roman"/>
          <w:sz w:val="14"/>
          <w:szCs w:val="14"/>
          <w:color w:val="auto"/>
        </w:rPr>
      </w:pPr>
    </w:p>
    <w:p>
      <w:pPr>
        <w:ind w:left="240" w:right="319" w:firstLine="340"/>
        <w:spacing w:after="0" w:line="279" w:lineRule="auto"/>
        <w:tabs>
          <w:tab w:leader="none" w:pos="848"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Taxes</w:t>
      </w:r>
      <w:r>
        <w:rPr>
          <w:rFonts w:ascii="Times New Roman" w:cs="Times New Roman" w:eastAsia="Times New Roman" w:hAnsi="Times New Roman"/>
          <w:sz w:val="13"/>
          <w:szCs w:val="13"/>
          <w:color w:val="auto"/>
        </w:rPr>
        <w:t>. The Company has filed all federal, state, local and foreign tax returns which have been required to be filed and paid all taxes shown thereon through the date hereof, to the extent that such taxes have become due and are not being contested in good faith, except where the failure to so file or pay would not reasonably be expected to have a Material Adverse Effect. Except as otherwise disclosed in or contemplated by the Registration Statement or the Prospectus, no tax deficiency has been determined adversely to the Company which has had, or would reasonably be expected to have, individually or in the aggregate, a Material Adverse Effect. The Company has no knowledge of any federal, state or other governmental tax deficiency, penalty or assessment which has been asserted or threatened against it which would reasonably be expected to have a Material Adverse Effect.</w:t>
      </w:r>
    </w:p>
    <w:p>
      <w:pPr>
        <w:spacing w:after="0" w:line="128" w:lineRule="exact"/>
        <w:rPr>
          <w:rFonts w:ascii="Times New Roman" w:cs="Times New Roman" w:eastAsia="Times New Roman" w:hAnsi="Times New Roman"/>
          <w:sz w:val="13"/>
          <w:szCs w:val="13"/>
          <w:color w:val="auto"/>
        </w:rPr>
      </w:pPr>
    </w:p>
    <w:p>
      <w:pPr>
        <w:ind w:left="240" w:right="259" w:firstLine="340"/>
        <w:spacing w:after="0" w:line="252" w:lineRule="auto"/>
        <w:tabs>
          <w:tab w:leader="none" w:pos="832"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Title to Real and Personal Property</w:t>
      </w:r>
      <w:r>
        <w:rPr>
          <w:rFonts w:ascii="Times New Roman" w:cs="Times New Roman" w:eastAsia="Times New Roman" w:hAnsi="Times New Roman"/>
          <w:sz w:val="14"/>
          <w:szCs w:val="14"/>
          <w:color w:val="auto"/>
        </w:rPr>
        <w:t>. Except as set forth in the Registration Statement or the Prospectus, the Company has good and valid title to all personal property described in the Registration Statement or Prospectus as being owned by it that are material to the businesses of the Company, in each case free and clear of all liens, encumbrances and claims, except those matters that (i) do not materially interfere with the use made and proposed to be made of such property by the Company or (ii) would not reasonably be expected, individually or in the aggregate, to have a Material Adverse Effect. The Company does not own any real property. Any real or personal property described in the Registration Statement or Prospectus as being leased by the Company is held by it under valid, existing and enforceable leases, except those that (A) do not materially interfere with the use made or proposed to be made of such property by the Company or (B) would not be reasonably expected, individually or in the aggregate, to have a Material Adverse Effect. To the Company’s knowledge, each of the properties of the Company complies in all material respects with all applicable codes, laws and regulations (including, without limitation, building and zoning codes, laws and regulations and laws relating to access to such properties), except if and to the extent disclosed in the Registration Statement or Prospectus or except for such failures to comply that would not, individually or in the aggregate, reasonably be expected to interfere in any material respect with the use made and proposed to be made of such property by the Company or otherwise have a Material Adverse Effect.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67" w:name="page68"/>
    <w:bookmarkEnd w:id="67"/>
    <w:p>
      <w:pPr>
        <w:ind w:left="240" w:right="259" w:firstLine="340"/>
        <w:spacing w:after="0" w:line="252" w:lineRule="auto"/>
        <w:tabs>
          <w:tab w:leader="none" w:pos="799"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Environmental Laws</w:t>
      </w:r>
      <w:r>
        <w:rPr>
          <w:rFonts w:ascii="Times New Roman" w:cs="Times New Roman" w:eastAsia="Times New Roman" w:hAnsi="Times New Roman"/>
          <w:sz w:val="14"/>
          <w:szCs w:val="14"/>
          <w:color w:val="auto"/>
        </w:rPr>
        <w:t>. Except as set forth in the Registration Statement or the Prospectus, the Company (i) is in compliance in all material respects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 w:cs="Times New Roman" w:eastAsia="Times New Roman" w:hAnsi="Times New Roman"/>
          <w:sz w:val="14"/>
          <w:szCs w:val="14"/>
          <w:b w:val="1"/>
          <w:bCs w:val="1"/>
          <w:color w:val="auto"/>
        </w:rPr>
        <w:t>Environmental Laws</w:t>
      </w:r>
      <w:r>
        <w:rPr>
          <w:rFonts w:ascii="Times New Roman" w:cs="Times New Roman" w:eastAsia="Times New Roman" w:hAnsi="Times New Roman"/>
          <w:sz w:val="14"/>
          <w:szCs w:val="14"/>
          <w:color w:val="auto"/>
        </w:rPr>
        <w:t>”); (ii) has received and is in compliance in all material respects with all permits, licenses or other approvals required of it under applicable Environmental Laws to conduct its business as described in the Registration Statement and the Prospectus; and (iii) has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reasonably be expected to have a Material Adverse Effect. Except as set forth in the Registration Statement and the Prospectus, the Company has not been named as a “potentially responsible party” under the Comprehensive Environmental Response, Compensation, and Liability Act of 1980, as amended.</w:t>
      </w:r>
    </w:p>
    <w:p>
      <w:pPr>
        <w:spacing w:after="0" w:line="149" w:lineRule="exact"/>
        <w:rPr>
          <w:rFonts w:ascii="Times New Roman" w:cs="Times New Roman" w:eastAsia="Times New Roman" w:hAnsi="Times New Roman"/>
          <w:sz w:val="14"/>
          <w:szCs w:val="14"/>
          <w:color w:val="auto"/>
        </w:rPr>
      </w:pPr>
    </w:p>
    <w:p>
      <w:pPr>
        <w:ind w:left="240" w:right="259" w:firstLine="340"/>
        <w:spacing w:after="0" w:line="255" w:lineRule="auto"/>
        <w:tabs>
          <w:tab w:leader="none" w:pos="848"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Periodic Review of Costs of Environmental Compliance</w:t>
      </w:r>
      <w:r>
        <w:rPr>
          <w:rFonts w:ascii="Times New Roman" w:cs="Times New Roman" w:eastAsia="Times New Roman" w:hAnsi="Times New Roman"/>
          <w:sz w:val="14"/>
          <w:szCs w:val="14"/>
          <w:color w:val="auto"/>
        </w:rPr>
        <w:t>. The Company has reasonably concluded that costs and liabilities associated with the effect of Environmental Laws on the business, operations and properties of the Company (including, without limitation, any capital or operating expenditures required for clean-up, closure of properties or compliance with Environmental Laws, or any permit, license or approval, any related constraints on operating activities and any potential liabilities to third parties) would not, individually or in the aggregate, have a Material Adverse Effect, whether or not arising from transactions in the ordinary course of business, except as set forth in or contemplated in the Registration Statement and the Prospectus (exclusive of any supplement thereto).</w:t>
      </w:r>
    </w:p>
    <w:p>
      <w:pPr>
        <w:spacing w:after="0" w:line="144" w:lineRule="exact"/>
        <w:rPr>
          <w:rFonts w:ascii="Times New Roman" w:cs="Times New Roman" w:eastAsia="Times New Roman" w:hAnsi="Times New Roman"/>
          <w:sz w:val="14"/>
          <w:szCs w:val="14"/>
          <w:color w:val="auto"/>
        </w:rPr>
      </w:pPr>
    </w:p>
    <w:p>
      <w:pPr>
        <w:ind w:left="840" w:hanging="260"/>
        <w:spacing w:after="0"/>
        <w:tabs>
          <w:tab w:leader="none" w:pos="840"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Disclosure Controls</w:t>
      </w:r>
      <w:r>
        <w:rPr>
          <w:rFonts w:ascii="Times New Roman" w:cs="Times New Roman" w:eastAsia="Times New Roman" w:hAnsi="Times New Roman"/>
          <w:sz w:val="14"/>
          <w:szCs w:val="14"/>
          <w:color w:val="auto"/>
        </w:rPr>
        <w:t>. The Company maintains a system of internal accounting controls sufficient to provide reasonable assurance that</w:t>
      </w:r>
    </w:p>
    <w:p>
      <w:pPr>
        <w:spacing w:after="0" w:line="21" w:lineRule="exact"/>
        <w:rPr>
          <w:rFonts w:ascii="Times New Roman" w:cs="Times New Roman" w:eastAsia="Times New Roman" w:hAnsi="Times New Roman"/>
          <w:sz w:val="14"/>
          <w:szCs w:val="14"/>
          <w:color w:val="auto"/>
        </w:rPr>
      </w:pPr>
    </w:p>
    <w:p>
      <w:pPr>
        <w:ind w:left="240" w:right="259" w:hanging="2"/>
        <w:spacing w:after="0" w:line="250" w:lineRule="auto"/>
        <w:tabs>
          <w:tab w:leader="none" w:pos="40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As of the end of the Company’s most recently completed fiscal year, the Company’s internal control over financial reporting was effective and the Company was not aware of any material weaknesses in its internal control over financial reporting (other than as set forth in the Prospectus). Except as set forth in the Registration Statement or Prospectus, since the date of the latest audited financial statements of the Company included in the Prospectus, there have been no material weaknesses in the Company’s internal control over financial reporting (whether or not remediated) and, to the Company’s knowledge, there has been no change in the Company’s internal control over financial reporting that has materially and adversely affected, or is reasonably likely to materially and adversely affect, the Company’s internal control over financial reporting. The Company has established disclosure controls and procedures (as defined in Exchange Act Rules 13a-15 and 15d-15) for the Company and designed such disclosure controls and procedures to ensure that material information relating to the Company is made known to the certifying officers by others within the Company, particularly during the period in which the Company’s Annual Report on Form 10-K or Quarterly Report on Form 10-Q, as the case may be, is being prepared. To the extent required</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68" w:name="page69"/>
    <w:bookmarkEnd w:id="68"/>
    <w:p>
      <w:pPr>
        <w:ind w:left="240" w:right="39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by law, the Company’s certifying officers have evaluated the effectiveness of the Company’s disclosure controls and procedures as of a date within 90 days prior to the filing date of the Annual Report on Form 10-K for the fiscal year most recently ended (such date, the “</w:t>
      </w:r>
      <w:r>
        <w:rPr>
          <w:rFonts w:ascii="Times New Roman" w:cs="Times New Roman" w:eastAsia="Times New Roman" w:hAnsi="Times New Roman"/>
          <w:sz w:val="14"/>
          <w:szCs w:val="14"/>
          <w:b w:val="1"/>
          <w:bCs w:val="1"/>
          <w:color w:val="auto"/>
        </w:rPr>
        <w:t>Evaluation Date</w:t>
      </w:r>
      <w:r>
        <w:rPr>
          <w:rFonts w:ascii="Times New Roman" w:cs="Times New Roman" w:eastAsia="Times New Roman" w:hAnsi="Times New Roman"/>
          <w:sz w:val="14"/>
          <w:szCs w:val="14"/>
          <w:color w:val="auto"/>
        </w:rPr>
        <w:t>”). The Company presented in its Annual Report on Form 10-K for the fiscal year most recently ended the conclusions of the certifying officers about the effectiveness of the disclosure controls and procedures based on their evaluations as of the Evaluation Date and the disclosure controls and procedures are effective in all material respects for which they were established. Since the Evaluation Date, there have been no significant adverse changes in the Company’s internal controls (as such term is defined in Item 307(b) of Regulation S-K under the Securities Act) or, to the Company’s knowledge, in other factors that would significantly and adversely affect the Company’s internal controls.</w:t>
      </w:r>
    </w:p>
    <w:p>
      <w:pPr>
        <w:spacing w:after="0" w:line="146" w:lineRule="exact"/>
        <w:rPr>
          <w:sz w:val="20"/>
          <w:szCs w:val="20"/>
          <w:color w:val="auto"/>
        </w:rPr>
      </w:pPr>
    </w:p>
    <w:p>
      <w:pPr>
        <w:ind w:left="240" w:right="259" w:firstLine="340"/>
        <w:spacing w:after="0" w:line="254" w:lineRule="auto"/>
        <w:tabs>
          <w:tab w:leader="none" w:pos="78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Sarbanes-Oxley</w:t>
      </w:r>
      <w:r>
        <w:rPr>
          <w:rFonts w:ascii="Times New Roman" w:cs="Times New Roman" w:eastAsia="Times New Roman" w:hAnsi="Times New Roman"/>
          <w:sz w:val="14"/>
          <w:szCs w:val="14"/>
          <w:color w:val="auto"/>
        </w:rPr>
        <w:t>. There is and has been no failure on the part of the Company or, to the Company’s knowledge,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the certifications required by Sections 302 and 906 of the Sarbanes-Oxley Act with respect to all reports, schedules, forms, statements and other documents required to be filed by it or furnished by it to the Commission. For purposes of the preceding sentence, “principal executive officer” and “principal financial officer” shall have the meanings given to such terms in the Sarbanes-Oxley Act.</w:t>
      </w:r>
    </w:p>
    <w:p>
      <w:pPr>
        <w:spacing w:after="0" w:line="145" w:lineRule="exact"/>
        <w:rPr>
          <w:rFonts w:ascii="Times New Roman" w:cs="Times New Roman" w:eastAsia="Times New Roman" w:hAnsi="Times New Roman"/>
          <w:sz w:val="14"/>
          <w:szCs w:val="14"/>
          <w:color w:val="auto"/>
        </w:rPr>
      </w:pPr>
    </w:p>
    <w:p>
      <w:pPr>
        <w:ind w:left="240" w:right="499" w:firstLine="340"/>
        <w:spacing w:after="0" w:line="280" w:lineRule="auto"/>
        <w:tabs>
          <w:tab w:leader="none" w:pos="78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Finder’s Fees</w:t>
      </w:r>
      <w:r>
        <w:rPr>
          <w:rFonts w:ascii="Times New Roman" w:cs="Times New Roman" w:eastAsia="Times New Roman" w:hAnsi="Times New Roman"/>
          <w:sz w:val="14"/>
          <w:szCs w:val="14"/>
          <w:color w:val="auto"/>
        </w:rPr>
        <w:t>. The Company has not incurred any liability for any finder’s fees, brokerage commissions or similar payments in connection with the transactions herein contemplated, except as may otherwise exist with respect to Agent pursuant to this Agreement.</w:t>
      </w:r>
    </w:p>
    <w:p>
      <w:pPr>
        <w:spacing w:after="0" w:line="126" w:lineRule="exact"/>
        <w:rPr>
          <w:rFonts w:ascii="Times New Roman" w:cs="Times New Roman" w:eastAsia="Times New Roman" w:hAnsi="Times New Roman"/>
          <w:sz w:val="14"/>
          <w:szCs w:val="14"/>
          <w:color w:val="auto"/>
        </w:rPr>
      </w:pPr>
    </w:p>
    <w:p>
      <w:pPr>
        <w:ind w:left="240" w:right="479" w:firstLine="340"/>
        <w:spacing w:after="0" w:line="280" w:lineRule="auto"/>
        <w:tabs>
          <w:tab w:leader="none" w:pos="848"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Labor Disputes</w:t>
      </w:r>
      <w:r>
        <w:rPr>
          <w:rFonts w:ascii="Times New Roman" w:cs="Times New Roman" w:eastAsia="Times New Roman" w:hAnsi="Times New Roman"/>
          <w:sz w:val="14"/>
          <w:szCs w:val="14"/>
          <w:color w:val="auto"/>
        </w:rPr>
        <w:t>. No labor dispute with employees of the Company exists or, to the knowledge of the Company, is threatened which would reasonably be expected to result in a Material Adverse Effect.</w:t>
      </w:r>
    </w:p>
    <w:p>
      <w:pPr>
        <w:spacing w:after="0" w:line="126" w:lineRule="exact"/>
        <w:rPr>
          <w:rFonts w:ascii="Times New Roman" w:cs="Times New Roman" w:eastAsia="Times New Roman" w:hAnsi="Times New Roman"/>
          <w:sz w:val="14"/>
          <w:szCs w:val="14"/>
          <w:color w:val="auto"/>
        </w:rPr>
      </w:pPr>
    </w:p>
    <w:p>
      <w:pPr>
        <w:ind w:left="240" w:right="439" w:firstLine="340"/>
        <w:spacing w:after="0" w:line="265" w:lineRule="auto"/>
        <w:tabs>
          <w:tab w:leader="none" w:pos="78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Investment Company Act</w:t>
      </w:r>
      <w:r>
        <w:rPr>
          <w:rFonts w:ascii="Times New Roman" w:cs="Times New Roman" w:eastAsia="Times New Roman" w:hAnsi="Times New Roman"/>
          <w:sz w:val="14"/>
          <w:szCs w:val="14"/>
          <w:color w:val="auto"/>
        </w:rPr>
        <w:t>. The Company is not and, after giving effect to the offering and sale of the Shares will not be, an “investment company” or an entity “controlled” by an “investment company,” as such terms are defined in the Investment Company Act of 1940, as amended (the “</w:t>
      </w:r>
      <w:r>
        <w:rPr>
          <w:rFonts w:ascii="Times New Roman" w:cs="Times New Roman" w:eastAsia="Times New Roman" w:hAnsi="Times New Roman"/>
          <w:sz w:val="14"/>
          <w:szCs w:val="14"/>
          <w:b w:val="1"/>
          <w:bCs w:val="1"/>
          <w:color w:val="auto"/>
        </w:rPr>
        <w:t>Investment Company Act</w:t>
      </w:r>
      <w:r>
        <w:rPr>
          <w:rFonts w:ascii="Times New Roman" w:cs="Times New Roman" w:eastAsia="Times New Roman" w:hAnsi="Times New Roman"/>
          <w:sz w:val="14"/>
          <w:szCs w:val="14"/>
          <w:color w:val="auto"/>
        </w:rPr>
        <w:t>”).</w:t>
      </w:r>
    </w:p>
    <w:p>
      <w:pPr>
        <w:spacing w:after="0" w:line="135" w:lineRule="exact"/>
        <w:rPr>
          <w:rFonts w:ascii="Times New Roman" w:cs="Times New Roman" w:eastAsia="Times New Roman" w:hAnsi="Times New Roman"/>
          <w:sz w:val="14"/>
          <w:szCs w:val="14"/>
          <w:color w:val="auto"/>
        </w:rPr>
      </w:pPr>
    </w:p>
    <w:p>
      <w:pPr>
        <w:ind w:left="240" w:right="299" w:firstLine="340"/>
        <w:spacing w:after="0" w:line="255" w:lineRule="auto"/>
        <w:tabs>
          <w:tab w:leader="none" w:pos="925"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Operations</w:t>
      </w:r>
      <w:r>
        <w:rPr>
          <w:rFonts w:ascii="Times New Roman" w:cs="Times New Roman" w:eastAsia="Times New Roman" w:hAnsi="Times New Roman"/>
          <w:sz w:val="14"/>
          <w:szCs w:val="14"/>
          <w:color w:val="auto"/>
        </w:rPr>
        <w:t>. The operations of the Company are and have been conducted at all times in compliance in all material respects with applicable financial record keeping and reporting requirements of the Currency and Foreign Transactions Reporting Act of 1970, as amended, the money laundering statutes of all jurisdictions to which the Company is subject, the rules and regulations thereunder and any related or similar rules, regulations or guidelines, issued, administered or enforced by any Governmental Authority (collectively, the “</w:t>
      </w:r>
      <w:r>
        <w:rPr>
          <w:rFonts w:ascii="Times New Roman" w:cs="Times New Roman" w:eastAsia="Times New Roman" w:hAnsi="Times New Roman"/>
          <w:sz w:val="14"/>
          <w:szCs w:val="14"/>
          <w:b w:val="1"/>
          <w:bCs w:val="1"/>
          <w:color w:val="auto"/>
        </w:rPr>
        <w:t>Money Laundering Laws</w:t>
      </w:r>
      <w:r>
        <w:rPr>
          <w:rFonts w:ascii="Times New Roman" w:cs="Times New Roman" w:eastAsia="Times New Roman" w:hAnsi="Times New Roman"/>
          <w:sz w:val="14"/>
          <w:szCs w:val="14"/>
          <w:color w:val="auto"/>
        </w:rPr>
        <w:t>”), except as would not reasonably be expected to result in a Material Adverse Effect; and no action, suit or proceeding by or before any Governmental Authority involving the Company with respect to the Money Laundering Laws is pending or, to the knowledge of the Company, threatened.</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69" w:name="page70"/>
    <w:bookmarkEnd w:id="69"/>
    <w:p>
      <w:pPr>
        <w:ind w:left="240" w:right="319" w:firstLine="340"/>
        <w:spacing w:after="0" w:line="255" w:lineRule="auto"/>
        <w:tabs>
          <w:tab w:leader="none" w:pos="848"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Off-Balance Sheet Arrangements</w:t>
      </w:r>
      <w:r>
        <w:rPr>
          <w:rFonts w:ascii="Times New Roman" w:cs="Times New Roman" w:eastAsia="Times New Roman" w:hAnsi="Times New Roman"/>
          <w:sz w:val="14"/>
          <w:szCs w:val="14"/>
          <w:color w:val="auto"/>
        </w:rPr>
        <w:t>. There are no transactions, arrangements and other relationships between and/or among the Company and/or, to the knowledge of the Company, any of its affiliates and any unconsolidated entity, including, but not limited to, any structural finance, special purpose or limited purpose entity (each, an “</w:t>
      </w:r>
      <w:r>
        <w:rPr>
          <w:rFonts w:ascii="Times New Roman" w:cs="Times New Roman" w:eastAsia="Times New Roman" w:hAnsi="Times New Roman"/>
          <w:sz w:val="14"/>
          <w:szCs w:val="14"/>
          <w:b w:val="1"/>
          <w:bCs w:val="1"/>
          <w:color w:val="auto"/>
        </w:rPr>
        <w:t>Off-Balance Sheet Transaction</w:t>
      </w:r>
      <w:r>
        <w:rPr>
          <w:rFonts w:ascii="Times New Roman" w:cs="Times New Roman" w:eastAsia="Times New Roman" w:hAnsi="Times New Roman"/>
          <w:sz w:val="14"/>
          <w:szCs w:val="14"/>
          <w:color w:val="auto"/>
        </w:rPr>
        <w:t>”) that could reasonably be expected to affect materially the Company’s liquidity or the availability of or requirements for its capital resources, including those Off-Balance Sheet Transactions described in the Commission’s Statement about Management’s Discussion and Analysis of Financial Conditions and Results of Operations (Release Nos. 33-8056; 34-45321; FR-61), required to be described in the Prospectus which have not been described as required.</w:t>
      </w:r>
    </w:p>
    <w:p>
      <w:pPr>
        <w:spacing w:after="0" w:line="144" w:lineRule="exact"/>
        <w:rPr>
          <w:rFonts w:ascii="Times New Roman" w:cs="Times New Roman" w:eastAsia="Times New Roman" w:hAnsi="Times New Roman"/>
          <w:sz w:val="14"/>
          <w:szCs w:val="14"/>
          <w:color w:val="auto"/>
        </w:rPr>
      </w:pPr>
    </w:p>
    <w:p>
      <w:pPr>
        <w:ind w:left="240" w:right="739" w:firstLine="340"/>
        <w:spacing w:after="0" w:line="321" w:lineRule="auto"/>
        <w:tabs>
          <w:tab w:leader="none" w:pos="848"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Underwriter Agreements</w:t>
      </w:r>
      <w:r>
        <w:rPr>
          <w:rFonts w:ascii="Times New Roman" w:cs="Times New Roman" w:eastAsia="Times New Roman" w:hAnsi="Times New Roman"/>
          <w:sz w:val="13"/>
          <w:szCs w:val="13"/>
          <w:color w:val="auto"/>
        </w:rPr>
        <w:t>. The Company is not a party to any agreement with an agent or underwriter for any other “at-the-market” or continuous equity transaction, except for the Open Market Sale Agreement dated January 18, 2023 between the Company and Jefferies LLC.</w:t>
      </w:r>
    </w:p>
    <w:p>
      <w:pPr>
        <w:spacing w:after="0" w:line="101" w:lineRule="exact"/>
        <w:rPr>
          <w:rFonts w:ascii="Times New Roman" w:cs="Times New Roman" w:eastAsia="Times New Roman" w:hAnsi="Times New Roman"/>
          <w:sz w:val="13"/>
          <w:szCs w:val="13"/>
          <w:color w:val="auto"/>
        </w:rPr>
      </w:pPr>
    </w:p>
    <w:p>
      <w:pPr>
        <w:ind w:left="240" w:right="359" w:firstLine="340"/>
        <w:spacing w:after="0" w:line="275" w:lineRule="auto"/>
        <w:tabs>
          <w:tab w:leader="none" w:pos="848"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ERISA</w:t>
      </w:r>
      <w:r>
        <w:rPr>
          <w:rFonts w:ascii="Times New Roman" w:cs="Times New Roman" w:eastAsia="Times New Roman" w:hAnsi="Times New Roman"/>
          <w:sz w:val="13"/>
          <w:szCs w:val="13"/>
          <w:color w:val="auto"/>
        </w:rPr>
        <w:t>. To the knowledge of the Company, each material employee benefit plan, within the meaning of Section 3(3) of the Employee Retirement Income Security Act of 1974, as amended (“</w:t>
      </w:r>
      <w:r>
        <w:rPr>
          <w:rFonts w:ascii="Times New Roman" w:cs="Times New Roman" w:eastAsia="Times New Roman" w:hAnsi="Times New Roman"/>
          <w:sz w:val="13"/>
          <w:szCs w:val="13"/>
          <w:b w:val="1"/>
          <w:bCs w:val="1"/>
          <w:color w:val="auto"/>
        </w:rPr>
        <w:t>ERISA</w:t>
      </w:r>
      <w:r>
        <w:rPr>
          <w:rFonts w:ascii="Times New Roman" w:cs="Times New Roman" w:eastAsia="Times New Roman" w:hAnsi="Times New Roman"/>
          <w:sz w:val="13"/>
          <w:szCs w:val="13"/>
          <w:color w:val="auto"/>
        </w:rPr>
        <w:t>”), that is maintained, administered or contributed to by the Company or any of its affiliates for employees or former employees of the Company has been maintained in material compliance with the terms and requirements of any applicable statutes, orders, rules and regulations under ERISA and the Internal Revenue Code of 1986, as amended (the “</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431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w:t>
      </w:r>
    </w:p>
    <w:p>
      <w:pPr>
        <w:spacing w:after="0" w:line="131" w:lineRule="exact"/>
        <w:rPr>
          <w:rFonts w:ascii="Times New Roman" w:cs="Times New Roman" w:eastAsia="Times New Roman" w:hAnsi="Times New Roman"/>
          <w:sz w:val="13"/>
          <w:szCs w:val="13"/>
          <w:color w:val="auto"/>
        </w:rPr>
      </w:pPr>
    </w:p>
    <w:p>
      <w:pPr>
        <w:ind w:left="240" w:right="259" w:firstLine="340"/>
        <w:spacing w:after="0" w:line="265" w:lineRule="auto"/>
        <w:tabs>
          <w:tab w:leader="none" w:pos="848"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Forward-Looking Statements</w:t>
      </w:r>
      <w:r>
        <w:rPr>
          <w:rFonts w:ascii="Times New Roman" w:cs="Times New Roman" w:eastAsia="Times New Roman" w:hAnsi="Times New Roman"/>
          <w:sz w:val="14"/>
          <w:szCs w:val="14"/>
          <w:color w:val="auto"/>
        </w:rPr>
        <w:t>. No forward-looking statement (within the meaning of Section 27A of the Securities Act and Section 21E of the Exchange Act) (a “</w:t>
      </w:r>
      <w:r>
        <w:rPr>
          <w:rFonts w:ascii="Times New Roman" w:cs="Times New Roman" w:eastAsia="Times New Roman" w:hAnsi="Times New Roman"/>
          <w:sz w:val="14"/>
          <w:szCs w:val="14"/>
          <w:b w:val="1"/>
          <w:bCs w:val="1"/>
          <w:color w:val="auto"/>
        </w:rPr>
        <w:t>Forward-Looking Statement</w:t>
      </w:r>
      <w:r>
        <w:rPr>
          <w:rFonts w:ascii="Times New Roman" w:cs="Times New Roman" w:eastAsia="Times New Roman" w:hAnsi="Times New Roman"/>
          <w:sz w:val="14"/>
          <w:szCs w:val="14"/>
          <w:color w:val="auto"/>
        </w:rPr>
        <w:t>”) contained in the Registration Statement and the Prospectus (other than by incorporation by reference) has been made or reaffirmed without a reasonable basis or has been disclosed other than in good faith.</w:t>
      </w:r>
    </w:p>
    <w:p>
      <w:pPr>
        <w:spacing w:after="0" w:line="135" w:lineRule="exact"/>
        <w:rPr>
          <w:rFonts w:ascii="Times New Roman" w:cs="Times New Roman" w:eastAsia="Times New Roman" w:hAnsi="Times New Roman"/>
          <w:sz w:val="14"/>
          <w:szCs w:val="14"/>
          <w:color w:val="auto"/>
        </w:rPr>
      </w:pPr>
    </w:p>
    <w:p>
      <w:pPr>
        <w:ind w:left="240" w:right="259" w:firstLine="340"/>
        <w:spacing w:after="0" w:line="257" w:lineRule="auto"/>
        <w:tabs>
          <w:tab w:leader="none" w:pos="801"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Agent Purchases</w:t>
      </w:r>
      <w:r>
        <w:rPr>
          <w:rFonts w:ascii="Times New Roman" w:cs="Times New Roman" w:eastAsia="Times New Roman" w:hAnsi="Times New Roman"/>
          <w:sz w:val="14"/>
          <w:szCs w:val="14"/>
          <w:color w:val="auto"/>
        </w:rPr>
        <w:t xml:space="preserve">. The Company acknowledges and agrees that the Agent has informed the Company that the Agent may, to the extent permitted under the Securities Act, the Exchange Act and the rules of the Exchange, purchase and sell Common Stock for its own account while this Agreement is in effect,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(i) no such purchase or sales shall take place while a Placement Notice is in effect (except to the extent the Agent may engage in sales of Shares purchased or deemed purchased from the Company as a “riskless principal” or in a similar capacity) and (ii) the Company shall not be deemed to have authorized or consented to any such purchases or sales by the Agent.</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70" w:name="page71"/>
    <w:bookmarkEnd w:id="70"/>
    <w:p>
      <w:pPr>
        <w:ind w:left="240" w:right="259" w:firstLine="340"/>
        <w:spacing w:after="0" w:line="265" w:lineRule="auto"/>
        <w:tabs>
          <w:tab w:leader="none" w:pos="817"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Margin Rules</w:t>
      </w:r>
      <w:r>
        <w:rPr>
          <w:rFonts w:ascii="Times New Roman" w:cs="Times New Roman" w:eastAsia="Times New Roman" w:hAnsi="Times New Roman"/>
          <w:sz w:val="14"/>
          <w:szCs w:val="14"/>
          <w:color w:val="auto"/>
        </w:rPr>
        <w:t>. Neither the issuance, sale and delivery of the Shares nor the application of the proceeds thereof by the Company as described in the Registration Statement and the Prospectus will violate Regulation T, U or X of the Board of Governors of the Federal Reserve System or any other regulation of such Board of Governors.</w:t>
      </w:r>
    </w:p>
    <w:p>
      <w:pPr>
        <w:spacing w:after="0" w:line="135" w:lineRule="exact"/>
        <w:rPr>
          <w:rFonts w:ascii="Times New Roman" w:cs="Times New Roman" w:eastAsia="Times New Roman" w:hAnsi="Times New Roman"/>
          <w:sz w:val="14"/>
          <w:szCs w:val="14"/>
          <w:color w:val="auto"/>
        </w:rPr>
      </w:pPr>
    </w:p>
    <w:p>
      <w:pPr>
        <w:ind w:left="240" w:right="259" w:firstLine="340"/>
        <w:spacing w:after="0" w:line="253" w:lineRule="auto"/>
        <w:tabs>
          <w:tab w:leader="none" w:pos="786" w:val="left"/>
        </w:tabs>
        <w:numPr>
          <w:ilvl w:val="1"/>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Insurance</w:t>
      </w:r>
      <w:r>
        <w:rPr>
          <w:rFonts w:ascii="Times New Roman" w:cs="Times New Roman" w:eastAsia="Times New Roman" w:hAnsi="Times New Roman"/>
          <w:sz w:val="14"/>
          <w:szCs w:val="14"/>
          <w:color w:val="auto"/>
        </w:rPr>
        <w:t>. The Company is insured by insurers of recognized financial responsibility against such losses and risks and in such amounts as are reasonable and customary in the business in which it is engaged; the Company is in compliance with the terms of the insurance policies and instruments insuring the Company or its businesses, assets, employees, officers and directors in all material respects, and such policies and instruments are in full force and effect; there are no claims by the Company under any such policy or instrument as to which any insurance company is denying liability or defending under a reservation of rights clause; except as would not reasonably be expected to have a Material Adverse Effect, the Company has not, within the past five years, been refused any insurance coverage sought or applied for; and the Company has no reasonable basis to believe that it will not be able to renew its existing insurance coverage as and when such coverage expires or to obtain similar coverage from similar insurers as may be necessary to continue its business at a cost that would have a Material Adverse Effect, whether or not arising from transactions in the ordinary course of business, except as set forth in or contemplated in the Prospectus (exclusive of any supplement thereto).</w:t>
      </w:r>
    </w:p>
    <w:p>
      <w:pPr>
        <w:spacing w:after="0" w:line="145" w:lineRule="exact"/>
        <w:rPr>
          <w:rFonts w:ascii="Times New Roman" w:cs="Times New Roman" w:eastAsia="Times New Roman" w:hAnsi="Times New Roman"/>
          <w:sz w:val="14"/>
          <w:szCs w:val="14"/>
          <w:color w:val="auto"/>
        </w:rPr>
      </w:pPr>
    </w:p>
    <w:p>
      <w:pPr>
        <w:ind w:left="240" w:right="279" w:firstLine="340"/>
        <w:spacing w:after="0" w:line="270" w:lineRule="auto"/>
        <w:tabs>
          <w:tab w:leader="none" w:pos="848" w:val="left"/>
        </w:tabs>
        <w:numPr>
          <w:ilvl w:val="1"/>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Improper Practices</w:t>
      </w:r>
      <w:r>
        <w:rPr>
          <w:rFonts w:ascii="Times New Roman" w:cs="Times New Roman" w:eastAsia="Times New Roman" w:hAnsi="Times New Roman"/>
          <w:sz w:val="13"/>
          <w:szCs w:val="13"/>
          <w:color w:val="auto"/>
        </w:rPr>
        <w:t>. (i) Neither the Company, nor to the Company’s knowledge, any of its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any of its affiliates, on the one hand, and the directors, officers and stockholders of the Company, on the other hand, that is required by the Securities Act to be described in the Registration Statement and the Prospectus that is not so described; (iii) no relationship, direct or indirect, exists between or among the Company or any affiliate of the Company, on the one hand, and the directors, officers, or stockholders of the Company, on the other hand, that is required by the rules of FINRA to be described in the Registration Statement and the Prospectus that is not so described; (iv) except as described in the Registration Statement and the Prospectus, there are no material outstanding loans or advances or material guarantees of indebtedness by the Company to or for the benefit of any of its officers or directors or any of the members of the families of any of them; (v) the Company has not offered, or directed any placement agent to offer, Common Stock to any person with the intent to influence unlawfully (A) a customer or supplier of the Company to alter the customer’s or supplier’s level or type of business with the Company or (B) a trade journalist or publication to write or publish favorable information about the Company or any of its products or services; and</w:t>
      </w:r>
    </w:p>
    <w:p>
      <w:pPr>
        <w:spacing w:after="0" w:line="3" w:lineRule="exact"/>
        <w:rPr>
          <w:rFonts w:ascii="Times New Roman" w:cs="Times New Roman" w:eastAsia="Times New Roman" w:hAnsi="Times New Roman"/>
          <w:sz w:val="13"/>
          <w:szCs w:val="13"/>
          <w:color w:val="auto"/>
        </w:rPr>
      </w:pPr>
    </w:p>
    <w:p>
      <w:pPr>
        <w:ind w:left="240" w:right="279" w:hanging="2"/>
        <w:spacing w:after="0" w:line="251" w:lineRule="auto"/>
        <w:tabs>
          <w:tab w:leader="none" w:pos="47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the Company nor, to the Company’s knowledge, any employee or agent of the Company, has made any payment of funds of the Company or received or retained any funds in violation of any law, rule or regulation (including, without limitation, the Foreign Corrupt Practices Act of 1977 (the “</w:t>
      </w:r>
      <w:r>
        <w:rPr>
          <w:rFonts w:ascii="Times New Roman" w:cs="Times New Roman" w:eastAsia="Times New Roman" w:hAnsi="Times New Roman"/>
          <w:sz w:val="14"/>
          <w:szCs w:val="14"/>
          <w:b w:val="1"/>
          <w:bCs w:val="1"/>
          <w:color w:val="auto"/>
        </w:rPr>
        <w:t>FCPA</w:t>
      </w:r>
      <w:r>
        <w:rPr>
          <w:rFonts w:ascii="Times New Roman" w:cs="Times New Roman" w:eastAsia="Times New Roman" w:hAnsi="Times New Roman"/>
          <w:sz w:val="14"/>
          <w:szCs w:val="14"/>
          <w:color w:val="auto"/>
        </w:rPr>
        <w:t>”)), which payment, receipt or retention of funds is of a character required to be disclosed in the Registration Statement or the Prospectus. The Company has conducted its business in compliance with the FCPA and has instituted and maintain policies and procedures designed to ensure, and which are reasonably expected to continue to ensure, continued compliance therewith.</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71" w:name="page72"/>
    <w:bookmarkEnd w:id="71"/>
    <w:p>
      <w:pPr>
        <w:ind w:left="240" w:right="419" w:firstLine="340"/>
        <w:spacing w:after="0" w:line="280" w:lineRule="auto"/>
        <w:tabs>
          <w:tab w:leader="none" w:pos="848"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Status Under the Securities Act</w:t>
      </w:r>
      <w:r>
        <w:rPr>
          <w:rFonts w:ascii="Times New Roman" w:cs="Times New Roman" w:eastAsia="Times New Roman" w:hAnsi="Times New Roman"/>
          <w:sz w:val="14"/>
          <w:szCs w:val="14"/>
          <w:color w:val="auto"/>
        </w:rPr>
        <w:t>. The Company was not and is not an ineligible issuer as defined in Rule 405 under the Securities Act at the times specified in Rules 164 and 433 under the Securities Act in connection with the offering of the Shares.</w:t>
      </w:r>
    </w:p>
    <w:p>
      <w:pPr>
        <w:spacing w:after="0" w:line="126" w:lineRule="exact"/>
        <w:rPr>
          <w:rFonts w:ascii="Times New Roman" w:cs="Times New Roman" w:eastAsia="Times New Roman" w:hAnsi="Times New Roman"/>
          <w:sz w:val="14"/>
          <w:szCs w:val="14"/>
          <w:color w:val="auto"/>
        </w:rPr>
      </w:pPr>
    </w:p>
    <w:p>
      <w:pPr>
        <w:ind w:left="240" w:right="359" w:firstLine="340"/>
        <w:spacing w:after="0" w:line="255" w:lineRule="auto"/>
        <w:tabs>
          <w:tab w:leader="none" w:pos="91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Misstatement or Omission in an Issuer Free Writing Prospectus</w:t>
      </w:r>
      <w:r>
        <w:rPr>
          <w:rFonts w:ascii="Times New Roman" w:cs="Times New Roman" w:eastAsia="Times New Roman" w:hAnsi="Times New Roman"/>
          <w:sz w:val="14"/>
          <w:szCs w:val="14"/>
          <w:color w:val="auto"/>
        </w:rPr>
        <w:t>. Each Issuer Free Writing Prospectus, as of its issue date and as of each Representation Date, did not, does not and will not, through the completion of the Placement for which such Issuer Free Writing Prospectus is used, include any information that conflicted, conflicts or will conflict with the information contained in the Registration Statement or the Prospectus, including any documents incorporated by reference therein deemed to be a part thereof, that has not been superseded or modified. The foregoing sentence does not apply to statements in or omissions from any Issuer Free Writing Prospectus based upon and in conformity with written information furnished to the Company by the Agent specifically for use therein.</w:t>
      </w:r>
    </w:p>
    <w:p>
      <w:pPr>
        <w:spacing w:after="0" w:line="144" w:lineRule="exact"/>
        <w:rPr>
          <w:rFonts w:ascii="Times New Roman" w:cs="Times New Roman" w:eastAsia="Times New Roman" w:hAnsi="Times New Roman"/>
          <w:sz w:val="14"/>
          <w:szCs w:val="14"/>
          <w:color w:val="auto"/>
        </w:rPr>
      </w:pPr>
    </w:p>
    <w:p>
      <w:pPr>
        <w:ind w:left="240" w:right="279" w:firstLine="340"/>
        <w:spacing w:after="0" w:line="252" w:lineRule="auto"/>
        <w:tabs>
          <w:tab w:leader="none" w:pos="848"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Conflicts</w:t>
      </w:r>
      <w:r>
        <w:rPr>
          <w:rFonts w:ascii="Times New Roman" w:cs="Times New Roman" w:eastAsia="Times New Roman" w:hAnsi="Times New Roman"/>
          <w:sz w:val="14"/>
          <w:szCs w:val="14"/>
          <w:color w:val="auto"/>
        </w:rPr>
        <w:t>. Neither the execution of this Agreement by the Company, nor the issuance, offering or sale of the Shares by the Company, nor the consummation of any of the transactions contemplated herein and therein by the Company,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is a party or to which any of the property or assets of the Company is subject, except (i) such conflicts, breaches or defaults as may have been waived and (ii) such conflicts, breaches and defaults that would not reasonably be expected to have a Material Adverse Effect; nor will such action result (x) in any violation of the provisions of the certificate of incorporation or bylaws of the Company, or (y) in any violation of the provisions of any statute or any order, rule or regulation applicable to the Company or of any Governmental Authority having jurisdiction over the Company, except, with respect to this clause (y) only, for any violation that would not reasonably be expected to have a Material Adverse Effect.</w:t>
      </w:r>
    </w:p>
    <w:p>
      <w:pPr>
        <w:spacing w:after="0" w:line="149" w:lineRule="exact"/>
        <w:rPr>
          <w:rFonts w:ascii="Times New Roman" w:cs="Times New Roman" w:eastAsia="Times New Roman" w:hAnsi="Times New Roman"/>
          <w:sz w:val="14"/>
          <w:szCs w:val="14"/>
          <w:color w:val="auto"/>
        </w:rPr>
      </w:pPr>
    </w:p>
    <w:p>
      <w:pPr>
        <w:ind w:left="240" w:right="539" w:firstLine="340"/>
        <w:spacing w:after="0" w:line="265" w:lineRule="auto"/>
        <w:tabs>
          <w:tab w:leader="none" w:pos="848"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Sanctions</w:t>
      </w:r>
      <w:r>
        <w:rPr>
          <w:rFonts w:ascii="Times New Roman" w:cs="Times New Roman" w:eastAsia="Times New Roman" w:hAnsi="Times New Roman"/>
          <w:sz w:val="14"/>
          <w:szCs w:val="14"/>
          <w:color w:val="auto"/>
        </w:rPr>
        <w:t>. (i) The Company represents that, neither the Company nor, to the knowledge of the Company, any director, officer, employee, agent, affiliate or representative of the Company, is a government, individual, or entity (in this paragraph (yy), “</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that is, or is owned or controlled by, a Person that is:</w:t>
      </w:r>
    </w:p>
    <w:p>
      <w:pPr>
        <w:spacing w:after="0" w:line="52" w:lineRule="exact"/>
        <w:rPr>
          <w:rFonts w:ascii="Times New Roman" w:cs="Times New Roman" w:eastAsia="Times New Roman" w:hAnsi="Times New Roman"/>
          <w:sz w:val="14"/>
          <w:szCs w:val="14"/>
          <w:color w:val="auto"/>
        </w:rPr>
      </w:pPr>
    </w:p>
    <w:p>
      <w:pPr>
        <w:ind w:left="580" w:right="319" w:firstLine="327"/>
        <w:spacing w:after="0" w:line="265" w:lineRule="auto"/>
        <w:tabs>
          <w:tab w:leader="none" w:pos="1097"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subject of any sanctions administered or enforced by the U.S. Department of Treasury’s Office of Foreign Assets Control, the United Nations Security Council, the European Union, His Majesty’s Treasury, or other relevant sanctions authority (as amended, collectively, “</w:t>
      </w:r>
      <w:r>
        <w:rPr>
          <w:rFonts w:ascii="Times New Roman" w:cs="Times New Roman" w:eastAsia="Times New Roman" w:hAnsi="Times New Roman"/>
          <w:sz w:val="14"/>
          <w:szCs w:val="14"/>
          <w:b w:val="1"/>
          <w:bCs w:val="1"/>
          <w:color w:val="auto"/>
        </w:rPr>
        <w:t>Sanctions</w:t>
      </w:r>
      <w:r>
        <w:rPr>
          <w:rFonts w:ascii="Times New Roman" w:cs="Times New Roman" w:eastAsia="Times New Roman" w:hAnsi="Times New Roman"/>
          <w:sz w:val="14"/>
          <w:szCs w:val="14"/>
          <w:color w:val="auto"/>
        </w:rPr>
        <w:t>”), nor</w:t>
      </w:r>
    </w:p>
    <w:p>
      <w:pPr>
        <w:spacing w:after="0" w:line="52" w:lineRule="exact"/>
        <w:rPr>
          <w:rFonts w:ascii="Times New Roman" w:cs="Times New Roman" w:eastAsia="Times New Roman" w:hAnsi="Times New Roman"/>
          <w:sz w:val="14"/>
          <w:szCs w:val="14"/>
          <w:color w:val="auto"/>
        </w:rPr>
      </w:pPr>
    </w:p>
    <w:p>
      <w:pPr>
        <w:ind w:left="580" w:right="319" w:firstLine="327"/>
        <w:spacing w:after="0" w:line="265" w:lineRule="auto"/>
        <w:tabs>
          <w:tab w:leader="none" w:pos="1105"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located, organized or resident in a country or territory that is the subject of Sanctions (including, without limitation, the Crimea Region of Ukraine, the so-called Donetsk People’s Republic, the so-called Luhansk People’s Republic or any other Covered Region of Ukraine identified pursuant to Executive Order 14065, Cuba, Iran, North Korea and Syria).</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0" w:right="1440" w:bottom="1440" w:gutter="0" w:footer="0" w:header="0"/>
        </w:sectPr>
      </w:pPr>
    </w:p>
    <w:bookmarkStart w:id="72" w:name="page73"/>
    <w:bookmarkEnd w:id="72"/>
    <w:p>
      <w:pPr>
        <w:ind w:left="240" w:right="339" w:firstLine="340"/>
        <w:spacing w:after="0" w:line="280" w:lineRule="auto"/>
        <w:tabs>
          <w:tab w:leader="none" w:pos="786"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Company represents and covenants that it will not, directly or indirectly, use the proceeds of the offering, or lend, contribute or otherwise make available such proceeds to any subsidiary, joint venture partner or other Person:</w:t>
      </w:r>
    </w:p>
    <w:p>
      <w:pPr>
        <w:spacing w:after="0" w:line="42" w:lineRule="exact"/>
        <w:rPr>
          <w:rFonts w:ascii="Times New Roman" w:cs="Times New Roman" w:eastAsia="Times New Roman" w:hAnsi="Times New Roman"/>
          <w:sz w:val="14"/>
          <w:szCs w:val="14"/>
          <w:color w:val="auto"/>
        </w:rPr>
      </w:pPr>
    </w:p>
    <w:p>
      <w:pPr>
        <w:ind w:left="580" w:right="599" w:firstLine="327"/>
        <w:spacing w:after="0" w:line="280" w:lineRule="auto"/>
        <w:tabs>
          <w:tab w:leader="none" w:pos="1097"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fund or facilitate any activities or business of or with any Person or in any country or territory that, at the time of such funding or facilitation, is the subject of Sanctions; or</w:t>
      </w:r>
    </w:p>
    <w:p>
      <w:pPr>
        <w:spacing w:after="0" w:line="43" w:lineRule="exact"/>
        <w:rPr>
          <w:sz w:val="20"/>
          <w:szCs w:val="20"/>
          <w:color w:val="auto"/>
        </w:rPr>
      </w:pPr>
    </w:p>
    <w:p>
      <w:pPr>
        <w:ind w:left="580" w:right="439"/>
        <w:spacing w:after="0" w:line="280" w:lineRule="auto"/>
        <w:tabs>
          <w:tab w:leader="none" w:pos="801"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manner that will result in a violation of Sanctions by any Person (including any Person participating in the offering, whether as underwriter, advisor, investor or otherwise).</w:t>
      </w:r>
    </w:p>
    <w:p>
      <w:pPr>
        <w:spacing w:after="0" w:line="126" w:lineRule="exact"/>
        <w:rPr>
          <w:sz w:val="20"/>
          <w:szCs w:val="20"/>
          <w:color w:val="auto"/>
        </w:rPr>
      </w:pPr>
    </w:p>
    <w:p>
      <w:pPr>
        <w:jc w:val="both"/>
        <w:ind w:left="240" w:right="339" w:firstLine="340"/>
        <w:spacing w:after="0" w:line="265" w:lineRule="auto"/>
        <w:tabs>
          <w:tab w:leader="none" w:pos="825"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represents and covenants that since April 24, 2019, except as detailed in the Registration Statement and the Prospectus, it has not knowingly engaged in, is not now knowingly engaged in, and will not knowingly engage in, any dealings or transactions with any Person, or in any country or territory, that at the time of the dealing or transaction is or was the subject of Sanctions.</w:t>
      </w:r>
    </w:p>
    <w:p>
      <w:pPr>
        <w:spacing w:after="0" w:line="136" w:lineRule="exact"/>
        <w:rPr>
          <w:sz w:val="20"/>
          <w:szCs w:val="20"/>
          <w:color w:val="auto"/>
        </w:rPr>
      </w:pPr>
    </w:p>
    <w:p>
      <w:pPr>
        <w:ind w:left="240" w:right="759" w:firstLine="340"/>
        <w:spacing w:after="0" w:line="321" w:lineRule="auto"/>
        <w:tabs>
          <w:tab w:leader="none" w:pos="832"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Rated Security</w:t>
      </w:r>
      <w:r>
        <w:rPr>
          <w:rFonts w:ascii="Times New Roman" w:cs="Times New Roman" w:eastAsia="Times New Roman" w:hAnsi="Times New Roman"/>
          <w:sz w:val="13"/>
          <w:szCs w:val="13"/>
          <w:color w:val="auto"/>
        </w:rPr>
        <w:t>. There are no debt securities or preferred stock of, or guaranteed by, the Company that are rated by a “nationally recognized statistical rating organization,” as such term is defined by the Commission for the purposes of Section 3(a)(62) of the Exchange Act.</w:t>
      </w:r>
    </w:p>
    <w:p>
      <w:pPr>
        <w:spacing w:after="0" w:line="102" w:lineRule="exact"/>
        <w:rPr>
          <w:sz w:val="20"/>
          <w:szCs w:val="20"/>
          <w:color w:val="auto"/>
        </w:rPr>
      </w:pPr>
    </w:p>
    <w:p>
      <w:pPr>
        <w:ind w:left="240" w:right="399" w:firstLine="340"/>
        <w:spacing w:after="0" w:line="265" w:lineRule="auto"/>
        <w:tabs>
          <w:tab w:leader="none" w:pos="894"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 Transfer Taxes</w:t>
      </w:r>
      <w:r>
        <w:rPr>
          <w:rFonts w:ascii="Times New Roman" w:cs="Times New Roman" w:eastAsia="Times New Roman" w:hAnsi="Times New Roman"/>
          <w:sz w:val="14"/>
          <w:szCs w:val="14"/>
          <w:color w:val="auto"/>
        </w:rPr>
        <w:t>. On each Settlement Date, all stock transfer or other taxes (other than income taxes) which are required to be paid by the Company in connection with the sale and transfer of the Shares to be sold hereunder will be, or will have been, fully paid or provided for by the Company and all laws imposing such taxes will be or will have been complied with in all material respects.</w:t>
      </w:r>
    </w:p>
    <w:p>
      <w:pPr>
        <w:spacing w:after="0" w:line="136" w:lineRule="exact"/>
        <w:rPr>
          <w:sz w:val="20"/>
          <w:szCs w:val="20"/>
          <w:color w:val="auto"/>
        </w:rPr>
      </w:pPr>
    </w:p>
    <w:p>
      <w:pPr>
        <w:ind w:left="240" w:right="259" w:firstLine="341"/>
        <w:spacing w:after="0" w:line="280" w:lineRule="auto"/>
        <w:rPr>
          <w:sz w:val="20"/>
          <w:szCs w:val="20"/>
          <w:color w:val="auto"/>
        </w:rPr>
      </w:pPr>
      <w:r>
        <w:rPr>
          <w:rFonts w:ascii="Times New Roman" w:cs="Times New Roman" w:eastAsia="Times New Roman" w:hAnsi="Times New Roman"/>
          <w:sz w:val="14"/>
          <w:szCs w:val="14"/>
          <w:color w:val="auto"/>
        </w:rPr>
        <w:t>Any certificate signed by any officer of the Company and delivered to the Agent or counsel for the Agent in connection with an issuance of Shares shall be deemed a representation and warranty by the Company to the Agent as to the matters covered thereby on the date of such certificate.</w:t>
      </w:r>
    </w:p>
    <w:p>
      <w:pPr>
        <w:spacing w:after="0" w:line="126" w:lineRule="exact"/>
        <w:rPr>
          <w:sz w:val="20"/>
          <w:szCs w:val="20"/>
          <w:color w:val="auto"/>
        </w:rPr>
      </w:pPr>
    </w:p>
    <w:p>
      <w:pPr>
        <w:jc w:val="both"/>
        <w:ind w:left="240" w:right="359" w:firstLine="341"/>
        <w:spacing w:after="0" w:line="265" w:lineRule="auto"/>
        <w:rPr>
          <w:sz w:val="20"/>
          <w:szCs w:val="20"/>
          <w:color w:val="auto"/>
        </w:rPr>
      </w:pPr>
      <w:r>
        <w:rPr>
          <w:rFonts w:ascii="Times New Roman" w:cs="Times New Roman" w:eastAsia="Times New Roman" w:hAnsi="Times New Roman"/>
          <w:sz w:val="14"/>
          <w:szCs w:val="14"/>
          <w:color w:val="auto"/>
        </w:rPr>
        <w:t xml:space="preserve">The Company acknowledges that the Agent and, for purposes of the opinions to be delivered pursuant to </w:t>
      </w:r>
      <w:r>
        <w:rPr>
          <w:rFonts w:ascii="Times New Roman" w:cs="Times New Roman" w:eastAsia="Times New Roman" w:hAnsi="Times New Roman"/>
          <w:sz w:val="14"/>
          <w:szCs w:val="14"/>
          <w:u w:val="single" w:color="auto"/>
          <w:color w:val="auto"/>
        </w:rPr>
        <w:t>Section 4(o)</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5(a)</w:t>
      </w:r>
      <w:r>
        <w:rPr>
          <w:rFonts w:ascii="Times New Roman" w:cs="Times New Roman" w:eastAsia="Times New Roman" w:hAnsi="Times New Roman"/>
          <w:sz w:val="14"/>
          <w:szCs w:val="14"/>
          <w:color w:val="auto"/>
        </w:rPr>
        <w:t>(v) hereof, counsel to the Company and counsel to the Agent, will rely upon the accuracy and truthfulness of the foregoing representations and hereby consents to such reliance.</w:t>
      </w:r>
    </w:p>
    <w:p>
      <w:pPr>
        <w:spacing w:after="0" w:line="2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Section 3. ISSUANCE AND SALE OF COMMON SHARES</w:t>
      </w:r>
    </w:p>
    <w:p>
      <w:pPr>
        <w:spacing w:after="0" w:line="92" w:lineRule="exact"/>
        <w:rPr>
          <w:sz w:val="20"/>
          <w:szCs w:val="20"/>
          <w:color w:val="auto"/>
        </w:rPr>
      </w:pPr>
    </w:p>
    <w:p>
      <w:pPr>
        <w:ind w:left="240" w:right="299" w:firstLine="340"/>
        <w:spacing w:after="0" w:line="259" w:lineRule="auto"/>
        <w:tabs>
          <w:tab w:leader="none" w:pos="77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Sale of Securities</w:t>
      </w:r>
      <w:r>
        <w:rPr>
          <w:rFonts w:ascii="Times New Roman" w:cs="Times New Roman" w:eastAsia="Times New Roman" w:hAnsi="Times New Roman"/>
          <w:sz w:val="14"/>
          <w:szCs w:val="14"/>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0" w:right="1440" w:bottom="1440" w:gutter="0" w:footer="0" w:header="0"/>
        </w:sectPr>
      </w:pPr>
    </w:p>
    <w:bookmarkStart w:id="73" w:name="page74"/>
    <w:bookmarkEnd w:id="73"/>
    <w:p>
      <w:pPr>
        <w:ind w:left="780" w:hanging="200"/>
        <w:spacing w:after="0"/>
        <w:tabs>
          <w:tab w:leader="none" w:pos="7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Mechanics of Issuances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459" w:firstLine="340"/>
        <w:spacing w:after="0" w:line="276" w:lineRule="auto"/>
        <w:tabs>
          <w:tab w:leader="none" w:pos="747" w:val="left"/>
        </w:tabs>
        <w:numPr>
          <w:ilvl w:val="1"/>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Issuance Notice</w:t>
      </w:r>
      <w:r>
        <w:rPr>
          <w:rFonts w:ascii="Times New Roman" w:cs="Times New Roman" w:eastAsia="Times New Roman" w:hAnsi="Times New Roman"/>
          <w:sz w:val="13"/>
          <w:szCs w:val="13"/>
          <w:color w:val="auto"/>
        </w:rPr>
        <w:t xml:space="preserve">. Upon the terms and subject to the conditions set forth herein, on any Trading Day during the Agency Period on which the conditions set forth in </w:t>
      </w:r>
      <w:r>
        <w:rPr>
          <w:rFonts w:ascii="Times New Roman" w:cs="Times New Roman" w:eastAsia="Times New Roman" w:hAnsi="Times New Roman"/>
          <w:sz w:val="13"/>
          <w:szCs w:val="13"/>
          <w:u w:val="single" w:color="auto"/>
          <w:color w:val="auto"/>
        </w:rPr>
        <w:t>Section 5(a)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5(b)</w:t>
      </w:r>
      <w:r>
        <w:rPr>
          <w:rFonts w:ascii="Times New Roman" w:cs="Times New Roman" w:eastAsia="Times New Roman" w:hAnsi="Times New Roman"/>
          <w:sz w:val="13"/>
          <w:szCs w:val="13"/>
          <w:color w:val="auto"/>
        </w:rPr>
        <w:t xml:space="preserve"> shall have been satisfied, the Company may exercise its right to request an issuance of Shares by delivering to the Agent an Issuance Notice;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that (A) in no event may the Company deliver an Issuance Notice to the extent that</w:t>
      </w:r>
    </w:p>
    <w:p>
      <w:pPr>
        <w:ind w:left="240" w:right="359" w:hanging="2"/>
        <w:spacing w:after="0" w:line="251" w:lineRule="auto"/>
        <w:tabs>
          <w:tab w:leader="none" w:pos="414"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145" w:lineRule="exact"/>
        <w:rPr>
          <w:rFonts w:ascii="Times New Roman" w:cs="Times New Roman" w:eastAsia="Times New Roman" w:hAnsi="Times New Roman"/>
          <w:sz w:val="14"/>
          <w:szCs w:val="14"/>
          <w:color w:val="auto"/>
        </w:rPr>
      </w:pPr>
    </w:p>
    <w:p>
      <w:pPr>
        <w:ind w:left="240" w:right="259" w:firstLine="340"/>
        <w:spacing w:after="0" w:line="257" w:lineRule="auto"/>
        <w:tabs>
          <w:tab w:leader="none" w:pos="786"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Agent Efforts</w:t>
      </w:r>
      <w:r>
        <w:rPr>
          <w:rFonts w:ascii="Times New Roman" w:cs="Times New Roman" w:eastAsia="Times New Roman" w:hAnsi="Times New Roman"/>
          <w:sz w:val="14"/>
          <w:szCs w:val="14"/>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41" w:lineRule="exact"/>
        <w:rPr>
          <w:rFonts w:ascii="Times New Roman" w:cs="Times New Roman" w:eastAsia="Times New Roman" w:hAnsi="Times New Roman"/>
          <w:sz w:val="14"/>
          <w:szCs w:val="14"/>
          <w:color w:val="auto"/>
        </w:rPr>
      </w:pPr>
    </w:p>
    <w:p>
      <w:pPr>
        <w:ind w:left="820" w:hanging="240"/>
        <w:spacing w:after="0"/>
        <w:tabs>
          <w:tab w:leader="none" w:pos="820"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Method of Offer and Sale</w:t>
      </w:r>
      <w:r>
        <w:rPr>
          <w:rFonts w:ascii="Times New Roman" w:cs="Times New Roman" w:eastAsia="Times New Roman" w:hAnsi="Times New Roman"/>
          <w:sz w:val="14"/>
          <w:szCs w:val="14"/>
          <w:color w:val="auto"/>
        </w:rPr>
        <w:t>. The Shares may be offered and sold (A) in privately negotiated transactions with the consent of the Company;</w:t>
      </w:r>
    </w:p>
    <w:p>
      <w:pPr>
        <w:spacing w:after="0" w:line="21" w:lineRule="exact"/>
        <w:rPr>
          <w:sz w:val="20"/>
          <w:szCs w:val="20"/>
          <w:color w:val="auto"/>
        </w:rPr>
      </w:pPr>
    </w:p>
    <w:p>
      <w:pPr>
        <w:ind w:left="240" w:right="359" w:hanging="2"/>
        <w:spacing w:after="0" w:line="252" w:lineRule="auto"/>
        <w:tabs>
          <w:tab w:leader="none" w:pos="461"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block transactions; or (C) by any other method permitted by law deemed to be an “at the market offering” as defined in Rule 415(a)(4) under the Securities Act, including sales made directly on the Principal Market or sales made into any other existing trading market of the Common Shares. Nothing in this Agreement shall be deemed to require either party to agree to the method of offer and sale specified in the preceding sentence, and (except as specified in clauses (A) and (B) above) the method of placement of any Shares by the Agent shall be at the Agent’s discretion.</w:t>
      </w:r>
    </w:p>
    <w:p>
      <w:pPr>
        <w:spacing w:after="0" w:line="145" w:lineRule="exact"/>
        <w:rPr>
          <w:rFonts w:ascii="Times New Roman" w:cs="Times New Roman" w:eastAsia="Times New Roman" w:hAnsi="Times New Roman"/>
          <w:sz w:val="14"/>
          <w:szCs w:val="14"/>
          <w:color w:val="auto"/>
        </w:rPr>
      </w:pPr>
    </w:p>
    <w:p>
      <w:pPr>
        <w:ind w:left="240" w:right="299" w:firstLine="340"/>
        <w:spacing w:after="0" w:line="265" w:lineRule="auto"/>
        <w:tabs>
          <w:tab w:leader="none" w:pos="817" w:val="left"/>
        </w:tabs>
        <w:numPr>
          <w:ilvl w:val="1"/>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Confirmation to the Company</w:t>
      </w:r>
      <w:r>
        <w:rPr>
          <w:rFonts w:ascii="Times New Roman" w:cs="Times New Roman" w:eastAsia="Times New Roman" w:hAnsi="Times New Roman"/>
          <w:sz w:val="14"/>
          <w:szCs w:val="14"/>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35" w:lineRule="exact"/>
        <w:rPr>
          <w:rFonts w:ascii="Times New Roman" w:cs="Times New Roman" w:eastAsia="Times New Roman" w:hAnsi="Times New Roman"/>
          <w:sz w:val="14"/>
          <w:szCs w:val="14"/>
          <w:color w:val="auto"/>
        </w:rPr>
      </w:pPr>
    </w:p>
    <w:p>
      <w:pPr>
        <w:ind w:left="240" w:right="279" w:firstLine="340"/>
        <w:spacing w:after="0" w:line="277" w:lineRule="auto"/>
        <w:tabs>
          <w:tab w:leader="none" w:pos="778" w:val="left"/>
        </w:tabs>
        <w:numPr>
          <w:ilvl w:val="1"/>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Settlement</w:t>
      </w:r>
      <w:r>
        <w:rPr>
          <w:rFonts w:ascii="Times New Roman" w:cs="Times New Roman" w:eastAsia="Times New Roman" w:hAnsi="Times New Roman"/>
          <w:sz w:val="13"/>
          <w:szCs w:val="13"/>
          <w:color w:val="auto"/>
        </w:rPr>
        <w:t xml:space="preserve">. Each issuance of Shares will be settled on the applicable Settlement Date for such issuance of Shares and, subject to the provisions of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on or before each Settlement Date, the Company will, or will cause its transfer agent to, electronically transfer the Shares being sold by crediting the Agent or its designee’s account at The Depository Trust Company through its Deposit/Withdrawal At Custodian (“</w:t>
      </w:r>
      <w:r>
        <w:rPr>
          <w:rFonts w:ascii="Times New Roman" w:cs="Times New Roman" w:eastAsia="Times New Roman" w:hAnsi="Times New Roman"/>
          <w:sz w:val="13"/>
          <w:szCs w:val="13"/>
          <w:b w:val="1"/>
          <w:bCs w:val="1"/>
          <w:color w:val="auto"/>
        </w:rPr>
        <w:t>DWAC</w:t>
      </w:r>
      <w:r>
        <w:rPr>
          <w:rFonts w:ascii="Times New Roman" w:cs="Times New Roman" w:eastAsia="Times New Roman" w:hAnsi="Times New Roman"/>
          <w:sz w:val="13"/>
          <w:szCs w:val="13"/>
          <w:color w:val="auto"/>
        </w:rPr>
        <w:t>”)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Times New Roman" w:cs="Times New Roman" w:eastAsia="Times New Roman" w:hAnsi="Times New Roman"/>
          <w:sz w:val="13"/>
          <w:szCs w:val="13"/>
          <w:b w:val="1"/>
          <w:bCs w:val="1"/>
          <w:color w:val="auto"/>
        </w:rPr>
        <w:t>Time of Sale</w:t>
      </w:r>
      <w:r>
        <w:rPr>
          <w:rFonts w:ascii="Times New Roman" w:cs="Times New Roman" w:eastAsia="Times New Roman" w:hAnsi="Times New Roman"/>
          <w:sz w:val="13"/>
          <w:szCs w:val="13"/>
          <w:color w:val="auto"/>
        </w:rPr>
        <w:t>”).</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0" w:right="1440" w:bottom="1440" w:gutter="0" w:footer="0" w:header="0"/>
        </w:sectPr>
      </w:pPr>
    </w:p>
    <w:bookmarkStart w:id="74" w:name="page75"/>
    <w:bookmarkEnd w:id="74"/>
    <w:p>
      <w:pPr>
        <w:ind w:left="240" w:right="339" w:firstLine="340"/>
        <w:spacing w:after="0" w:line="270" w:lineRule="auto"/>
        <w:tabs>
          <w:tab w:leader="none" w:pos="817" w:val="left"/>
        </w:tabs>
        <w:numPr>
          <w:ilvl w:val="1"/>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Suspension or Termination of Sales</w:t>
      </w:r>
      <w:r>
        <w:rPr>
          <w:rFonts w:ascii="Times New Roman" w:cs="Times New Roman" w:eastAsia="Times New Roman" w:hAnsi="Times New Roman"/>
          <w:sz w:val="13"/>
          <w:szCs w:val="13"/>
          <w:color w:val="auto"/>
        </w:rPr>
        <w:t xml:space="preserve">. Consistent with standard market settlement practices, the Company or the Agent may, upon notice to the other party hereto in writing (including by email correspondence to each of the individuals of the other party whose names are set forth on Schedule A) or by telephone (confirmed immediately by verifiable email), suspend any sale of Shares, and the period set forth in an Issuance Notice shall immediately terminate;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Times New Roman" w:cs="Times New Roman" w:eastAsia="Times New Roman" w:hAnsi="Times New Roman"/>
          <w:sz w:val="13"/>
          <w:szCs w:val="13"/>
          <w:u w:val="single" w:color="auto"/>
          <w:color w:val="auto"/>
        </w:rPr>
        <w:t>Section 3(b)(v)</w:t>
      </w:r>
      <w:r>
        <w:rPr>
          <w:rFonts w:ascii="Times New Roman" w:cs="Times New Roman" w:eastAsia="Times New Roman" w:hAnsi="Times New Roman"/>
          <w:sz w:val="13"/>
          <w:szCs w:val="13"/>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Common Shares from stock lenders in the event that the Company has not delivered Shares to settle sales as required by subsection</w:t>
      </w:r>
    </w:p>
    <w:p>
      <w:pPr>
        <w:spacing w:after="0" w:line="5" w:lineRule="exact"/>
        <w:rPr>
          <w:rFonts w:ascii="Times New Roman" w:cs="Times New Roman" w:eastAsia="Times New Roman" w:hAnsi="Times New Roman"/>
          <w:sz w:val="13"/>
          <w:szCs w:val="13"/>
          <w:color w:val="auto"/>
        </w:rPr>
      </w:pPr>
    </w:p>
    <w:p>
      <w:pPr>
        <w:ind w:left="240" w:right="419" w:hanging="2"/>
        <w:spacing w:after="0" w:line="258" w:lineRule="auto"/>
        <w:tabs>
          <w:tab w:leader="none" w:pos="437"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above, and may use the Shares to settle or close out such borrowings. The Company agrees that no such notice shall be effective against the Agent unless it is made to the persons identified in writing by the Agent pursuant to </w:t>
      </w:r>
      <w:r>
        <w:rPr>
          <w:rFonts w:ascii="Times New Roman" w:cs="Times New Roman" w:eastAsia="Times New Roman" w:hAnsi="Times New Roman"/>
          <w:sz w:val="14"/>
          <w:szCs w:val="14"/>
          <w:u w:val="single" w:color="auto"/>
          <w:color w:val="auto"/>
        </w:rPr>
        <w:t>Section 3(b)(i)</w:t>
      </w:r>
      <w:r>
        <w:rPr>
          <w:rFonts w:ascii="Times New Roman" w:cs="Times New Roman" w:eastAsia="Times New Roman" w:hAnsi="Times New Roman"/>
          <w:sz w:val="14"/>
          <w:szCs w:val="14"/>
          <w:color w:val="auto"/>
        </w:rPr>
        <w:t>.</w:t>
      </w:r>
    </w:p>
    <w:p>
      <w:pPr>
        <w:spacing w:after="0" w:line="140" w:lineRule="exact"/>
        <w:rPr>
          <w:rFonts w:ascii="Times New Roman" w:cs="Times New Roman" w:eastAsia="Times New Roman" w:hAnsi="Times New Roman"/>
          <w:sz w:val="14"/>
          <w:szCs w:val="14"/>
          <w:color w:val="auto"/>
        </w:rPr>
      </w:pPr>
    </w:p>
    <w:p>
      <w:pPr>
        <w:ind w:left="240" w:right="279" w:firstLine="340"/>
        <w:spacing w:after="0" w:line="259" w:lineRule="auto"/>
        <w:tabs>
          <w:tab w:leader="none" w:pos="856"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Guarantee of Placement, Etc.</w:t>
      </w:r>
      <w:r>
        <w:rPr>
          <w:rFonts w:ascii="Times New Roman" w:cs="Times New Roman" w:eastAsia="Times New Roman" w:hAnsi="Times New Roman"/>
          <w:sz w:val="14"/>
          <w:szCs w:val="14"/>
          <w:color w:val="auto"/>
        </w:rPr>
        <w:t xml:space="preserve">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41" w:lineRule="exact"/>
        <w:rPr>
          <w:rFonts w:ascii="Times New Roman" w:cs="Times New Roman" w:eastAsia="Times New Roman" w:hAnsi="Times New Roman"/>
          <w:sz w:val="14"/>
          <w:szCs w:val="14"/>
          <w:color w:val="auto"/>
        </w:rPr>
      </w:pPr>
    </w:p>
    <w:p>
      <w:pPr>
        <w:ind w:left="240" w:right="439" w:firstLine="340"/>
        <w:spacing w:after="0" w:line="265" w:lineRule="auto"/>
        <w:tabs>
          <w:tab w:leader="none" w:pos="894"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Material Non-Public Information.</w:t>
      </w:r>
      <w:r>
        <w:rPr>
          <w:rFonts w:ascii="Times New Roman" w:cs="Times New Roman" w:eastAsia="Times New Roman" w:hAnsi="Times New Roman"/>
          <w:sz w:val="14"/>
          <w:szCs w:val="14"/>
          <w:color w:val="auto"/>
        </w:rPr>
        <w:t xml:space="preserve">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36" w:lineRule="exact"/>
        <w:rPr>
          <w:sz w:val="20"/>
          <w:szCs w:val="20"/>
          <w:color w:val="auto"/>
        </w:rPr>
      </w:pPr>
    </w:p>
    <w:p>
      <w:pPr>
        <w:jc w:val="both"/>
        <w:ind w:left="240" w:right="279" w:firstLine="340"/>
        <w:spacing w:after="0" w:line="265" w:lineRule="auto"/>
        <w:tabs>
          <w:tab w:leader="none" w:pos="77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Fees</w:t>
      </w:r>
      <w:r>
        <w:rPr>
          <w:rFonts w:ascii="Times New Roman" w:cs="Times New Roman" w:eastAsia="Times New Roman" w:hAnsi="Times New Roman"/>
          <w:sz w:val="14"/>
          <w:szCs w:val="14"/>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Times New Roman" w:cs="Times New Roman" w:eastAsia="Times New Roman" w:hAnsi="Times New Roman"/>
          <w:sz w:val="14"/>
          <w:szCs w:val="14"/>
          <w:u w:val="single" w:color="auto"/>
          <w:color w:val="auto"/>
        </w:rPr>
        <w:t>Section 3(b)(vi))</w:t>
      </w:r>
      <w:r>
        <w:rPr>
          <w:rFonts w:ascii="Times New Roman" w:cs="Times New Roman" w:eastAsia="Times New Roman" w:hAnsi="Times New Roman"/>
          <w:sz w:val="14"/>
          <w:szCs w:val="14"/>
          <w:color w:val="auto"/>
        </w:rPr>
        <w:t xml:space="preserve"> by the Agent deducting the Selling Commission from the applicable Issuance Amount.</w:t>
      </w:r>
    </w:p>
    <w:p>
      <w:pPr>
        <w:spacing w:after="0" w:line="135" w:lineRule="exact"/>
        <w:rPr>
          <w:rFonts w:ascii="Times New Roman" w:cs="Times New Roman" w:eastAsia="Times New Roman" w:hAnsi="Times New Roman"/>
          <w:sz w:val="14"/>
          <w:szCs w:val="14"/>
          <w:color w:val="auto"/>
        </w:rPr>
      </w:pPr>
    </w:p>
    <w:p>
      <w:pPr>
        <w:ind w:left="240" w:right="279" w:firstLine="340"/>
        <w:spacing w:after="0" w:line="281" w:lineRule="auto"/>
        <w:tabs>
          <w:tab w:leader="none" w:pos="778"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Expenses</w:t>
      </w:r>
      <w:r>
        <w:rPr>
          <w:rFonts w:ascii="Times New Roman" w:cs="Times New Roman" w:eastAsia="Times New Roman" w:hAnsi="Times New Roman"/>
          <w:sz w:val="13"/>
          <w:szCs w:val="13"/>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necessary issue, transfer and other stamp taxes in connection with the issuance and sale of the Shares; (iv) all fees and expenses of the Company’s counsel, independent public or certified public accountants and other advisors; (v) all costs and expenses incurred in connection with the preparation, printing, filing, shipping</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0" w:right="1440" w:bottom="1440" w:gutter="0" w:footer="0" w:header="0"/>
        </w:sectPr>
      </w:pPr>
    </w:p>
    <w:bookmarkStart w:id="75" w:name="page76"/>
    <w:bookmarkEnd w:id="75"/>
    <w:p>
      <w:pPr>
        <w:ind w:left="240" w:right="319"/>
        <w:spacing w:after="0" w:line="27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(vi)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Times New Roman" w:cs="Times New Roman" w:eastAsia="Times New Roman" w:hAnsi="Times New Roman"/>
          <w:sz w:val="13"/>
          <w:szCs w:val="13"/>
          <w:b w:val="1"/>
          <w:bCs w:val="1"/>
          <w:color w:val="auto"/>
        </w:rPr>
        <w:t>Blue Sky Survey</w:t>
      </w:r>
      <w:r>
        <w:rPr>
          <w:rFonts w:ascii="Times New Roman" w:cs="Times New Roman" w:eastAsia="Times New Roman" w:hAnsi="Times New Roman"/>
          <w:sz w:val="13"/>
          <w:szCs w:val="13"/>
          <w:color w:val="auto"/>
        </w:rPr>
        <w:t>” or memorandum and a “Canadian wrapper,” and any supplements thereto, and advising the Agent of such qualifications, registrations, determinations and exemptions; (vii) the reasonable fees and disbursements of the Agent’s counsel, including the reasonable fees and expenses of counsel for the Agent in connection with, FINRA review, if any, and approval of the Agent’s participation in the offering and distribution of the Shares; (viii) the filing fees incident to FINRA review, if any; and (ix) the fees and expenses associated with listing the Shares on the Principal Market.</w:t>
      </w:r>
    </w:p>
    <w:p>
      <w:pPr>
        <w:spacing w:after="0" w:line="21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Section 4. ADDITIONAL COVENANTS</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Company covenants and agrees with the Agent as follows, in addition to any other covenants and agreements made elsewhere in this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Agreement:</w:t>
      </w:r>
    </w:p>
    <w:p>
      <w:pPr>
        <w:spacing w:after="0" w:line="75" w:lineRule="exact"/>
        <w:rPr>
          <w:sz w:val="20"/>
          <w:szCs w:val="20"/>
          <w:color w:val="auto"/>
        </w:rPr>
      </w:pPr>
    </w:p>
    <w:p>
      <w:pPr>
        <w:ind w:left="240" w:right="299" w:firstLine="340"/>
        <w:spacing w:after="0" w:line="253" w:lineRule="auto"/>
        <w:tabs>
          <w:tab w:leader="none" w:pos="77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Exchange Act Compliance</w:t>
      </w:r>
      <w:r>
        <w:rPr>
          <w:rFonts w:ascii="Times New Roman" w:cs="Times New Roman" w:eastAsia="Times New Roman" w:hAnsi="Times New Roman"/>
          <w:sz w:val="14"/>
          <w:szCs w:val="14"/>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in the Company’s sole discretion, (A) include in its quarterly reports on Form 10-Q and its annual reports on Form 10-K, a summary detailing, for the relevant reporting period, (1) the number of Shares, if any, sold through the Agent pursuant to this Agreement and (2) the net proceeds, if any, received by the Company from such sales or (B) prepare a prospectus supplement containing, or include in such other filing permitted by the Securities Act or Exchange Act (each an “</w:t>
      </w:r>
      <w:r>
        <w:rPr>
          <w:rFonts w:ascii="Times New Roman" w:cs="Times New Roman" w:eastAsia="Times New Roman" w:hAnsi="Times New Roman"/>
          <w:sz w:val="14"/>
          <w:szCs w:val="14"/>
          <w:b w:val="1"/>
          <w:bCs w:val="1"/>
          <w:color w:val="auto"/>
        </w:rPr>
        <w:t>Interim Prospectus Supplement</w:t>
      </w:r>
      <w:r>
        <w:rPr>
          <w:rFonts w:ascii="Times New Roman" w:cs="Times New Roman" w:eastAsia="Times New Roman" w:hAnsi="Times New Roman"/>
          <w:sz w:val="14"/>
          <w:szCs w:val="14"/>
          <w:color w:val="auto"/>
        </w:rPr>
        <w:t>”), such summary information and, at least once a quarter and subject to this Section 4, file such Interim Prospectus Supplement pursuant to Rule 424(b) under the Securities Act (and within the time periods required by Rule 424(b) and Rule 430B under the Securities Act).</w:t>
      </w:r>
    </w:p>
    <w:p>
      <w:pPr>
        <w:spacing w:after="0" w:line="147" w:lineRule="exact"/>
        <w:rPr>
          <w:rFonts w:ascii="Times New Roman" w:cs="Times New Roman" w:eastAsia="Times New Roman" w:hAnsi="Times New Roman"/>
          <w:sz w:val="14"/>
          <w:szCs w:val="14"/>
          <w:color w:val="auto"/>
        </w:rPr>
      </w:pPr>
    </w:p>
    <w:p>
      <w:pPr>
        <w:ind w:left="240" w:right="259" w:firstLine="340"/>
        <w:spacing w:after="0" w:line="253" w:lineRule="auto"/>
        <w:tabs>
          <w:tab w:leader="none" w:pos="778"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Securities Act Compliance</w:t>
      </w:r>
      <w:r>
        <w:rPr>
          <w:rFonts w:ascii="Times New Roman" w:cs="Times New Roman" w:eastAsia="Times New Roman" w:hAnsi="Times New Roman"/>
          <w:sz w:val="14"/>
          <w:szCs w:val="14"/>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any Rule 462(b) Registration Statement or any amendment or supplement to the Prospectus, or any Free Writing Prospectus; (iii) of the time and date that any post-effective amendment to the Registration Statement or any Rule 462(b) Registration Statement becomes effective; (iv) of the issuance by the Commission of any stop order suspending the effectiveness of the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Common Shares from any securities exchange upon which they are listed for trading or included or designated for quotation, or of the threatening or initiation of any proceedings for any of such purposes; and (v) of the Company losing its status as a “well-known seasoned issuer” as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0" w:right="1440" w:bottom="1440" w:gutter="0" w:footer="0" w:header="0"/>
        </w:sectPr>
      </w:pPr>
    </w:p>
    <w:bookmarkStart w:id="76" w:name="page77"/>
    <w:bookmarkEnd w:id="76"/>
    <w:p>
      <w:pPr>
        <w:ind w:left="240" w:right="33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defined in Rule 405 under the Securities Act as of the time the Company files with the Commission an annual report on Form 10-K. If the Commission shall enter any such stop order at any time, the Company will use commercially reasonable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42" w:lineRule="exact"/>
        <w:rPr>
          <w:sz w:val="20"/>
          <w:szCs w:val="20"/>
          <w:color w:val="auto"/>
        </w:rPr>
      </w:pPr>
    </w:p>
    <w:p>
      <w:pPr>
        <w:ind w:left="240" w:right="259" w:firstLine="340"/>
        <w:spacing w:after="0" w:line="251" w:lineRule="auto"/>
        <w:tabs>
          <w:tab w:leader="none" w:pos="77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Amendments and Supplements to the Prospectus and Other Securities Act Matters</w:t>
      </w:r>
      <w:r>
        <w:rPr>
          <w:rFonts w:ascii="Times New Roman" w:cs="Times New Roman" w:eastAsia="Times New Roman" w:hAnsi="Times New Roman"/>
          <w:sz w:val="14"/>
          <w:szCs w:val="14"/>
          <w:color w:val="auto"/>
        </w:rPr>
        <w:t>.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Sections 4(d) and 4(f))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Sections 4(d) and 4(f); provided, however that the only remedy the Agent shall have with respect to the failure by the Company to make such filing (other than the Agent’s rights under Section 3(d) or Section 6 hereof) shall be to cease making sales under this Agreement until such amendment or supplement is filed; provided further, that the failure of the Company to file such amendment or supplement request shall not relieve the Company of any obligation or liability under Section 3(d) or Section 6 hereof, or affect the Agent’s right to rely on the representations and warranties made by the Company in this Agreement. Notwithstanding the foregoing, the Company shall not be required to file such amendment or supplement if there is no pending Issuance Notice and the Company believes that it is in its best interest not to file such amendment or supplement.</w:t>
      </w:r>
    </w:p>
    <w:p>
      <w:pPr>
        <w:spacing w:after="0" w:line="149" w:lineRule="exact"/>
        <w:rPr>
          <w:rFonts w:ascii="Times New Roman" w:cs="Times New Roman" w:eastAsia="Times New Roman" w:hAnsi="Times New Roman"/>
          <w:sz w:val="14"/>
          <w:szCs w:val="14"/>
          <w:color w:val="auto"/>
        </w:rPr>
      </w:pPr>
    </w:p>
    <w:p>
      <w:pPr>
        <w:ind w:left="240" w:right="339" w:firstLine="340"/>
        <w:spacing w:after="0" w:line="254" w:lineRule="auto"/>
        <w:tabs>
          <w:tab w:leader="none" w:pos="778"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Agent’s Review of Proposed Amendments and Supplements</w:t>
      </w:r>
      <w:r>
        <w:rPr>
          <w:rFonts w:ascii="Times New Roman" w:cs="Times New Roman" w:eastAsia="Times New Roman" w:hAnsi="Times New Roman"/>
          <w:sz w:val="14"/>
          <w:szCs w:val="14"/>
          <w:color w:val="auto"/>
        </w:rPr>
        <w:t>. Prior to filing any amendment or supplement to the Registration Statement (including any registration statement filed under Rule 462(b) under the Securities Act (a “</w:t>
      </w:r>
      <w:r>
        <w:rPr>
          <w:rFonts w:ascii="Times New Roman" w:cs="Times New Roman" w:eastAsia="Times New Roman" w:hAnsi="Times New Roman"/>
          <w:sz w:val="14"/>
          <w:szCs w:val="14"/>
          <w:b w:val="1"/>
          <w:bCs w:val="1"/>
          <w:color w:val="auto"/>
        </w:rPr>
        <w:t>Rule 462(b) Registration Statement</w:t>
      </w:r>
      <w:r>
        <w:rPr>
          <w:rFonts w:ascii="Times New Roman" w:cs="Times New Roman" w:eastAsia="Times New Roman" w:hAnsi="Times New Roman"/>
          <w:sz w:val="14"/>
          <w:szCs w:val="14"/>
          <w:color w:val="auto"/>
        </w:rPr>
        <w:t>”) or the Prospectus (excluding any amendment or supplement through incorporation of any report filed under the Exchange Act), insofar as such proposed amendment or supplement relates to the Shares, the Company shall furnish to the Agent for review, a reasonable amount of time prior to the proposed time of filing or use thereof, a copy of each such proposed amendment or supplement, and the Company shall not file or use any such proposed amendment or supplement without the Agent’s prior consent, and the Company shall file with the Commission within the applicable period specified in Rule 424(b) under the Securities Act any prospectus required to be filed pursuant to such Rule.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0" w:right="1440" w:bottom="1440" w:gutter="0" w:footer="0" w:header="0"/>
        </w:sectPr>
      </w:pPr>
    </w:p>
    <w:bookmarkStart w:id="77" w:name="page78"/>
    <w:bookmarkEnd w:id="77"/>
    <w:p>
      <w:pPr>
        <w:jc w:val="both"/>
        <w:ind w:left="240" w:right="299" w:firstLine="340"/>
        <w:spacing w:after="0" w:line="259" w:lineRule="auto"/>
        <w:tabs>
          <w:tab w:leader="none" w:pos="77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Use of Free Writing Prospectus</w:t>
      </w:r>
      <w:r>
        <w:rPr>
          <w:rFonts w:ascii="Times New Roman" w:cs="Times New Roman" w:eastAsia="Times New Roman" w:hAnsi="Times New Roman"/>
          <w:sz w:val="14"/>
          <w:szCs w:val="14"/>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Times New Roman" w:cs="Times New Roman" w:eastAsia="Times New Roman" w:hAnsi="Times New Roman"/>
          <w:sz w:val="14"/>
          <w:szCs w:val="14"/>
          <w:b w:val="1"/>
          <w:bCs w:val="1"/>
          <w:color w:val="auto"/>
        </w:rPr>
        <w:t>Free Writing Prospectus</w:t>
      </w:r>
      <w:r>
        <w:rPr>
          <w:rFonts w:ascii="Times New Roman" w:cs="Times New Roman" w:eastAsia="Times New Roman" w:hAnsi="Times New Roman"/>
          <w:sz w:val="14"/>
          <w:szCs w:val="14"/>
          <w:color w:val="auto"/>
        </w:rPr>
        <w:t>”).</w:t>
      </w:r>
    </w:p>
    <w:p>
      <w:pPr>
        <w:spacing w:after="0" w:line="141" w:lineRule="exact"/>
        <w:rPr>
          <w:rFonts w:ascii="Times New Roman" w:cs="Times New Roman" w:eastAsia="Times New Roman" w:hAnsi="Times New Roman"/>
          <w:sz w:val="14"/>
          <w:szCs w:val="14"/>
          <w:color w:val="auto"/>
        </w:rPr>
      </w:pPr>
    </w:p>
    <w:p>
      <w:pPr>
        <w:ind w:left="240" w:right="259" w:firstLine="340"/>
        <w:spacing w:after="0" w:line="251" w:lineRule="auto"/>
        <w:tabs>
          <w:tab w:leader="none" w:pos="755"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Free Writing Prospectuses</w:t>
      </w:r>
      <w:r>
        <w:rPr>
          <w:rFonts w:ascii="Times New Roman" w:cs="Times New Roman" w:eastAsia="Times New Roman" w:hAnsi="Times New Roman"/>
          <w:sz w:val="14"/>
          <w:szCs w:val="14"/>
          <w:color w:val="auto"/>
        </w:rPr>
        <w:t xml:space="preserve">.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insofar as such proposed free writing prospectus or amendment or supplement relates to the Shares, and the Company shall not file, use or refer to any proposed free writing prospectus relating to the Shares or any amendment or supplement thereto without the Agent’s consent. The Company shall furnish to the Agent, without charge, as many copies of any free writing prospectus relating to the Shares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prior to amending or supplementing any such free writing prospectus relating to the Shares,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spacing w:after="0" w:line="148" w:lineRule="exact"/>
        <w:rPr>
          <w:rFonts w:ascii="Times New Roman" w:cs="Times New Roman" w:eastAsia="Times New Roman" w:hAnsi="Times New Roman"/>
          <w:sz w:val="14"/>
          <w:szCs w:val="14"/>
          <w:color w:val="auto"/>
        </w:rPr>
      </w:pPr>
    </w:p>
    <w:p>
      <w:pPr>
        <w:ind w:left="240" w:right="439" w:firstLine="340"/>
        <w:spacing w:after="0" w:line="265" w:lineRule="auto"/>
        <w:tabs>
          <w:tab w:leader="none" w:pos="778"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Filing of Agent Free Writing Prospectuses</w:t>
      </w:r>
      <w:r>
        <w:rPr>
          <w:rFonts w:ascii="Times New Roman" w:cs="Times New Roman" w:eastAsia="Times New Roman" w:hAnsi="Times New Roman"/>
          <w:sz w:val="14"/>
          <w:szCs w:val="14"/>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35" w:lineRule="exact"/>
        <w:rPr>
          <w:rFonts w:ascii="Times New Roman" w:cs="Times New Roman" w:eastAsia="Times New Roman" w:hAnsi="Times New Roman"/>
          <w:sz w:val="14"/>
          <w:szCs w:val="14"/>
          <w:color w:val="auto"/>
        </w:rPr>
      </w:pPr>
    </w:p>
    <w:p>
      <w:pPr>
        <w:jc w:val="both"/>
        <w:ind w:left="240" w:right="479" w:firstLine="340"/>
        <w:spacing w:after="0" w:line="274" w:lineRule="auto"/>
        <w:tabs>
          <w:tab w:leader="none" w:pos="778"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Copies of Registration Statement and Prospectus</w:t>
      </w:r>
      <w:r>
        <w:rPr>
          <w:rFonts w:ascii="Times New Roman" w:cs="Times New Roman" w:eastAsia="Times New Roman" w:hAnsi="Times New Roman"/>
          <w:sz w:val="13"/>
          <w:szCs w:val="13"/>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w:t>
      </w:r>
    </w:p>
    <w:p>
      <w:pPr>
        <w:spacing w:after="0" w:line="1" w:lineRule="exact"/>
        <w:rPr>
          <w:rFonts w:ascii="Times New Roman" w:cs="Times New Roman" w:eastAsia="Times New Roman" w:hAnsi="Times New Roman"/>
          <w:sz w:val="13"/>
          <w:szCs w:val="13"/>
          <w:color w:val="auto"/>
        </w:rPr>
      </w:pPr>
    </w:p>
    <w:p>
      <w:pPr>
        <w:ind w:left="240" w:right="299"/>
        <w:spacing w:after="0" w:line="25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Rule 424(b) under the Securities Act, both in such quantities as the Agent may reasonably request from time to time; and, if the delivery of a prospectus is required under the Securities Act or under the blue sky or securities laws of any jurisdiction at any time on or</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0" w:right="1440" w:bottom="1440" w:gutter="0" w:footer="0" w:header="0"/>
        </w:sectPr>
      </w:pPr>
    </w:p>
    <w:bookmarkStart w:id="78" w:name="page79"/>
    <w:bookmarkEnd w:id="78"/>
    <w:p>
      <w:pPr>
        <w:ind w:left="240" w:right="25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or the Prospectus as then amended or supplemented, to advise the Agent promptly by telephone (with confirmation in writing) and to prepare and cause to be filed promptly with the Commission an amendment or supplement to the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48" w:lineRule="exact"/>
        <w:rPr>
          <w:sz w:val="20"/>
          <w:szCs w:val="20"/>
          <w:color w:val="auto"/>
        </w:rPr>
      </w:pPr>
    </w:p>
    <w:p>
      <w:pPr>
        <w:ind w:left="240" w:right="339" w:firstLine="340"/>
        <w:spacing w:after="0" w:line="253" w:lineRule="auto"/>
        <w:tabs>
          <w:tab w:leader="none" w:pos="747"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Blue Sky Compliance</w:t>
      </w:r>
      <w:r>
        <w:rPr>
          <w:rFonts w:ascii="Times New Roman" w:cs="Times New Roman" w:eastAsia="Times New Roman" w:hAnsi="Times New Roman"/>
          <w:sz w:val="14"/>
          <w:szCs w:val="14"/>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commercially reasonable efforts to obtain the withdrawal thereof as soon as practicable.</w:t>
      </w:r>
    </w:p>
    <w:p>
      <w:pPr>
        <w:spacing w:after="0" w:line="145" w:lineRule="exact"/>
        <w:rPr>
          <w:rFonts w:ascii="Times New Roman" w:cs="Times New Roman" w:eastAsia="Times New Roman" w:hAnsi="Times New Roman"/>
          <w:sz w:val="14"/>
          <w:szCs w:val="14"/>
          <w:color w:val="auto"/>
        </w:rPr>
      </w:pPr>
    </w:p>
    <w:p>
      <w:pPr>
        <w:ind w:left="240" w:right="259" w:firstLine="340"/>
        <w:spacing w:after="0" w:line="255" w:lineRule="auto"/>
        <w:tabs>
          <w:tab w:leader="none" w:pos="747"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Earnings Statement</w:t>
      </w:r>
      <w:r>
        <w:rPr>
          <w:rFonts w:ascii="Times New Roman" w:cs="Times New Roman" w:eastAsia="Times New Roman" w:hAnsi="Times New Roman"/>
          <w:sz w:val="14"/>
          <w:szCs w:val="14"/>
          <w:color w:val="auto"/>
        </w:rPr>
        <w:t>. As soon as practicable, but in any event not later than 15 months after the end of the Company’s current fiscal quarter as of the date of this Agreement,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 provided that the Company will be deemed to have furnished such statement to its security holders and the Agent to the extent such statement is filed with Commission on EDGAR or any successor system.</w:t>
      </w:r>
    </w:p>
    <w:p>
      <w:pPr>
        <w:spacing w:after="0" w:line="144" w:lineRule="exact"/>
        <w:rPr>
          <w:rFonts w:ascii="Times New Roman" w:cs="Times New Roman" w:eastAsia="Times New Roman" w:hAnsi="Times New Roman"/>
          <w:sz w:val="14"/>
          <w:szCs w:val="14"/>
          <w:color w:val="auto"/>
        </w:rPr>
      </w:pPr>
    </w:p>
    <w:p>
      <w:pPr>
        <w:jc w:val="both"/>
        <w:ind w:left="240" w:right="499" w:firstLine="340"/>
        <w:spacing w:after="0" w:line="265" w:lineRule="auto"/>
        <w:tabs>
          <w:tab w:leader="none" w:pos="778"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Listing; Reservation of Shares</w:t>
      </w:r>
      <w:r>
        <w:rPr>
          <w:rFonts w:ascii="Times New Roman" w:cs="Times New Roman" w:eastAsia="Times New Roman" w:hAnsi="Times New Roman"/>
          <w:sz w:val="14"/>
          <w:szCs w:val="14"/>
          <w:color w:val="auto"/>
        </w:rPr>
        <w:t>. (a) The Company will maintain the listing of the Shares on the Principal Market; and (b) the Company will reserve and keep available at all times, free of preemptive rights, Shares for the purpose of enabling the Company to satisfy its obligations under this Agreement.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40" w:right="1440" w:bottom="1440" w:gutter="0" w:footer="0" w:header="0"/>
        </w:sectPr>
      </w:pPr>
    </w:p>
    <w:bookmarkStart w:id="79" w:name="page80"/>
    <w:bookmarkEnd w:id="79"/>
    <w:p>
      <w:pPr>
        <w:ind w:left="740" w:hanging="160"/>
        <w:spacing w:after="0"/>
        <w:tabs>
          <w:tab w:leader="none" w:pos="7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Transfer Agent</w:t>
      </w:r>
      <w:r>
        <w:rPr>
          <w:rFonts w:ascii="Times New Roman" w:cs="Times New Roman" w:eastAsia="Times New Roman" w:hAnsi="Times New Roman"/>
          <w:sz w:val="14"/>
          <w:szCs w:val="14"/>
          <w:color w:val="auto"/>
        </w:rPr>
        <w:t>. The Company shall engage and maintain, at its expense, a registrar and transfer agent for the Shares.</w:t>
      </w:r>
    </w:p>
    <w:p>
      <w:pPr>
        <w:spacing w:after="0" w:line="173" w:lineRule="exact"/>
        <w:rPr>
          <w:rFonts w:ascii="Times New Roman" w:cs="Times New Roman" w:eastAsia="Times New Roman" w:hAnsi="Times New Roman"/>
          <w:sz w:val="14"/>
          <w:szCs w:val="14"/>
          <w:color w:val="auto"/>
        </w:rPr>
      </w:pPr>
    </w:p>
    <w:p>
      <w:pPr>
        <w:ind w:left="240" w:right="419" w:firstLine="340"/>
        <w:spacing w:after="0" w:line="259" w:lineRule="auto"/>
        <w:tabs>
          <w:tab w:leader="none" w:pos="817"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Due Diligence</w:t>
      </w:r>
      <w:r>
        <w:rPr>
          <w:rFonts w:ascii="Times New Roman" w:cs="Times New Roman" w:eastAsia="Times New Roman" w:hAnsi="Times New Roman"/>
          <w:sz w:val="14"/>
          <w:szCs w:val="14"/>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41" w:lineRule="exact"/>
        <w:rPr>
          <w:rFonts w:ascii="Times New Roman" w:cs="Times New Roman" w:eastAsia="Times New Roman" w:hAnsi="Times New Roman"/>
          <w:sz w:val="14"/>
          <w:szCs w:val="14"/>
          <w:color w:val="auto"/>
        </w:rPr>
      </w:pPr>
    </w:p>
    <w:p>
      <w:pPr>
        <w:ind w:left="240" w:right="299" w:firstLine="340"/>
        <w:spacing w:after="0" w:line="277" w:lineRule="auto"/>
        <w:tabs>
          <w:tab w:leader="none" w:pos="778"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and Warranties</w:t>
      </w:r>
      <w:r>
        <w:rPr>
          <w:rFonts w:ascii="Times New Roman" w:cs="Times New Roman" w:eastAsia="Times New Roman" w:hAnsi="Times New Roman"/>
          <w:sz w:val="13"/>
          <w:szCs w:val="13"/>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 (ii) 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30" w:lineRule="exact"/>
        <w:rPr>
          <w:rFonts w:ascii="Times New Roman" w:cs="Times New Roman" w:eastAsia="Times New Roman" w:hAnsi="Times New Roman"/>
          <w:sz w:val="13"/>
          <w:szCs w:val="13"/>
          <w:color w:val="auto"/>
        </w:rPr>
      </w:pPr>
    </w:p>
    <w:p>
      <w:pPr>
        <w:ind w:left="240" w:right="399" w:firstLine="340"/>
        <w:spacing w:after="0" w:line="280" w:lineRule="auto"/>
        <w:tabs>
          <w:tab w:leader="none" w:pos="778"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Deliverables at Triggering Event Dates; Certificates.</w:t>
      </w:r>
      <w:r>
        <w:rPr>
          <w:rFonts w:ascii="Times New Roman" w:cs="Times New Roman" w:eastAsia="Times New Roman" w:hAnsi="Times New Roman"/>
          <w:sz w:val="14"/>
          <w:szCs w:val="14"/>
          <w:color w:val="auto"/>
        </w:rPr>
        <w:t xml:space="preserve"> The Company agrees that on or prior to the date of the first Issuance Notice and, during the term of this Agreement after the date of the first Issuance Notice, upon:</w:t>
      </w:r>
    </w:p>
    <w:p>
      <w:pPr>
        <w:spacing w:after="0" w:line="42" w:lineRule="exact"/>
        <w:rPr>
          <w:rFonts w:ascii="Times New Roman" w:cs="Times New Roman" w:eastAsia="Times New Roman" w:hAnsi="Times New Roman"/>
          <w:sz w:val="14"/>
          <w:szCs w:val="14"/>
          <w:color w:val="auto"/>
        </w:rPr>
      </w:pPr>
    </w:p>
    <w:p>
      <w:pPr>
        <w:ind w:left="240" w:right="279" w:firstLine="766"/>
        <w:spacing w:after="0" w:line="294" w:lineRule="auto"/>
        <w:tabs>
          <w:tab w:leader="none" w:pos="1236" w:val="left"/>
        </w:tabs>
        <w:numPr>
          <w:ilvl w:val="1"/>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filing of the Prospectus or the amendment or supplement of any Registration Statement or Prospectus (other than a prospectus supplement relating solely to an offering of securities other than the Shares or a prospectus filed pursuant to Section 4(a)(ii)(B)), by means of a post-effective amendment, sticker or supplement, but not by means of incorporation of documents by reference into the Registration Statement or Prospectus;</w:t>
      </w:r>
    </w:p>
    <w:p>
      <w:pPr>
        <w:spacing w:after="0" w:line="119" w:lineRule="exact"/>
        <w:rPr>
          <w:rFonts w:ascii="Times New Roman" w:cs="Times New Roman" w:eastAsia="Times New Roman" w:hAnsi="Times New Roman"/>
          <w:sz w:val="13"/>
          <w:szCs w:val="13"/>
          <w:color w:val="auto"/>
        </w:rPr>
      </w:pPr>
    </w:p>
    <w:p>
      <w:pPr>
        <w:ind w:left="240" w:right="299" w:firstLine="766"/>
        <w:spacing w:after="0" w:line="265" w:lineRule="auto"/>
        <w:tabs>
          <w:tab w:leader="none" w:pos="1228"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35" w:lineRule="exact"/>
        <w:rPr>
          <w:rFonts w:ascii="Times New Roman" w:cs="Times New Roman" w:eastAsia="Times New Roman" w:hAnsi="Times New Roman"/>
          <w:sz w:val="14"/>
          <w:szCs w:val="14"/>
          <w:color w:val="auto"/>
        </w:rPr>
      </w:pPr>
    </w:p>
    <w:p>
      <w:pPr>
        <w:ind w:left="240" w:right="299" w:firstLine="766"/>
        <w:spacing w:after="0" w:line="259" w:lineRule="auto"/>
        <w:tabs>
          <w:tab w:leader="none" w:pos="1228"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3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(any such event described in clauses (A) through (C) above, a “</w:t>
      </w:r>
      <w:r>
        <w:rPr>
          <w:rFonts w:ascii="Times New Roman" w:cs="Times New Roman" w:eastAsia="Times New Roman" w:hAnsi="Times New Roman"/>
          <w:sz w:val="13"/>
          <w:szCs w:val="13"/>
          <w:b w:val="1"/>
          <w:bCs w:val="1"/>
          <w:color w:val="auto"/>
        </w:rPr>
        <w:t>Triggering Event Date</w:t>
      </w:r>
      <w:r>
        <w:rPr>
          <w:rFonts w:ascii="Times New Roman" w:cs="Times New Roman" w:eastAsia="Times New Roman" w:hAnsi="Times New Roman"/>
          <w:sz w:val="13"/>
          <w:szCs w:val="13"/>
          <w:color w:val="auto"/>
        </w:rPr>
        <w:t>”), the Company shall furnish the Agent (but in the case of clause</w:t>
      </w:r>
    </w:p>
    <w:p>
      <w:pPr>
        <w:spacing w:after="0" w:line="35" w:lineRule="exact"/>
        <w:rPr>
          <w:sz w:val="20"/>
          <w:szCs w:val="20"/>
          <w:color w:val="auto"/>
        </w:rPr>
      </w:pPr>
    </w:p>
    <w:p>
      <w:pPr>
        <w:ind w:left="240" w:right="279" w:hanging="2"/>
        <w:spacing w:after="0" w:line="258" w:lineRule="auto"/>
        <w:tabs>
          <w:tab w:leader="none" w:pos="461"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only if the Agent reasonably determines that the information contained in such current report on Form 8-K of the Company is material) with a certificate as of the Triggering Event Date, substantially in the form attached</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0" w:right="1440" w:bottom="1440" w:gutter="0" w:footer="0" w:header="0"/>
        </w:sectPr>
      </w:pPr>
    </w:p>
    <w:bookmarkStart w:id="80" w:name="page81"/>
    <w:bookmarkEnd w:id="80"/>
    <w:p>
      <w:pPr>
        <w:ind w:left="240" w:right="259"/>
        <w:spacing w:after="0" w:line="25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hereto as Exhibit B, executed by the Company’s principal executive officer or principal financial officer. The requirement to provide a certificate under this </w:t>
      </w:r>
      <w:r>
        <w:rPr>
          <w:rFonts w:ascii="Times New Roman" w:cs="Times New Roman" w:eastAsia="Times New Roman" w:hAnsi="Times New Roman"/>
          <w:sz w:val="14"/>
          <w:szCs w:val="14"/>
          <w:u w:val="single" w:color="auto"/>
          <w:color w:val="auto"/>
        </w:rPr>
        <w:t>Section 4(o)</w:t>
      </w:r>
      <w:r>
        <w:rPr>
          <w:rFonts w:ascii="Times New Roman" w:cs="Times New Roman" w:eastAsia="Times New Roman" w:hAnsi="Times New Roman"/>
          <w:sz w:val="14"/>
          <w:szCs w:val="14"/>
          <w:color w:val="auto"/>
        </w:rPr>
        <w:t xml:space="preserve"> shall be automatically waived for any Triggering Event Date occurring at a time when no Issuance Notice is pending or a suspension is in effect, which waiver shall continue until the earlier to occur of the date the Company delivers instructions for the sale of Shares hereunder (which for such calendar quarter shall be considered a Triggering Event Date) and the next occurring Triggering Event Date. Notwithstanding the foregoing, if the Company subsequently decides to sell Shares following a Triggering Event Date when a suspension was in effect and did not provide the Agent with a certificate under this Section 4(o), then before the Company delivers the instructions for the sale of Shares or the Agent sells any Shares pursuant to such instructions, the Company shall provide the Agent with a certificate in conformity with this Section 4(o) dated as of the date that the instructions for the sale of Shares are issued.</w:t>
      </w:r>
    </w:p>
    <w:p>
      <w:pPr>
        <w:spacing w:after="0" w:line="148" w:lineRule="exact"/>
        <w:rPr>
          <w:sz w:val="20"/>
          <w:szCs w:val="20"/>
          <w:color w:val="auto"/>
        </w:rPr>
      </w:pPr>
    </w:p>
    <w:p>
      <w:pPr>
        <w:ind w:left="240" w:right="259" w:firstLine="340"/>
        <w:spacing w:after="0" w:line="272" w:lineRule="auto"/>
        <w:tabs>
          <w:tab w:leader="none" w:pos="778"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Legal Opinions.</w:t>
      </w:r>
      <w:r>
        <w:rPr>
          <w:rFonts w:ascii="Times New Roman" w:cs="Times New Roman" w:eastAsia="Times New Roman" w:hAnsi="Times New Roman"/>
          <w:sz w:val="13"/>
          <w:szCs w:val="13"/>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to be furnished to the Agent (1) a negative assurances letter and the written legal opinion of Latham &amp; Watkins, LLP, counsel to the Company (“</w:t>
      </w:r>
      <w:r>
        <w:rPr>
          <w:rFonts w:ascii="Times New Roman" w:cs="Times New Roman" w:eastAsia="Times New Roman" w:hAnsi="Times New Roman"/>
          <w:sz w:val="13"/>
          <w:szCs w:val="13"/>
          <w:b w:val="1"/>
          <w:bCs w:val="1"/>
          <w:color w:val="auto"/>
        </w:rPr>
        <w:t>Company Counsel</w:t>
      </w:r>
      <w:r>
        <w:rPr>
          <w:rFonts w:ascii="Times New Roman" w:cs="Times New Roman" w:eastAsia="Times New Roman" w:hAnsi="Times New Roman"/>
          <w:sz w:val="13"/>
          <w:szCs w:val="13"/>
          <w:color w:val="auto"/>
        </w:rPr>
        <w:t>”), and (2) the written legal opinion of Viksnins Harris Padys Malen LLP, intellectual property counsel to the Company, or other intellectual property counsel to the Company reasonably satisfactory to the Agent (collectively, “</w:t>
      </w:r>
      <w:r>
        <w:rPr>
          <w:rFonts w:ascii="Times New Roman" w:cs="Times New Roman" w:eastAsia="Times New Roman" w:hAnsi="Times New Roman"/>
          <w:sz w:val="13"/>
          <w:szCs w:val="13"/>
          <w:b w:val="1"/>
          <w:bCs w:val="1"/>
          <w:color w:val="auto"/>
        </w:rPr>
        <w:t>IP Counsel</w:t>
      </w:r>
      <w:r>
        <w:rPr>
          <w:rFonts w:ascii="Times New Roman" w:cs="Times New Roman" w:eastAsia="Times New Roman" w:hAnsi="Times New Roman"/>
          <w:sz w:val="13"/>
          <w:szCs w:val="13"/>
          <w:color w:val="auto"/>
        </w:rPr>
        <w:t>”), each dated the date of delivery, in form and substance reasonably satisfactory to the Agent and its counsel, substantially similar to the form previously provided to the Agent and its counsel, modified, as necessary, to relate to the Registration Statement and the Prospectus as then amended or supplemented; provided, however, that the Company shall be required to furnish no more than one written legal opinion and negative assurance letter of Company Counsel per filing of an annual report on Form 10-K or quarterly report on Form 10-Q; and provided further that the Company shall be required to furnish no more than one written legal opinion of IP Counsel hereunder in any twelve-month period. In lieu of such opinions for subsequent periodic filings, in the discretion of the Agent, the Company may furnish a reliance letter from such counsel to the Agent, permitting the Agent to rely on a previously delivered opinion letter and negative assurances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39" w:lineRule="exact"/>
        <w:rPr>
          <w:rFonts w:ascii="Times New Roman" w:cs="Times New Roman" w:eastAsia="Times New Roman" w:hAnsi="Times New Roman"/>
          <w:sz w:val="13"/>
          <w:szCs w:val="13"/>
          <w:color w:val="auto"/>
        </w:rPr>
      </w:pPr>
    </w:p>
    <w:p>
      <w:pPr>
        <w:ind w:left="240" w:right="299" w:firstLine="340"/>
        <w:spacing w:after="0" w:line="252" w:lineRule="auto"/>
        <w:tabs>
          <w:tab w:leader="none" w:pos="778"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Comfort Letter</w:t>
      </w:r>
      <w:r>
        <w:rPr>
          <w:rFonts w:ascii="Times New Roman" w:cs="Times New Roman" w:eastAsia="Times New Roman" w:hAnsi="Times New Roman"/>
          <w:sz w:val="14"/>
          <w:szCs w:val="14"/>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cause Ernst &amp; Young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calendar quarter.</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0" w:right="1440" w:bottom="1440" w:gutter="0" w:footer="0" w:header="0"/>
        </w:sectPr>
      </w:pPr>
    </w:p>
    <w:bookmarkStart w:id="81" w:name="page82"/>
    <w:bookmarkEnd w:id="81"/>
    <w:p>
      <w:pPr>
        <w:ind w:left="240" w:right="259" w:firstLine="340"/>
        <w:spacing w:after="0" w:line="255" w:lineRule="auto"/>
        <w:tabs>
          <w:tab w:leader="none" w:pos="755"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Secretary’s Certificate</w:t>
      </w:r>
      <w:r>
        <w:rPr>
          <w:rFonts w:ascii="Times New Roman" w:cs="Times New Roman" w:eastAsia="Times New Roman" w:hAnsi="Times New Roman"/>
          <w:sz w:val="14"/>
          <w:szCs w:val="14"/>
          <w:color w:val="auto"/>
        </w:rPr>
        <w:t xml:space="preserve">. On or prior to the date of the first Issuance Notice and on or prior to each Triggering Event Date with respect to which the Company is obligated to deliver a certificate pursuant to Section 4(o) for which no waiver is applicable and excluding the date of this Agreement, the Company shall furnish the Agent a certificate executed by the Secretary or Assistant Secretary of the Company, signing in such capacity, dated the date of delivery substantially in the form attached as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hereto, along with such certificates of good standing or other certificates of public officials as may be reasonably requested by Company Counsel or Agent Counsel (as defined below) in connection with the rendering of their opinions and negative assurance letters as contemplated by Section 4(p) and Section 5(a)(v).</w:t>
      </w:r>
    </w:p>
    <w:p>
      <w:pPr>
        <w:spacing w:after="0" w:line="144" w:lineRule="exact"/>
        <w:rPr>
          <w:rFonts w:ascii="Times New Roman" w:cs="Times New Roman" w:eastAsia="Times New Roman" w:hAnsi="Times New Roman"/>
          <w:sz w:val="14"/>
          <w:szCs w:val="14"/>
          <w:color w:val="auto"/>
        </w:rPr>
      </w:pPr>
    </w:p>
    <w:p>
      <w:pPr>
        <w:ind w:left="240" w:right="559" w:firstLine="340"/>
        <w:spacing w:after="0" w:line="321" w:lineRule="auto"/>
        <w:tabs>
          <w:tab w:leader="none" w:pos="763"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Agent’s Own Account; Clients’ Account</w:t>
      </w:r>
      <w:r>
        <w:rPr>
          <w:rFonts w:ascii="Times New Roman" w:cs="Times New Roman" w:eastAsia="Times New Roman" w:hAnsi="Times New Roman"/>
          <w:sz w:val="13"/>
          <w:szCs w:val="13"/>
          <w:color w:val="auto"/>
        </w:rPr>
        <w:t>. The Company consents to the Agent trading, in compliance with applicable law, in the Common Shares for the Agent’s own account and for the account of its clients at the same time as sales of the Shares occur pursuant to this Agreement.</w:t>
      </w:r>
    </w:p>
    <w:p>
      <w:pPr>
        <w:spacing w:after="0" w:line="101" w:lineRule="exact"/>
        <w:rPr>
          <w:rFonts w:ascii="Times New Roman" w:cs="Times New Roman" w:eastAsia="Times New Roman" w:hAnsi="Times New Roman"/>
          <w:sz w:val="13"/>
          <w:szCs w:val="13"/>
          <w:color w:val="auto"/>
        </w:rPr>
      </w:pPr>
    </w:p>
    <w:p>
      <w:pPr>
        <w:ind w:left="240" w:right="479" w:firstLine="340"/>
        <w:spacing w:after="0" w:line="280" w:lineRule="auto"/>
        <w:tabs>
          <w:tab w:leader="none" w:pos="747"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Investment Limitation</w:t>
      </w:r>
      <w:r>
        <w:rPr>
          <w:rFonts w:ascii="Times New Roman" w:cs="Times New Roman" w:eastAsia="Times New Roman" w:hAnsi="Times New Roman"/>
          <w:sz w:val="14"/>
          <w:szCs w:val="14"/>
          <w:color w:val="auto"/>
        </w:rPr>
        <w:t>. The Company shall not invest, or otherwise use the proceeds received by the Company from its sale of the Shares in such a manner as would require the Company to register as an investment company under the Investment Company Act.</w:t>
      </w:r>
    </w:p>
    <w:p>
      <w:pPr>
        <w:spacing w:after="0" w:line="126" w:lineRule="exact"/>
        <w:rPr>
          <w:rFonts w:ascii="Times New Roman" w:cs="Times New Roman" w:eastAsia="Times New Roman" w:hAnsi="Times New Roman"/>
          <w:sz w:val="14"/>
          <w:szCs w:val="14"/>
          <w:color w:val="auto"/>
        </w:rPr>
      </w:pPr>
    </w:p>
    <w:p>
      <w:pPr>
        <w:ind w:left="240" w:right="359" w:firstLine="340"/>
        <w:spacing w:after="0" w:line="254" w:lineRule="auto"/>
        <w:tabs>
          <w:tab w:leader="none" w:pos="778"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Market Activities</w:t>
      </w:r>
      <w:r>
        <w:rPr>
          <w:rFonts w:ascii="Times New Roman" w:cs="Times New Roman" w:eastAsia="Times New Roman" w:hAnsi="Times New Roman"/>
          <w:sz w:val="14"/>
          <w:szCs w:val="14"/>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cause each of its affiliates to, comply with all applicable provisions of Regulation M. If the limitations of Rule 102 of Regulation M (“</w:t>
      </w:r>
      <w:r>
        <w:rPr>
          <w:rFonts w:ascii="Times New Roman" w:cs="Times New Roman" w:eastAsia="Times New Roman" w:hAnsi="Times New Roman"/>
          <w:sz w:val="14"/>
          <w:szCs w:val="14"/>
          <w:b w:val="1"/>
          <w:bCs w:val="1"/>
          <w:color w:val="auto"/>
        </w:rPr>
        <w:t>Rule 102</w:t>
      </w:r>
      <w:r>
        <w:rPr>
          <w:rFonts w:ascii="Times New Roman" w:cs="Times New Roman" w:eastAsia="Times New Roman" w:hAnsi="Times New Roman"/>
          <w:sz w:val="14"/>
          <w:szCs w:val="14"/>
          <w:color w:val="auto"/>
        </w:rPr>
        <w:t>”) do not apply with respect to the Shares or any other reference security pursuant to any exception set forth in Section (d) of Rule 102, then promptly upon notice from the Agent (or, if later, at the time stated in the notice), the Company will, and shall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45" w:lineRule="exact"/>
        <w:rPr>
          <w:rFonts w:ascii="Times New Roman" w:cs="Times New Roman" w:eastAsia="Times New Roman" w:hAnsi="Times New Roman"/>
          <w:sz w:val="14"/>
          <w:szCs w:val="14"/>
          <w:color w:val="auto"/>
        </w:rPr>
      </w:pPr>
    </w:p>
    <w:p>
      <w:pPr>
        <w:ind w:left="240" w:right="299" w:firstLine="340"/>
        <w:spacing w:after="0" w:line="277" w:lineRule="auto"/>
        <w:tabs>
          <w:tab w:leader="none" w:pos="778"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Notice of Other Sale</w:t>
      </w:r>
      <w:r>
        <w:rPr>
          <w:rFonts w:ascii="Times New Roman" w:cs="Times New Roman" w:eastAsia="Times New Roman" w:hAnsi="Times New Roman"/>
          <w:sz w:val="13"/>
          <w:szCs w:val="13"/>
          <w:color w:val="auto"/>
        </w:rPr>
        <w:t>. Without the written consent of the Agent, the Company will not, directly or indirectly, offer to sell, sell, contract to sell, grant any option to sell or otherwise dispose of any Common Shares or securities convertible into or exchangeable for Common Shares (other than Shares hereunder), warrants or any rights to purchase or acquire Common Shares, during the period beginning on the third Trading Day immediately prior to the date on which any Issuance Notice is delivered to the Agent hereunder and ending on the earlier of (x) the third Trading Day immediately following the Settlement Date with respect to Shares sold pursuant to such Issuance Notice and (y) the date the Company notifies the Agent of the withdrawal of such Issuance Notice; and will not directly or indirectly enter into any other “at the market” or continuous equity transaction offer pursuant to which the Company (including through another person as agent or principal) offers to sell, sells, contracts to sell, grants any option to sell or</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40" w:right="1440" w:bottom="1440" w:gutter="0" w:footer="0" w:header="0"/>
        </w:sectPr>
      </w:pPr>
    </w:p>
    <w:bookmarkStart w:id="82" w:name="page83"/>
    <w:bookmarkEnd w:id="82"/>
    <w:p>
      <w:pPr>
        <w:ind w:left="240" w:right="259"/>
        <w:spacing w:after="0" w:line="25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otherwise disposes of any Common Shares (other than the Shares offered pursuant to this Agreement) or securities convertible into or exchangeable for Common Shares, warrants or any rights to purchase or acquire, Common Shares prior to the termination of this Agreement; provided, however, that such restrictions will not be required in connection with the Company’s (i) issuance or sale of Common Shares, options to purchase Common Shares or Common Shares issuable upon the exercise of options or other equity awards pursuant to any employee, consultant or director share option, incentive or benefit plan, share purchase or ownership plan, long-term incentive plan, dividend reinvestment plan, inducement award under Nasdaq rules or other compensation plan of the Company or its subsidiaries, whether now in effect on the date of this Agreement or hereafter implemented, (ii) issuance or sale of Common Shares issuable upon exchange, conversion or redemption of securities or the exercise or vesting of warrants, options or other equity awards disclosed in filings by the Company available on EDGAR or otherwise in writing to the Agent, (iii) modification of any outstanding options, warrants or any rights to purchase or acquire Common Shares, and (iv) Common Shares or securities convertible into or exchangeable for Common Shares as consideration for mergers, acquisitions, other business combinations, collaboration agreements or strategic alliances occurring after the date of this Agreement which are not issued primarily for capital raising purposes;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if any Issuance Notice is pending, the Company will not issue Common Shares pursuant to clause (iv) of this Section 4(v) while such Issuance Notice is pending if, following such issuance, the number of Common Shares issued or issuable in connection with all such issuances pursuant to clause (iv) would exceed 5% of the aggregate number of the Common Shares outstanding as of the date of this Agreement.</w:t>
      </w:r>
    </w:p>
    <w:p>
      <w:pPr>
        <w:spacing w:after="0" w:line="2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Section 5. CONDITIONS TO DELIVERY OF ISSUANCE NOTICES AND TO SETTLEMENT</w:t>
      </w:r>
    </w:p>
    <w:p>
      <w:pPr>
        <w:spacing w:after="0" w:line="92" w:lineRule="exact"/>
        <w:rPr>
          <w:sz w:val="20"/>
          <w:szCs w:val="20"/>
          <w:color w:val="auto"/>
        </w:rPr>
      </w:pPr>
    </w:p>
    <w:p>
      <w:pPr>
        <w:ind w:left="240" w:right="299" w:firstLine="340"/>
        <w:spacing w:after="0" w:line="259" w:lineRule="auto"/>
        <w:tabs>
          <w:tab w:leader="none" w:pos="770"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Conditions Precedent to the Right of the Company to Deliver an Issuance Notice and the Obligation of the Agent to Sell Shares</w:t>
      </w:r>
      <w:r>
        <w:rPr>
          <w:rFonts w:ascii="Times New Roman" w:cs="Times New Roman" w:eastAsia="Times New Roman" w:hAnsi="Times New Roman"/>
          <w:sz w:val="14"/>
          <w:szCs w:val="14"/>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68" w:lineRule="exact"/>
        <w:rPr>
          <w:rFonts w:ascii="Times New Roman" w:cs="Times New Roman" w:eastAsia="Times New Roman" w:hAnsi="Times New Roman"/>
          <w:sz w:val="14"/>
          <w:szCs w:val="14"/>
          <w:color w:val="auto"/>
        </w:rPr>
      </w:pPr>
    </w:p>
    <w:p>
      <w:pPr>
        <w:ind w:left="1000" w:right="259" w:hanging="427"/>
        <w:spacing w:after="0" w:line="257" w:lineRule="auto"/>
        <w:tabs>
          <w:tab w:leader="none" w:pos="100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Accuracy of the Company’s Representations and Warranties; Performance by the Company</w:t>
      </w:r>
      <w:r>
        <w:rPr>
          <w:rFonts w:ascii="Times New Roman" w:cs="Times New Roman" w:eastAsia="Times New Roman" w:hAnsi="Times New Roman"/>
          <w:sz w:val="14"/>
          <w:szCs w:val="14"/>
          <w:color w:val="auto"/>
        </w:rPr>
        <w:t xml:space="preserve">. The Company shall have delivered the certificate required to be delivered pursuant to </w:t>
      </w:r>
      <w:r>
        <w:rPr>
          <w:rFonts w:ascii="Times New Roman" w:cs="Times New Roman" w:eastAsia="Times New Roman" w:hAnsi="Times New Roman"/>
          <w:sz w:val="14"/>
          <w:szCs w:val="14"/>
          <w:u w:val="single" w:color="auto"/>
          <w:color w:val="auto"/>
        </w:rPr>
        <w:t>Section 4(o)</w:t>
      </w:r>
      <w:r>
        <w:rPr>
          <w:rFonts w:ascii="Times New Roman" w:cs="Times New Roman" w:eastAsia="Times New Roman" w:hAnsi="Times New Roman"/>
          <w:sz w:val="14"/>
          <w:szCs w:val="14"/>
          <w:color w:val="auto"/>
        </w:rPr>
        <w:t xml:space="preserve"> on or before the date on which delivery of such certificate is required pursuant to </w:t>
      </w:r>
      <w:r>
        <w:rPr>
          <w:rFonts w:ascii="Times New Roman" w:cs="Times New Roman" w:eastAsia="Times New Roman" w:hAnsi="Times New Roman"/>
          <w:sz w:val="14"/>
          <w:szCs w:val="14"/>
          <w:u w:val="single" w:color="auto"/>
          <w:color w:val="auto"/>
        </w:rPr>
        <w:t>Section 4(o)</w:t>
      </w:r>
      <w:r>
        <w:rPr>
          <w:rFonts w:ascii="Times New Roman" w:cs="Times New Roman" w:eastAsia="Times New Roman" w:hAnsi="Times New Roman"/>
          <w:sz w:val="14"/>
          <w:szCs w:val="14"/>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Times New Roman" w:cs="Times New Roman" w:eastAsia="Times New Roman" w:hAnsi="Times New Roman"/>
          <w:sz w:val="14"/>
          <w:szCs w:val="14"/>
          <w:u w:val="single" w:color="auto"/>
          <w:color w:val="auto"/>
        </w:rPr>
        <w:t>Section 4(m)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4(q)</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4(r)</w:t>
      </w:r>
      <w:r>
        <w:rPr>
          <w:rFonts w:ascii="Times New Roman" w:cs="Times New Roman" w:eastAsia="Times New Roman" w:hAnsi="Times New Roman"/>
          <w:sz w:val="14"/>
          <w:szCs w:val="14"/>
          <w:color w:val="auto"/>
        </w:rPr>
        <w:t>.</w:t>
      </w:r>
    </w:p>
    <w:p>
      <w:pPr>
        <w:spacing w:after="0" w:line="68" w:lineRule="exact"/>
        <w:rPr>
          <w:rFonts w:ascii="Times New Roman" w:cs="Times New Roman" w:eastAsia="Times New Roman" w:hAnsi="Times New Roman"/>
          <w:sz w:val="14"/>
          <w:szCs w:val="14"/>
          <w:color w:val="auto"/>
        </w:rPr>
      </w:pPr>
    </w:p>
    <w:p>
      <w:pPr>
        <w:ind w:left="1000" w:right="299" w:hanging="427"/>
        <w:spacing w:after="0" w:line="257" w:lineRule="auto"/>
        <w:tabs>
          <w:tab w:leader="none" w:pos="1000"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Injunction</w:t>
      </w:r>
      <w:r>
        <w:rPr>
          <w:rFonts w:ascii="Times New Roman" w:cs="Times New Roman" w:eastAsia="Times New Roman" w:hAnsi="Times New Roman"/>
          <w:sz w:val="14"/>
          <w:szCs w:val="14"/>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0" w:right="1440" w:bottom="1440" w:gutter="0" w:footer="0" w:header="0"/>
        </w:sectPr>
      </w:pPr>
    </w:p>
    <w:bookmarkStart w:id="83" w:name="page84"/>
    <w:bookmarkEnd w:id="83"/>
    <w:p>
      <w:pPr>
        <w:ind w:left="1000" w:right="259" w:hanging="427"/>
        <w:spacing w:after="0" w:line="257" w:lineRule="auto"/>
        <w:tabs>
          <w:tab w:leader="none" w:pos="10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Material Adverse Effects</w:t>
      </w:r>
      <w:r>
        <w:rPr>
          <w:rFonts w:ascii="Times New Roman" w:cs="Times New Roman" w:eastAsia="Times New Roman" w:hAnsi="Times New Roman"/>
          <w:sz w:val="14"/>
          <w:szCs w:val="14"/>
          <w:color w:val="auto"/>
        </w:rPr>
        <w:t>. Except as disclosed in the Prospectus and the Time of Sale Information, (a) in the judgment of the Agent there shall not have occurred any Material Adverse Effect;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by any “nationally recognized statistical rating organization” as such term is defined for purposes of Section 3(a)(62) of the Exchange Act.</w:t>
      </w:r>
    </w:p>
    <w:p>
      <w:pPr>
        <w:spacing w:after="0" w:line="68" w:lineRule="exact"/>
        <w:rPr>
          <w:rFonts w:ascii="Times New Roman" w:cs="Times New Roman" w:eastAsia="Times New Roman" w:hAnsi="Times New Roman"/>
          <w:sz w:val="14"/>
          <w:szCs w:val="14"/>
          <w:color w:val="auto"/>
        </w:rPr>
      </w:pPr>
    </w:p>
    <w:p>
      <w:pPr>
        <w:ind w:left="1000" w:right="279" w:hanging="427"/>
        <w:spacing w:after="0" w:line="252" w:lineRule="auto"/>
        <w:tabs>
          <w:tab w:leader="none" w:pos="10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Suspension of Trading in or Delisting of Common Shares; Other Events</w:t>
      </w:r>
      <w:r>
        <w:rPr>
          <w:rFonts w:ascii="Times New Roman" w:cs="Times New Roman" w:eastAsia="Times New Roman" w:hAnsi="Times New Roman"/>
          <w:sz w:val="14"/>
          <w:szCs w:val="14"/>
          <w:color w:val="auto"/>
        </w:rPr>
        <w:t>. The trading of the Common Shares (including without limitation the Shares) shall not have been suspended by the Commission, the Principal Market or FINRA and the Common Shares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to market the Shares in the manner and on the terms described in the Prospectus or to enforce contracts for the sale of securities.</w:t>
      </w:r>
    </w:p>
    <w:p>
      <w:pPr>
        <w:spacing w:after="0" w:line="71" w:lineRule="exact"/>
        <w:rPr>
          <w:rFonts w:ascii="Times New Roman" w:cs="Times New Roman" w:eastAsia="Times New Roman" w:hAnsi="Times New Roman"/>
          <w:sz w:val="14"/>
          <w:szCs w:val="14"/>
          <w:color w:val="auto"/>
        </w:rPr>
      </w:pPr>
    </w:p>
    <w:p>
      <w:pPr>
        <w:ind w:left="1000" w:right="279" w:hanging="427"/>
        <w:spacing w:after="0" w:line="253" w:lineRule="auto"/>
        <w:tabs>
          <w:tab w:leader="none" w:pos="10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Agent Counsel Opinion and Negative Assurances Letter</w:t>
      </w:r>
      <w:r>
        <w:rPr>
          <w:rFonts w:ascii="Times New Roman" w:cs="Times New Roman" w:eastAsia="Times New Roman" w:hAnsi="Times New Roman"/>
          <w:sz w:val="14"/>
          <w:szCs w:val="14"/>
          <w:color w:val="auto"/>
        </w:rPr>
        <w:t>. On or prior to the date of the first Issuance Notice and on or prior to each Triggering Event Date with respect to which the Company is obligated to deliver a certificate pursuant to Section 4(o) for which no waiver is applicable and excluding the date of this Agreement, Davis Polk &amp; Wardwell LLP, counsel to the Agent (“</w:t>
      </w:r>
      <w:r>
        <w:rPr>
          <w:rFonts w:ascii="Times New Roman" w:cs="Times New Roman" w:eastAsia="Times New Roman" w:hAnsi="Times New Roman"/>
          <w:sz w:val="14"/>
          <w:szCs w:val="14"/>
          <w:b w:val="1"/>
          <w:bCs w:val="1"/>
          <w:color w:val="auto"/>
        </w:rPr>
        <w:t>Agent Counsel</w:t>
      </w:r>
      <w:r>
        <w:rPr>
          <w:rFonts w:ascii="Times New Roman" w:cs="Times New Roman" w:eastAsia="Times New Roman" w:hAnsi="Times New Roman"/>
          <w:sz w:val="14"/>
          <w:szCs w:val="14"/>
          <w:color w:val="auto"/>
        </w:rPr>
        <w:t>”), shall have furnished to the Agent a negative assurances letter and the written legal opinion, each dated the date of delivery, in form and substance reasonably satisfactory to the Agent, modified, as necessary, to relate to the Registration Statement and the Prospectus as then amended or supplemented. In lieu of such opinion for subsequent periodic filings, Agent Counsel may furnish a reliance letter,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40" w:right="1440" w:bottom="1440" w:gutter="0" w:footer="0" w:header="0"/>
        </w:sectPr>
      </w:pPr>
    </w:p>
    <w:bookmarkStart w:id="84" w:name="page85"/>
    <w:bookmarkEnd w:id="84"/>
    <w:p>
      <w:pPr>
        <w:ind w:left="1000" w:right="279" w:hanging="427"/>
        <w:spacing w:after="0" w:line="259" w:lineRule="auto"/>
        <w:tabs>
          <w:tab w:leader="none" w:pos="100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 Misstatement or Material Omission</w:t>
      </w:r>
      <w:r>
        <w:rPr>
          <w:rFonts w:ascii="Times New Roman" w:cs="Times New Roman" w:eastAsia="Times New Roman" w:hAnsi="Times New Roman"/>
          <w:sz w:val="14"/>
          <w:szCs w:val="14"/>
          <w:color w:val="auto"/>
        </w:rPr>
        <w:t>. Agent shall not have advised the Company that the Registration Statement, the Prospectus or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141" w:lineRule="exact"/>
        <w:rPr>
          <w:sz w:val="20"/>
          <w:szCs w:val="20"/>
          <w:color w:val="auto"/>
        </w:rPr>
      </w:pPr>
    </w:p>
    <w:p>
      <w:pPr>
        <w:ind w:left="240" w:right="299" w:firstLine="340"/>
        <w:spacing w:after="0" w:line="257" w:lineRule="auto"/>
        <w:tabs>
          <w:tab w:leader="none" w:pos="778"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Documents Required to be Delivered on each Issuance Notice Date</w:t>
      </w:r>
      <w:r>
        <w:rPr>
          <w:rFonts w:ascii="Times New Roman" w:cs="Times New Roman" w:eastAsia="Times New Roman" w:hAnsi="Times New Roman"/>
          <w:sz w:val="14"/>
          <w:szCs w:val="14"/>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as required to be delivered pursuant to Section 4(o) (which certificate shall not be required if the foregoing representations shall be set forth in the Issuance Notice).</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Section 6. INDEMNIFICATION AND CONTRIBUTION</w:t>
      </w:r>
    </w:p>
    <w:p>
      <w:pPr>
        <w:spacing w:after="0" w:line="92" w:lineRule="exact"/>
        <w:rPr>
          <w:sz w:val="20"/>
          <w:szCs w:val="20"/>
          <w:color w:val="auto"/>
        </w:rPr>
      </w:pPr>
    </w:p>
    <w:p>
      <w:pPr>
        <w:ind w:left="240" w:right="339" w:firstLine="340"/>
        <w:spacing w:after="0" w:line="252" w:lineRule="auto"/>
        <w:tabs>
          <w:tab w:leader="none" w:pos="770"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Indemnification of the Agent</w:t>
      </w:r>
      <w:r>
        <w:rPr>
          <w:rFonts w:ascii="Times New Roman" w:cs="Times New Roman" w:eastAsia="Times New Roman" w:hAnsi="Times New Roman"/>
          <w:sz w:val="14"/>
          <w:szCs w:val="14"/>
          <w:color w:val="auto"/>
        </w:rPr>
        <w:t>.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w:t>
      </w:r>
    </w:p>
    <w:p>
      <w:pPr>
        <w:ind w:left="240" w:right="279" w:hanging="2"/>
        <w:spacing w:after="0" w:line="250" w:lineRule="auto"/>
        <w:tabs>
          <w:tab w:leader="none" w:pos="445"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or (iii) any act or failure to act or any alleged act or failure to act by the Agent in connection with, or relating in any manner to, the Common Shares or the offering contemplated hereby, and which is included as part of or referred to in any loss, claim, damage, liability or action arising out of or based upon any matter covered by clause (i) or (ii) above, provided that the Company shall not be liable under this clause (iii) to the extent that a court of competent jurisdiction shall have determined by a final judgment that such loss, claim, damage, liability or action resulted directly from any such acts or failures to act undertaken or omitted to be taken by the Agent through its bad faith or willful misconduct, and to reimburse the Agent and</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40" w:right="1440" w:bottom="1440" w:gutter="0" w:footer="0" w:header="0"/>
        </w:sectPr>
      </w:pPr>
    </w:p>
    <w:bookmarkStart w:id="85" w:name="page86"/>
    <w:bookmarkEnd w:id="85"/>
    <w:p>
      <w:pPr>
        <w:ind w:left="240" w:right="319"/>
        <w:spacing w:after="0" w:line="252"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each such officer, employee and controlling person for any and all reasonable and documented expenses (including the reasonable and documented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beginning with the words: “[Jefferies and its affiliates may in the future provide various investment banking, commercial banking, financial advisory and other financial services . . . .]” (the “</w:t>
      </w:r>
      <w:r>
        <w:rPr>
          <w:rFonts w:ascii="Times New Roman" w:cs="Times New Roman" w:eastAsia="Times New Roman" w:hAnsi="Times New Roman"/>
          <w:sz w:val="14"/>
          <w:szCs w:val="14"/>
          <w:b w:val="1"/>
          <w:bCs w:val="1"/>
          <w:color w:val="auto"/>
        </w:rPr>
        <w:t>Agent Information</w:t>
      </w:r>
      <w:r>
        <w:rPr>
          <w:rFonts w:ascii="Times New Roman" w:cs="Times New Roman" w:eastAsia="Times New Roman" w:hAnsi="Times New Roman"/>
          <w:sz w:val="14"/>
          <w:szCs w:val="14"/>
          <w:color w:val="auto"/>
        </w:rPr>
        <w:t xml:space="preserve">”). The indemnity agreement set forth in this </w:t>
      </w:r>
      <w:r>
        <w:rPr>
          <w:rFonts w:ascii="Times New Roman" w:cs="Times New Roman" w:eastAsia="Times New Roman" w:hAnsi="Times New Roman"/>
          <w:sz w:val="14"/>
          <w:szCs w:val="14"/>
          <w:u w:val="single" w:color="auto"/>
          <w:color w:val="auto"/>
        </w:rPr>
        <w:t>Section 6(a)</w:t>
      </w:r>
      <w:r>
        <w:rPr>
          <w:rFonts w:ascii="Times New Roman" w:cs="Times New Roman" w:eastAsia="Times New Roman" w:hAnsi="Times New Roman"/>
          <w:sz w:val="14"/>
          <w:szCs w:val="14"/>
          <w:color w:val="auto"/>
        </w:rPr>
        <w:t xml:space="preserve"> shall be in addition to any liabilities that the Company may otherwise have.</w:t>
      </w:r>
    </w:p>
    <w:p>
      <w:pPr>
        <w:spacing w:after="0" w:line="148" w:lineRule="exact"/>
        <w:rPr>
          <w:sz w:val="20"/>
          <w:szCs w:val="20"/>
          <w:color w:val="auto"/>
        </w:rPr>
      </w:pPr>
    </w:p>
    <w:p>
      <w:pPr>
        <w:ind w:left="240" w:right="259" w:firstLine="340"/>
        <w:spacing w:after="0" w:line="251" w:lineRule="auto"/>
        <w:tabs>
          <w:tab w:leader="none" w:pos="778"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Indemnification of the Company, its Directors and Officers.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Company and each such director, officer and controlling person for any and all reasonable and documented expenses (including the reasonable and documented fees and disbursements of counsel chosen by the Company) as such expenses are reasonably incurred by the Company or such officer, director or controlling person in connection with investigating, defending, settling, compromising or paying any such loss, claim, damage, liability, expense or action; provided, however, that the foregoing indemnity agreement shall only apply to any loss, claim, damage, liability or expense to the extent, but only to the extent, arising out of or based upon any untrue statement or alleged untrue statement or omission or alleged omission made in reliance upon and in conformity with the Agent Information expressly for use in the Registration Statement, any such Free Writing Prospectus or the Prospectus (or any amendment or supplement thereto). The indemnity agreement set forth in this Section 6(b) shall be in addition to any liabilities that the Agent or the Company may otherwise have.</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40" w:right="1440" w:bottom="1440" w:gutter="0" w:footer="0" w:header="0"/>
        </w:sectPr>
      </w:pPr>
    </w:p>
    <w:bookmarkStart w:id="86" w:name="page87"/>
    <w:bookmarkEnd w:id="86"/>
    <w:p>
      <w:pPr>
        <w:ind w:left="240" w:right="259" w:firstLine="340"/>
        <w:spacing w:after="0" w:line="250" w:lineRule="auto"/>
        <w:tabs>
          <w:tab w:leader="none" w:pos="77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Notifications and Other Indemnification Procedures</w:t>
      </w:r>
      <w:r>
        <w:rPr>
          <w:rFonts w:ascii="Times New Roman" w:cs="Times New Roman" w:eastAsia="Times New Roman" w:hAnsi="Times New Roman"/>
          <w:sz w:val="14"/>
          <w:szCs w:val="14"/>
          <w:color w:val="auto"/>
        </w:rPr>
        <w:t xml:space="preserve">. Promptly after receipt by an indemnified party under this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xml:space="preserve"> of notice of the commencement of any action, such indemnified party will, if a claim in respect thereof is to be made against an indemnifying party under this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xml:space="preserve">, notify the indemnifying party in writing of the commencement thereof, but the omission to so notify the indemnifying party will not relieve the indemnifying party from any liability which it may have to any indemnified party for contribution or otherwise than under the indemnity agreement contained in this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based on the advice of counsel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xml:space="preserve">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Agent (in the case of counsel for the indemnified parties referred to in </w:t>
      </w:r>
      <w:r>
        <w:rPr>
          <w:rFonts w:ascii="Times New Roman" w:cs="Times New Roman" w:eastAsia="Times New Roman" w:hAnsi="Times New Roman"/>
          <w:sz w:val="14"/>
          <w:szCs w:val="14"/>
          <w:u w:val="single" w:color="auto"/>
          <w:color w:val="auto"/>
        </w:rPr>
        <w:t>Section 6(a)</w:t>
      </w:r>
      <w:r>
        <w:rPr>
          <w:rFonts w:ascii="Times New Roman" w:cs="Times New Roman" w:eastAsia="Times New Roman" w:hAnsi="Times New Roman"/>
          <w:sz w:val="14"/>
          <w:szCs w:val="14"/>
          <w:color w:val="auto"/>
        </w:rPr>
        <w:t xml:space="preserve"> above) or the Company (in the case of counsel for the indemnified parties referred to in Section 6(b) above),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157" w:lineRule="exact"/>
        <w:rPr>
          <w:rFonts w:ascii="Times New Roman" w:cs="Times New Roman" w:eastAsia="Times New Roman" w:hAnsi="Times New Roman"/>
          <w:sz w:val="14"/>
          <w:szCs w:val="14"/>
          <w:color w:val="auto"/>
        </w:rPr>
      </w:pPr>
    </w:p>
    <w:p>
      <w:pPr>
        <w:ind w:left="240" w:right="259" w:firstLine="340"/>
        <w:spacing w:after="0" w:line="273" w:lineRule="auto"/>
        <w:tabs>
          <w:tab w:leader="none" w:pos="778"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Settlements</w:t>
      </w:r>
      <w:r>
        <w:rPr>
          <w:rFonts w:ascii="Times New Roman" w:cs="Times New Roman" w:eastAsia="Times New Roman" w:hAnsi="Times New Roman"/>
          <w:sz w:val="13"/>
          <w:szCs w:val="13"/>
          <w:color w:val="auto"/>
        </w:rPr>
        <w:t xml:space="preserve">. The indemnifying party under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Times New Roman" w:cs="Times New Roman" w:eastAsia="Times New Roman" w:hAnsi="Times New Roman"/>
          <w:sz w:val="13"/>
          <w:szCs w:val="13"/>
          <w:u w:val="single" w:color="auto"/>
          <w:color w:val="auto"/>
        </w:rPr>
        <w:t>Section 6(c</w:t>
      </w:r>
      <w:r>
        <w:rPr>
          <w:rFonts w:ascii="Times New Roman" w:cs="Times New Roman" w:eastAsia="Times New Roman" w:hAnsi="Times New Roman"/>
          <w:sz w:val="13"/>
          <w:szCs w:val="13"/>
          <w:color w:val="auto"/>
        </w:rPr>
        <w:t>) hereof, the indemnifying party agrees that it shall be liable for any settlement of any proceeding effected without its written consent if</w:t>
      </w:r>
    </w:p>
    <w:p>
      <w:pPr>
        <w:spacing w:after="0" w:line="1" w:lineRule="exact"/>
        <w:rPr>
          <w:rFonts w:ascii="Times New Roman" w:cs="Times New Roman" w:eastAsia="Times New Roman" w:hAnsi="Times New Roman"/>
          <w:sz w:val="13"/>
          <w:szCs w:val="13"/>
          <w:color w:val="auto"/>
        </w:rPr>
      </w:pPr>
    </w:p>
    <w:p>
      <w:pPr>
        <w:ind w:left="400" w:hanging="162"/>
        <w:spacing w:after="0"/>
        <w:tabs>
          <w:tab w:leader="none" w:pos="4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settlement is entered into more than 30 days after receipt by such indemnifying party of the aforesaid request;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40" w:right="1440" w:bottom="1440" w:gutter="0" w:footer="0" w:header="0"/>
        </w:sectPr>
      </w:pPr>
    </w:p>
    <w:bookmarkStart w:id="87" w:name="page88"/>
    <w:bookmarkEnd w:id="87"/>
    <w:p>
      <w:pPr>
        <w:ind w:left="240" w:right="25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42" w:lineRule="exact"/>
        <w:rPr>
          <w:sz w:val="20"/>
          <w:szCs w:val="20"/>
          <w:color w:val="auto"/>
        </w:rPr>
      </w:pPr>
    </w:p>
    <w:p>
      <w:pPr>
        <w:ind w:left="240" w:right="259" w:firstLine="340"/>
        <w:spacing w:after="0" w:line="251" w:lineRule="auto"/>
        <w:tabs>
          <w:tab w:leader="none" w:pos="77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Contribution</w:t>
      </w:r>
      <w:r>
        <w:rPr>
          <w:rFonts w:ascii="Times New Roman" w:cs="Times New Roman" w:eastAsia="Times New Roman" w:hAnsi="Times New Roman"/>
          <w:sz w:val="14"/>
          <w:szCs w:val="14"/>
          <w:color w:val="auto"/>
        </w:rPr>
        <w:t xml:space="preserve">. If the indemnification provided for in this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net proceeds from the offering of the Shares (net of commissions to the Agent but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152" w:lineRule="exact"/>
        <w:rPr>
          <w:sz w:val="20"/>
          <w:szCs w:val="20"/>
          <w:color w:val="auto"/>
        </w:rPr>
      </w:pPr>
    </w:p>
    <w:p>
      <w:pPr>
        <w:ind w:left="240" w:right="259" w:firstLine="341"/>
        <w:spacing w:after="0" w:line="257" w:lineRule="auto"/>
        <w:rPr>
          <w:sz w:val="20"/>
          <w:szCs w:val="20"/>
          <w:color w:val="auto"/>
        </w:rPr>
      </w:pPr>
      <w:r>
        <w:rPr>
          <w:rFonts w:ascii="Times New Roman" w:cs="Times New Roman" w:eastAsia="Times New Roman" w:hAnsi="Times New Roman"/>
          <w:sz w:val="14"/>
          <w:szCs w:val="14"/>
          <w:color w:val="auto"/>
        </w:rPr>
        <w:t xml:space="preserve">The amount paid or payable by a party as a result of the losses, claims, damages, liabilities and expenses referred to above shall be deemed to include, subject to the limitations set forth in </w:t>
      </w:r>
      <w:r>
        <w:rPr>
          <w:rFonts w:ascii="Times New Roman" w:cs="Times New Roman" w:eastAsia="Times New Roman" w:hAnsi="Times New Roman"/>
          <w:sz w:val="14"/>
          <w:szCs w:val="14"/>
          <w:u w:val="single" w:color="auto"/>
          <w:color w:val="auto"/>
        </w:rPr>
        <w:t>Section 6(c</w:t>
      </w:r>
      <w:r>
        <w:rPr>
          <w:rFonts w:ascii="Times New Roman" w:cs="Times New Roman" w:eastAsia="Times New Roman" w:hAnsi="Times New Roman"/>
          <w:sz w:val="14"/>
          <w:szCs w:val="14"/>
          <w:color w:val="auto"/>
        </w:rPr>
        <w:t xml:space="preserve">), any reasonable and documented legal or other fees or expenses reasonably incurred by such party in connection with investigating or defending any action or claim. The provisions set forth in </w:t>
      </w:r>
      <w:r>
        <w:rPr>
          <w:rFonts w:ascii="Times New Roman" w:cs="Times New Roman" w:eastAsia="Times New Roman" w:hAnsi="Times New Roman"/>
          <w:sz w:val="14"/>
          <w:szCs w:val="14"/>
          <w:u w:val="single" w:color="auto"/>
          <w:color w:val="auto"/>
        </w:rPr>
        <w:t>Section 6(c</w:t>
      </w:r>
      <w:r>
        <w:rPr>
          <w:rFonts w:ascii="Times New Roman" w:cs="Times New Roman" w:eastAsia="Times New Roman" w:hAnsi="Times New Roman"/>
          <w:sz w:val="14"/>
          <w:szCs w:val="14"/>
          <w:color w:val="auto"/>
        </w:rPr>
        <w:t xml:space="preserve">) with respect to notice of commencement of any action shall apply if a claim for contribution is to be made under this </w:t>
      </w:r>
      <w:r>
        <w:rPr>
          <w:rFonts w:ascii="Times New Roman" w:cs="Times New Roman" w:eastAsia="Times New Roman" w:hAnsi="Times New Roman"/>
          <w:sz w:val="14"/>
          <w:szCs w:val="14"/>
          <w:u w:val="single" w:color="auto"/>
          <w:color w:val="auto"/>
        </w:rPr>
        <w:t>Section 6(e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no additional notice shall be required with respect to any action for which notice has been given under </w:t>
      </w:r>
      <w:r>
        <w:rPr>
          <w:rFonts w:ascii="Times New Roman" w:cs="Times New Roman" w:eastAsia="Times New Roman" w:hAnsi="Times New Roman"/>
          <w:sz w:val="14"/>
          <w:szCs w:val="14"/>
          <w:u w:val="single" w:color="auto"/>
          <w:color w:val="auto"/>
        </w:rPr>
        <w:t>Section 6(c</w:t>
      </w:r>
      <w:r>
        <w:rPr>
          <w:rFonts w:ascii="Times New Roman" w:cs="Times New Roman" w:eastAsia="Times New Roman" w:hAnsi="Times New Roman"/>
          <w:sz w:val="14"/>
          <w:szCs w:val="14"/>
          <w:color w:val="auto"/>
        </w:rPr>
        <w:t>) for purposes of indemnification.</w:t>
      </w:r>
    </w:p>
    <w:p>
      <w:pPr>
        <w:spacing w:after="0" w:line="142" w:lineRule="exact"/>
        <w:rPr>
          <w:sz w:val="20"/>
          <w:szCs w:val="20"/>
          <w:color w:val="auto"/>
        </w:rPr>
      </w:pPr>
    </w:p>
    <w:p>
      <w:pPr>
        <w:ind w:left="240" w:right="319" w:firstLine="341"/>
        <w:spacing w:after="0" w:line="280" w:lineRule="auto"/>
        <w:rPr>
          <w:sz w:val="20"/>
          <w:szCs w:val="20"/>
          <w:color w:val="auto"/>
        </w:rPr>
      </w:pPr>
      <w:r>
        <w:rPr>
          <w:rFonts w:ascii="Times New Roman" w:cs="Times New Roman" w:eastAsia="Times New Roman" w:hAnsi="Times New Roman"/>
          <w:sz w:val="14"/>
          <w:szCs w:val="14"/>
          <w:color w:val="auto"/>
        </w:rPr>
        <w:t xml:space="preserve">The Company and the Agent agree that it would not be just and equitable if contribution pursuant to this </w:t>
      </w:r>
      <w:r>
        <w:rPr>
          <w:rFonts w:ascii="Times New Roman" w:cs="Times New Roman" w:eastAsia="Times New Roman" w:hAnsi="Times New Roman"/>
          <w:sz w:val="14"/>
          <w:szCs w:val="14"/>
          <w:u w:val="single" w:color="auto"/>
          <w:color w:val="auto"/>
        </w:rPr>
        <w:t>Section 6(e</w:t>
      </w:r>
      <w:r>
        <w:rPr>
          <w:rFonts w:ascii="Times New Roman" w:cs="Times New Roman" w:eastAsia="Times New Roman" w:hAnsi="Times New Roman"/>
          <w:sz w:val="14"/>
          <w:szCs w:val="14"/>
          <w:color w:val="auto"/>
        </w:rPr>
        <w:t xml:space="preserve">) were determined by pro rata allocation or by any other method of allocation which does not take account of the equitable considerations referred to in this </w:t>
      </w:r>
      <w:r>
        <w:rPr>
          <w:rFonts w:ascii="Times New Roman" w:cs="Times New Roman" w:eastAsia="Times New Roman" w:hAnsi="Times New Roman"/>
          <w:sz w:val="14"/>
          <w:szCs w:val="14"/>
          <w:u w:val="single" w:color="auto"/>
          <w:color w:val="auto"/>
        </w:rPr>
        <w:t>Section 6(e</w:t>
      </w:r>
      <w:r>
        <w:rPr>
          <w:rFonts w:ascii="Times New Roman" w:cs="Times New Roman" w:eastAsia="Times New Roman" w:hAnsi="Times New Roman"/>
          <w:sz w:val="14"/>
          <w:szCs w:val="14"/>
          <w:color w:val="auto"/>
        </w:rPr>
        <w:t>).</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40" w:right="1440" w:bottom="1440" w:gutter="0" w:footer="0" w:header="0"/>
        </w:sectPr>
      </w:pPr>
    </w:p>
    <w:bookmarkStart w:id="88" w:name="page89"/>
    <w:bookmarkEnd w:id="88"/>
    <w:p>
      <w:pPr>
        <w:ind w:left="240" w:right="259" w:firstLine="341"/>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Notwithstanding the provisions of this </w:t>
      </w:r>
      <w:r>
        <w:rPr>
          <w:rFonts w:ascii="Times New Roman" w:cs="Times New Roman" w:eastAsia="Times New Roman" w:hAnsi="Times New Roman"/>
          <w:sz w:val="14"/>
          <w:szCs w:val="14"/>
          <w:u w:val="single" w:color="auto"/>
          <w:color w:val="auto"/>
        </w:rPr>
        <w:t>Section 6(e</w:t>
      </w:r>
      <w:r>
        <w:rPr>
          <w:rFonts w:ascii="Times New Roman" w:cs="Times New Roman" w:eastAsia="Times New Roman" w:hAnsi="Times New Roman"/>
          <w:sz w:val="14"/>
          <w:szCs w:val="14"/>
          <w:color w:val="auto"/>
        </w:rPr>
        <w:t xml:space="preserve">), the Agent shall not be required to contribute any amount in excess of the agent fees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Times New Roman" w:cs="Times New Roman" w:eastAsia="Times New Roman" w:hAnsi="Times New Roman"/>
          <w:sz w:val="14"/>
          <w:szCs w:val="14"/>
          <w:u w:val="single" w:color="auto"/>
          <w:color w:val="auto"/>
        </w:rPr>
        <w:t>Section 6(e</w:t>
      </w:r>
      <w:r>
        <w:rPr>
          <w:rFonts w:ascii="Times New Roman" w:cs="Times New Roman" w:eastAsia="Times New Roman" w:hAnsi="Times New Roman"/>
          <w:sz w:val="14"/>
          <w:szCs w:val="14"/>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 the meaning of the Securities Act and the Exchange Act shall have the same rights to contribution as the Company.</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Section 7. TERMINATION &amp; SURVIVAL</w:t>
      </w:r>
    </w:p>
    <w:p>
      <w:pPr>
        <w:spacing w:after="0" w:line="92" w:lineRule="exact"/>
        <w:rPr>
          <w:sz w:val="20"/>
          <w:szCs w:val="20"/>
          <w:color w:val="auto"/>
        </w:rPr>
      </w:pPr>
    </w:p>
    <w:p>
      <w:pPr>
        <w:ind w:left="240" w:right="279" w:firstLine="340"/>
        <w:spacing w:after="0" w:line="280" w:lineRule="auto"/>
        <w:tabs>
          <w:tab w:leader="none" w:pos="770"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w:t>
      </w:r>
      <w:r>
        <w:rPr>
          <w:rFonts w:ascii="Times New Roman" w:cs="Times New Roman" w:eastAsia="Times New Roman" w:hAnsi="Times New Roman"/>
          <w:sz w:val="14"/>
          <w:szCs w:val="14"/>
          <w:color w:val="auto"/>
        </w:rPr>
        <w:t xml:space="preserve">. Subject to the provisions of this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the term of this Agreement shall continue from the date of this Agreement until the end of the Agency Period, unless earlier terminated by the parties to this Agreement pursuant to this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w:t>
      </w:r>
    </w:p>
    <w:p>
      <w:pPr>
        <w:spacing w:after="0" w:line="126" w:lineRule="exact"/>
        <w:rPr>
          <w:rFonts w:ascii="Times New Roman" w:cs="Times New Roman" w:eastAsia="Times New Roman" w:hAnsi="Times New Roman"/>
          <w:sz w:val="14"/>
          <w:szCs w:val="14"/>
          <w:color w:val="auto"/>
        </w:rPr>
      </w:pPr>
    </w:p>
    <w:p>
      <w:pPr>
        <w:ind w:left="780" w:hanging="200"/>
        <w:spacing w:after="0"/>
        <w:tabs>
          <w:tab w:leader="none" w:pos="780" w:val="left"/>
        </w:tabs>
        <w:numPr>
          <w:ilvl w:val="1"/>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Survival Following Termination</w:t>
      </w:r>
      <w:r>
        <w:rPr>
          <w:rFonts w:ascii="Times New Roman" w:cs="Times New Roman" w:eastAsia="Times New Roman" w:hAnsi="Times New Roman"/>
          <w:sz w:val="14"/>
          <w:szCs w:val="14"/>
          <w:color w:val="auto"/>
        </w:rPr>
        <w:t>.</w:t>
      </w:r>
    </w:p>
    <w:p>
      <w:pPr>
        <w:spacing w:after="0" w:line="100" w:lineRule="exact"/>
        <w:rPr>
          <w:rFonts w:ascii="Times New Roman" w:cs="Times New Roman" w:eastAsia="Times New Roman" w:hAnsi="Times New Roman"/>
          <w:sz w:val="14"/>
          <w:szCs w:val="14"/>
          <w:color w:val="auto"/>
        </w:rPr>
      </w:pPr>
    </w:p>
    <w:p>
      <w:pPr>
        <w:ind w:left="1000" w:right="279" w:hanging="427"/>
        <w:spacing w:after="0" w:line="257" w:lineRule="auto"/>
        <w:tabs>
          <w:tab w:leader="none" w:pos="1000"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Either party may terminate this Agreement prior to the end of the Agency Period, by giving written notice as required by this Agreement, upon five (5) Trading Days’ notice to the other party; provided that, (A) if the Company terminates this Agreement after the Agent confirms to the Company any sale of Shares, the Company shall remain obligated to comply with </w:t>
      </w:r>
      <w:r>
        <w:rPr>
          <w:rFonts w:ascii="Times New Roman" w:cs="Times New Roman" w:eastAsia="Times New Roman" w:hAnsi="Times New Roman"/>
          <w:sz w:val="14"/>
          <w:szCs w:val="14"/>
          <w:u w:val="single" w:color="auto"/>
          <w:color w:val="auto"/>
        </w:rPr>
        <w:t>Section 3(b)(v)</w:t>
      </w:r>
      <w:r>
        <w:rPr>
          <w:rFonts w:ascii="Times New Roman" w:cs="Times New Roman" w:eastAsia="Times New Roman" w:hAnsi="Times New Roman"/>
          <w:sz w:val="14"/>
          <w:szCs w:val="14"/>
          <w:color w:val="auto"/>
        </w:rPr>
        <w:t xml:space="preserve"> with respect to such Shares and (B) </w:t>
      </w:r>
      <w:r>
        <w:rPr>
          <w:rFonts w:ascii="Times New Roman" w:cs="Times New Roman" w:eastAsia="Times New Roman" w:hAnsi="Times New Roman"/>
          <w:sz w:val="14"/>
          <w:szCs w:val="14"/>
          <w:u w:val="single" w:color="auto"/>
          <w:color w:val="auto"/>
        </w:rPr>
        <w:t>Section 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68" w:lineRule="exact"/>
        <w:rPr>
          <w:rFonts w:ascii="Times New Roman" w:cs="Times New Roman" w:eastAsia="Times New Roman" w:hAnsi="Times New Roman"/>
          <w:sz w:val="14"/>
          <w:szCs w:val="14"/>
          <w:color w:val="auto"/>
        </w:rPr>
      </w:pPr>
    </w:p>
    <w:p>
      <w:pPr>
        <w:ind w:left="1000" w:right="259" w:hanging="427"/>
        <w:spacing w:after="0" w:line="257" w:lineRule="auto"/>
        <w:tabs>
          <w:tab w:leader="none" w:pos="1000" w:val="left"/>
        </w:tabs>
        <w:numPr>
          <w:ilvl w:val="1"/>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addition to the survival provision of </w:t>
      </w:r>
      <w:r>
        <w:rPr>
          <w:rFonts w:ascii="Times New Roman" w:cs="Times New Roman" w:eastAsia="Times New Roman" w:hAnsi="Times New Roman"/>
          <w:sz w:val="14"/>
          <w:szCs w:val="14"/>
          <w:u w:val="single" w:color="auto"/>
          <w:color w:val="auto"/>
        </w:rPr>
        <w:t>Section 7(b)(i)</w:t>
      </w:r>
      <w:r>
        <w:rPr>
          <w:rFonts w:ascii="Times New Roman" w:cs="Times New Roman" w:eastAsia="Times New Roman" w:hAnsi="Times New Roman"/>
          <w:sz w:val="14"/>
          <w:szCs w:val="14"/>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Section 8. MISCELLANEOUS</w:t>
      </w:r>
    </w:p>
    <w:p>
      <w:pPr>
        <w:spacing w:after="0" w:line="92" w:lineRule="exact"/>
        <w:rPr>
          <w:sz w:val="20"/>
          <w:szCs w:val="20"/>
          <w:color w:val="auto"/>
        </w:rPr>
      </w:pPr>
    </w:p>
    <w:p>
      <w:pPr>
        <w:ind w:left="240" w:right="259" w:firstLine="340"/>
        <w:spacing w:after="0" w:line="257" w:lineRule="auto"/>
        <w:tabs>
          <w:tab w:leader="none" w:pos="77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Press Releases and Disclosure</w:t>
      </w:r>
      <w:r>
        <w:rPr>
          <w:rFonts w:ascii="Times New Roman" w:cs="Times New Roman" w:eastAsia="Times New Roman" w:hAnsi="Times New Roman"/>
          <w:sz w:val="14"/>
          <w:szCs w:val="14"/>
          <w:color w:val="auto"/>
        </w:rPr>
        <w:t>. The Company may issue a press release describing the material terms of the transactions contemplated hereby as soon as practicable following the date of this Agreement, and may file with the Commission a Current Report on Form 8-K,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40" w:right="1440" w:bottom="1440" w:gutter="0" w:footer="0" w:header="0"/>
        </w:sectPr>
      </w:pPr>
    </w:p>
    <w:bookmarkStart w:id="89" w:name="page90"/>
    <w:bookmarkEnd w:id="89"/>
    <w:p>
      <w:pPr>
        <w:ind w:left="240" w:right="359"/>
        <w:spacing w:after="0" w:line="25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(other than disclosure regarding sales of Common Shares pursuant hereto on current reports on Form 8-K, quarterly reports on Form 10-Q or annual reports on Form 10-K),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146" w:lineRule="exact"/>
        <w:rPr>
          <w:sz w:val="20"/>
          <w:szCs w:val="20"/>
          <w:color w:val="auto"/>
        </w:rPr>
      </w:pPr>
    </w:p>
    <w:p>
      <w:pPr>
        <w:ind w:left="240" w:right="299" w:firstLine="340"/>
        <w:spacing w:after="0" w:line="252" w:lineRule="auto"/>
        <w:tabs>
          <w:tab w:leader="none" w:pos="778"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Advisory or Fiduciary Relationship</w:t>
      </w:r>
      <w:r>
        <w:rPr>
          <w:rFonts w:ascii="Times New Roman" w:cs="Times New Roman" w:eastAsia="Times New Roman" w:hAnsi="Times New Roman"/>
          <w:sz w:val="14"/>
          <w:szCs w:val="14"/>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and is not the agent or fiduciary of the Company, or its stockholders,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respective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149" w:lineRule="exact"/>
        <w:rPr>
          <w:rFonts w:ascii="Times New Roman" w:cs="Times New Roman" w:eastAsia="Times New Roman" w:hAnsi="Times New Roman"/>
          <w:sz w:val="14"/>
          <w:szCs w:val="14"/>
          <w:color w:val="auto"/>
        </w:rPr>
      </w:pPr>
    </w:p>
    <w:p>
      <w:pPr>
        <w:ind w:left="240" w:right="339" w:firstLine="340"/>
        <w:spacing w:after="0" w:line="254" w:lineRule="auto"/>
        <w:tabs>
          <w:tab w:leader="none" w:pos="77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Research Analyst Independence</w:t>
      </w:r>
      <w:r>
        <w:rPr>
          <w:rFonts w:ascii="Times New Roman" w:cs="Times New Roman" w:eastAsia="Times New Roman" w:hAnsi="Times New Roman"/>
          <w:sz w:val="14"/>
          <w:szCs w:val="14"/>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45" w:lineRule="exact"/>
        <w:rPr>
          <w:rFonts w:ascii="Times New Roman" w:cs="Times New Roman" w:eastAsia="Times New Roman" w:hAnsi="Times New Roman"/>
          <w:sz w:val="14"/>
          <w:szCs w:val="14"/>
          <w:color w:val="auto"/>
        </w:rPr>
      </w:pPr>
    </w:p>
    <w:p>
      <w:pPr>
        <w:ind w:left="240" w:right="619" w:firstLine="340"/>
        <w:spacing w:after="0" w:line="280" w:lineRule="auto"/>
        <w:tabs>
          <w:tab w:leader="none" w:pos="778"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 All communications hereunder shall be in writing and shall be mailed, hand delivered or telecopied and confirmed to the parties hereto as follows:</w:t>
      </w:r>
    </w:p>
    <w:p>
      <w:pPr>
        <w:spacing w:after="0" w:line="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If to the Agent:</w:t>
      </w:r>
    </w:p>
    <w:p>
      <w:pPr>
        <w:spacing w:after="0" w:line="9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Jefferies LLC</w:t>
      </w:r>
    </w:p>
    <w:p>
      <w:pPr>
        <w:spacing w:after="0" w:line="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520 Madison Avenue</w:t>
      </w:r>
    </w:p>
    <w:p>
      <w:pPr>
        <w:spacing w:after="0" w:line="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New York, NY 10022</w:t>
      </w:r>
    </w:p>
    <w:p>
      <w:pPr>
        <w:spacing w:after="0" w:line="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Attention: General Counsel</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40" w:right="1440" w:bottom="1440" w:gutter="0" w:footer="0" w:header="0"/>
        </w:sectPr>
      </w:pPr>
    </w:p>
    <w:bookmarkStart w:id="90" w:name="page91"/>
    <w:bookmarkEnd w:id="90"/>
    <w:p>
      <w:pPr>
        <w:ind w:left="5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with a copy (which shall not constitute notice) to:</w:t>
      </w:r>
    </w:p>
    <w:p>
      <w:pPr>
        <w:spacing w:after="0" w:line="9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Davis Polk &amp; Wardwell LLP</w:t>
      </w:r>
    </w:p>
    <w:p>
      <w:pPr>
        <w:spacing w:after="0" w:line="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900 Middlefield Road</w:t>
      </w:r>
    </w:p>
    <w:p>
      <w:pPr>
        <w:spacing w:after="0" w:line="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Redwood City, CA 94063</w:t>
      </w:r>
    </w:p>
    <w:p>
      <w:pPr>
        <w:spacing w:after="0" w:line="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Attention: Emily Roberts</w:t>
      </w:r>
    </w:p>
    <w:p>
      <w:pPr>
        <w:spacing w:after="0" w:line="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Email:</w:t>
      </w:r>
    </w:p>
    <w:p>
      <w:pPr>
        <w:spacing w:after="0" w:line="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If to the Company:</w:t>
      </w:r>
    </w:p>
    <w:p>
      <w:pPr>
        <w:spacing w:after="0" w:line="9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Ardelyx, Inc.</w:t>
      </w:r>
    </w:p>
    <w:p>
      <w:pPr>
        <w:spacing w:after="0" w:line="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400 Fifth Avenue, Suite 210</w:t>
      </w:r>
    </w:p>
    <w:p>
      <w:pPr>
        <w:spacing w:after="0" w:line="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Waltham, MA 02451</w:t>
      </w:r>
    </w:p>
    <w:p>
      <w:pPr>
        <w:spacing w:after="0" w:line="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Attention: Chief Executive Officer; Chief Financial Officer; Chief Legal and</w:t>
      </w:r>
    </w:p>
    <w:p>
      <w:pPr>
        <w:spacing w:after="0" w:line="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Administrative Officer</w:t>
      </w:r>
    </w:p>
    <w:p>
      <w:pPr>
        <w:spacing w:after="0" w:line="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Email:</w:t>
      </w:r>
    </w:p>
    <w:p>
      <w:pPr>
        <w:spacing w:after="0" w:line="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9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Latham &amp; Watkins LLP</w:t>
      </w:r>
    </w:p>
    <w:p>
      <w:pPr>
        <w:spacing w:after="0" w:line="2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140 Scott Drive</w:t>
      </w:r>
    </w:p>
    <w:p>
      <w:pPr>
        <w:spacing w:after="0" w:line="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Menlo Park, CA 94025</w:t>
      </w:r>
    </w:p>
    <w:p>
      <w:pPr>
        <w:spacing w:after="0" w:line="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Email:</w:t>
      </w:r>
    </w:p>
    <w:p>
      <w:pPr>
        <w:spacing w:after="0" w:line="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Attention: Mark Roeder</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Any party hereto may change the address for receipt of communications by giving written notice to the others in accordance with this </w:t>
      </w:r>
      <w:r>
        <w:rPr>
          <w:rFonts w:ascii="Times New Roman" w:cs="Times New Roman" w:eastAsia="Times New Roman" w:hAnsi="Times New Roman"/>
          <w:sz w:val="14"/>
          <w:szCs w:val="14"/>
          <w:u w:val="single" w:color="auto"/>
          <w:color w:val="auto"/>
        </w:rPr>
        <w:t>Section 8(d)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left="240" w:right="459" w:firstLine="340"/>
        <w:spacing w:after="0" w:line="294" w:lineRule="auto"/>
        <w:tabs>
          <w:tab w:leader="none" w:pos="77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Successors</w:t>
      </w:r>
      <w:r>
        <w:rPr>
          <w:rFonts w:ascii="Times New Roman" w:cs="Times New Roman" w:eastAsia="Times New Roman" w:hAnsi="Times New Roman"/>
          <w:sz w:val="13"/>
          <w:szCs w:val="13"/>
          <w:color w:val="auto"/>
        </w:rPr>
        <w:t xml:space="preserve">. This Agreement will inure to the benefit of and be binding upon the parties hereto, and to the benefit of the employees, officers and directors and controlling persons referred to in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19" w:lineRule="exact"/>
        <w:rPr>
          <w:rFonts w:ascii="Times New Roman" w:cs="Times New Roman" w:eastAsia="Times New Roman" w:hAnsi="Times New Roman"/>
          <w:sz w:val="13"/>
          <w:szCs w:val="13"/>
          <w:color w:val="auto"/>
        </w:rPr>
      </w:pPr>
    </w:p>
    <w:p>
      <w:pPr>
        <w:ind w:left="240" w:right="439" w:firstLine="340"/>
        <w:spacing w:after="0" w:line="259" w:lineRule="auto"/>
        <w:tabs>
          <w:tab w:leader="none" w:pos="755"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Partial Unenforceability</w:t>
      </w:r>
      <w:r>
        <w:rPr>
          <w:rFonts w:ascii="Times New Roman" w:cs="Times New Roman" w:eastAsia="Times New Roman" w:hAnsi="Times New Roman"/>
          <w:sz w:val="14"/>
          <w:szCs w:val="14"/>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40" w:right="1440" w:bottom="1440" w:gutter="0" w:footer="0" w:header="0"/>
        </w:sectPr>
      </w:pPr>
    </w:p>
    <w:bookmarkStart w:id="91" w:name="page92"/>
    <w:bookmarkEnd w:id="91"/>
    <w:p>
      <w:pPr>
        <w:ind w:left="240" w:right="259" w:firstLine="340"/>
        <w:spacing w:after="0" w:line="252" w:lineRule="auto"/>
        <w:tabs>
          <w:tab w:leader="none" w:pos="778"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Governing Law Provisions</w:t>
      </w:r>
      <w:r>
        <w:rPr>
          <w:rFonts w:ascii="Times New Roman" w:cs="Times New Roman" w:eastAsia="Times New Roman" w:hAnsi="Times New Roman"/>
          <w:sz w:val="14"/>
          <w:szCs w:val="14"/>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Times New Roman" w:cs="Times New Roman" w:eastAsia="Times New Roman" w:hAnsi="Times New Roman"/>
          <w:sz w:val="14"/>
          <w:szCs w:val="14"/>
          <w:b w:val="1"/>
          <w:bCs w:val="1"/>
          <w:color w:val="auto"/>
        </w:rPr>
        <w:t>Specified Courts</w:t>
      </w:r>
      <w:r>
        <w:rPr>
          <w:rFonts w:ascii="Times New Roman" w:cs="Times New Roman" w:eastAsia="Times New Roman" w:hAnsi="Times New Roman"/>
          <w:sz w:val="14"/>
          <w:szCs w:val="14"/>
          <w:color w:val="auto"/>
        </w:rPr>
        <w:t>”),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49" w:lineRule="exact"/>
        <w:rPr>
          <w:rFonts w:ascii="Times New Roman" w:cs="Times New Roman" w:eastAsia="Times New Roman" w:hAnsi="Times New Roman"/>
          <w:sz w:val="14"/>
          <w:szCs w:val="14"/>
          <w:color w:val="auto"/>
        </w:rPr>
      </w:pPr>
    </w:p>
    <w:p>
      <w:pPr>
        <w:ind w:left="240" w:right="259" w:firstLine="340"/>
        <w:spacing w:after="0" w:line="254" w:lineRule="auto"/>
        <w:tabs>
          <w:tab w:leader="none" w:pos="778"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 Provisions</w:t>
      </w:r>
      <w:r>
        <w:rPr>
          <w:rFonts w:ascii="Times New Roman" w:cs="Times New Roman" w:eastAsia="Times New Roman" w:hAnsi="Times New Roman"/>
          <w:sz w:val="14"/>
          <w:szCs w:val="14"/>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45" w:lineRule="exact"/>
        <w:rPr>
          <w:rFonts w:ascii="Times New Roman" w:cs="Times New Roman" w:eastAsia="Times New Roman" w:hAnsi="Times New Roman"/>
          <w:sz w:val="14"/>
          <w:szCs w:val="14"/>
          <w:color w:val="auto"/>
        </w:rPr>
      </w:pPr>
    </w:p>
    <w:p>
      <w:pPr>
        <w:ind w:left="740" w:hanging="160"/>
        <w:spacing w:after="0"/>
        <w:tabs>
          <w:tab w:leader="none" w:pos="7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Recognition of the U.S. Special Resolution Regimes</w:t>
      </w:r>
      <w:r>
        <w:rPr>
          <w:rFonts w:ascii="Times New Roman" w:cs="Times New Roman" w:eastAsia="Times New Roman" w:hAnsi="Times New Roman"/>
          <w:sz w:val="14"/>
          <w:szCs w:val="14"/>
          <w:color w:val="auto"/>
        </w:rPr>
        <w:t>.</w:t>
      </w:r>
    </w:p>
    <w:p>
      <w:pPr>
        <w:spacing w:after="0" w:line="89" w:lineRule="exact"/>
        <w:rPr>
          <w:rFonts w:ascii="Times New Roman" w:cs="Times New Roman" w:eastAsia="Times New Roman" w:hAnsi="Times New Roman"/>
          <w:sz w:val="14"/>
          <w:szCs w:val="14"/>
          <w:color w:val="auto"/>
        </w:rPr>
      </w:pPr>
    </w:p>
    <w:p>
      <w:pPr>
        <w:ind w:left="580" w:right="259" w:firstLine="327"/>
        <w:spacing w:after="0" w:line="259" w:lineRule="auto"/>
        <w:tabs>
          <w:tab w:leader="none" w:pos="1097" w:val="left"/>
        </w:tabs>
        <w:numPr>
          <w:ilvl w:val="1"/>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the Agent is a Covered Entity and becomes subject to a proceeding under a U.S. Special Resolution Regime, the transfer from the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57" w:lineRule="exact"/>
        <w:rPr>
          <w:rFonts w:ascii="Times New Roman" w:cs="Times New Roman" w:eastAsia="Times New Roman" w:hAnsi="Times New Roman"/>
          <w:sz w:val="14"/>
          <w:szCs w:val="14"/>
          <w:color w:val="auto"/>
        </w:rPr>
      </w:pPr>
    </w:p>
    <w:p>
      <w:pPr>
        <w:ind w:left="580" w:right="259" w:firstLine="327"/>
        <w:spacing w:after="0" w:line="259" w:lineRule="auto"/>
        <w:tabs>
          <w:tab w:leader="none" w:pos="1105" w:val="left"/>
        </w:tabs>
        <w:numPr>
          <w:ilvl w:val="1"/>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that the Agent is a Covered Entity or a BHC Act Affiliate of the Agent becomes subject to a proceeding under a U.S. Special Resolution Regime, Default Rights under this Agreement that may be exercised against the Agent are permitted to be exercised to no greater extent than such Default Rights could be exercised under the U.S. Special Resolution Regime if this Agreement were governed by the laws of the United States or a state of the United States.</w:t>
      </w:r>
    </w:p>
    <w:p>
      <w:pPr>
        <w:spacing w:after="0" w:line="57"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1"/>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used in this Section 8(i):</w:t>
      </w:r>
    </w:p>
    <w:p>
      <w:pPr>
        <w:spacing w:after="0" w:line="9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“BHC Act Affiliate” has the meaning assigned to the term “affiliate” in, and shall be interpreted in accordance with, 12 U.S.C. § 1841(k).</w:t>
      </w:r>
    </w:p>
    <w:p>
      <w:pPr>
        <w:spacing w:after="0" w:line="1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40" w:right="1440" w:bottom="1440" w:gutter="0" w:footer="0" w:header="0"/>
        </w:sectPr>
      </w:pPr>
    </w:p>
    <w:bookmarkStart w:id="92" w:name="page93"/>
    <w:bookmarkEnd w:id="92"/>
    <w:p>
      <w:pPr>
        <w:ind w:left="9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“Covered Entity” means any of the following:</w:t>
      </w:r>
    </w:p>
    <w:p>
      <w:pPr>
        <w:spacing w:after="0" w:line="90" w:lineRule="exact"/>
        <w:rPr>
          <w:sz w:val="20"/>
          <w:szCs w:val="20"/>
          <w:color w:val="auto"/>
        </w:rPr>
      </w:pPr>
    </w:p>
    <w:p>
      <w:pPr>
        <w:ind w:left="1180" w:hanging="174"/>
        <w:spacing w:after="0"/>
        <w:tabs>
          <w:tab w:leader="none" w:pos="118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entity” as that term is defined in, and interpreted in accordance with, 12 C.F.R. § 252.82(b);</w:t>
      </w:r>
    </w:p>
    <w:p>
      <w:pPr>
        <w:spacing w:after="0" w:line="89" w:lineRule="exact"/>
        <w:rPr>
          <w:rFonts w:ascii="Times New Roman" w:cs="Times New Roman" w:eastAsia="Times New Roman" w:hAnsi="Times New Roman"/>
          <w:sz w:val="14"/>
          <w:szCs w:val="14"/>
          <w:color w:val="auto"/>
        </w:rPr>
      </w:pPr>
    </w:p>
    <w:p>
      <w:pPr>
        <w:ind w:left="1220" w:hanging="214"/>
        <w:spacing w:after="0"/>
        <w:tabs>
          <w:tab w:leader="none" w:pos="122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bank” as that term is defined in, and interpreted in accordance with, 12 C.F.R. § 47.3(b); or</w:t>
      </w:r>
    </w:p>
    <w:p>
      <w:pPr>
        <w:spacing w:after="0" w:line="89" w:lineRule="exact"/>
        <w:rPr>
          <w:rFonts w:ascii="Times New Roman" w:cs="Times New Roman" w:eastAsia="Times New Roman" w:hAnsi="Times New Roman"/>
          <w:sz w:val="14"/>
          <w:szCs w:val="14"/>
          <w:color w:val="auto"/>
        </w:rPr>
      </w:pPr>
    </w:p>
    <w:p>
      <w:pPr>
        <w:ind w:left="1260" w:hanging="254"/>
        <w:spacing w:after="0"/>
        <w:tabs>
          <w:tab w:leader="none" w:pos="126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FSI” as that term is defined in, and interpreted in accordance with, 12 C.F.R. § 382.2(b).</w:t>
      </w:r>
    </w:p>
    <w:p>
      <w:pPr>
        <w:spacing w:after="0" w:line="90" w:lineRule="exact"/>
        <w:rPr>
          <w:sz w:val="20"/>
          <w:szCs w:val="20"/>
          <w:color w:val="auto"/>
        </w:rPr>
      </w:pPr>
    </w:p>
    <w:p>
      <w:pPr>
        <w:ind w:left="1000" w:right="359"/>
        <w:spacing w:after="0" w:line="280" w:lineRule="auto"/>
        <w:rPr>
          <w:sz w:val="20"/>
          <w:szCs w:val="20"/>
          <w:color w:val="auto"/>
        </w:rPr>
      </w:pPr>
      <w:r>
        <w:rPr>
          <w:rFonts w:ascii="Times New Roman" w:cs="Times New Roman" w:eastAsia="Times New Roman" w:hAnsi="Times New Roman"/>
          <w:sz w:val="14"/>
          <w:szCs w:val="14"/>
          <w:color w:val="auto"/>
        </w:rPr>
        <w:t>“Default Right” has the meaning assigned to that term in, and shall be interpreted in accordance with, 12 C.F.R. §§ 252.81, 47.2 or 382.1, as applicable.</w:t>
      </w:r>
    </w:p>
    <w:p>
      <w:pPr>
        <w:spacing w:after="0" w:line="43" w:lineRule="exact"/>
        <w:rPr>
          <w:sz w:val="20"/>
          <w:szCs w:val="20"/>
          <w:color w:val="auto"/>
        </w:rPr>
      </w:pPr>
    </w:p>
    <w:p>
      <w:pPr>
        <w:ind w:left="1000" w:right="459"/>
        <w:spacing w:after="0" w:line="280" w:lineRule="auto"/>
        <w:rPr>
          <w:sz w:val="20"/>
          <w:szCs w:val="20"/>
          <w:color w:val="auto"/>
        </w:rPr>
      </w:pPr>
      <w:r>
        <w:rPr>
          <w:rFonts w:ascii="Times New Roman" w:cs="Times New Roman" w:eastAsia="Times New Roman" w:hAnsi="Times New Roman"/>
          <w:sz w:val="14"/>
          <w:szCs w:val="14"/>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[Signature Page Immediately Follows]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40" w:right="1440" w:bottom="1440" w:gutter="0" w:footer="0" w:header="0"/>
        </w:sectPr>
      </w:pPr>
    </w:p>
    <w:bookmarkStart w:id="93" w:name="page94"/>
    <w:bookmarkEnd w:id="93"/>
    <w:p>
      <w:pPr>
        <w:ind w:left="240" w:right="479" w:firstLine="341"/>
        <w:spacing w:after="0" w:line="28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4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ARDELYX, INC.</w:t>
      </w:r>
    </w:p>
    <w:p>
      <w:pPr>
        <w:spacing w:after="0" w:line="17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 /s/ Michael Raab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13335</wp:posOffset>
            </wp:positionV>
            <wp:extent cx="201168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2011680" cy="6350"/>
                    </a:xfrm>
                    <a:prstGeom prst="rect">
                      <a:avLst/>
                    </a:prstGeom>
                    <a:noFill/>
                  </pic:spPr>
                </pic:pic>
              </a:graphicData>
            </a:graphic>
          </wp:anchor>
        </w:drawing>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 Michael Raab</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Title: Chief Executive Officer</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foregoing Agreement is hereby confirmed and accepted by the Agent in New York, New York as of the date first above written.</w:t>
      </w:r>
    </w:p>
    <w:p>
      <w:pPr>
        <w:spacing w:after="0" w:line="1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JEFFERIES LLC</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By: /s/ Michael Magarro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307340</wp:posOffset>
            </wp:positionH>
            <wp:positionV relativeFrom="paragraph">
              <wp:posOffset>13335</wp:posOffset>
            </wp:positionV>
            <wp:extent cx="201168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2011680" cy="6350"/>
                    </a:xfrm>
                    <a:prstGeom prst="rect">
                      <a:avLst/>
                    </a:prstGeom>
                    <a:noFill/>
                  </pic:spPr>
                </pic:pic>
              </a:graphicData>
            </a:graphic>
          </wp:anchor>
        </w:drawing>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Name: Michael Magarro</w:t>
      </w:r>
    </w:p>
    <w:p>
      <w:pPr>
        <w:spacing w:after="0" w:line="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Title: Managing Director</w:t>
      </w:r>
    </w:p>
    <w:p>
      <w:pPr>
        <w:sectPr>
          <w:pgSz w:w="11900" w:h="16838" w:orient="portrait"/>
          <w:cols w:equalWidth="0" w:num="1">
            <w:col w:w="9019"/>
          </w:cols>
          <w:pgMar w:left="1440" w:top="240" w:right="1440"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EXHIBIT A</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ISSUANCE NOTICE</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[Date]</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Jefferies LLC</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520 Madison Avenue</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New York, New York 10022</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Attn: [__________]</w:t>
      </w:r>
    </w:p>
    <w:p>
      <w:pPr>
        <w:spacing w:after="0" w:line="172" w:lineRule="exact"/>
        <w:rPr>
          <w:sz w:val="20"/>
          <w:szCs w:val="20"/>
          <w:color w:val="auto"/>
        </w:rPr>
      </w:pPr>
    </w:p>
    <w:p>
      <w:pPr>
        <w:ind w:left="240" w:right="499"/>
        <w:spacing w:after="0" w:line="266" w:lineRule="auto"/>
        <w:rPr>
          <w:sz w:val="20"/>
          <w:szCs w:val="20"/>
          <w:color w:val="auto"/>
        </w:rPr>
      </w:pPr>
      <w:r>
        <w:rPr>
          <w:rFonts w:ascii="Times New Roman" w:cs="Times New Roman" w:eastAsia="Times New Roman" w:hAnsi="Times New Roman"/>
          <w:sz w:val="14"/>
          <w:szCs w:val="14"/>
          <w:color w:val="auto"/>
        </w:rPr>
        <w:t>Reference is made to the Open Market Sale Agreement between Ardelyx, Inc.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and Jefferies LLC (the “</w:t>
      </w:r>
      <w:r>
        <w:rPr>
          <w:rFonts w:ascii="Times New Roman" w:cs="Times New Roman" w:eastAsia="Times New Roman" w:hAnsi="Times New Roman"/>
          <w:sz w:val="14"/>
          <w:szCs w:val="14"/>
          <w:b w:val="1"/>
          <w:bCs w:val="1"/>
          <w:color w:val="auto"/>
        </w:rPr>
        <w:t>Agent</w:t>
      </w:r>
      <w:r>
        <w:rPr>
          <w:rFonts w:ascii="Times New Roman" w:cs="Times New Roman" w:eastAsia="Times New Roman" w:hAnsi="Times New Roman"/>
          <w:sz w:val="14"/>
          <w:szCs w:val="14"/>
          <w:color w:val="auto"/>
        </w:rPr>
        <w:t>”) dated as of November 3, 2025 (the “</w:t>
      </w:r>
      <w:r>
        <w:rPr>
          <w:rFonts w:ascii="Times New Roman" w:cs="Times New Roman" w:eastAsia="Times New Roman" w:hAnsi="Times New Roman"/>
          <w:sz w:val="14"/>
          <w:szCs w:val="14"/>
          <w:b w:val="1"/>
          <w:bCs w:val="1"/>
          <w:color w:val="auto"/>
        </w:rPr>
        <w:t>Sales Agreement</w:t>
      </w:r>
      <w:r>
        <w:rPr>
          <w:rFonts w:ascii="Times New Roman" w:cs="Times New Roman" w:eastAsia="Times New Roman" w:hAnsi="Times New Roman"/>
          <w:sz w:val="14"/>
          <w:szCs w:val="14"/>
          <w:color w:val="auto"/>
        </w:rPr>
        <w:t>”). The Company confirms that all conditions to the delivery of this Issuance Notice are satisfied as of the date hereof. Capitalized terms used herein and not defined shall have the respective meanings ascribed to such terms in the Sales Agreement.</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Date that the Base Registration Statement Expires: November 3, 2028</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Date of Delivery of Issuance Notice (determined pursuant to </w:t>
      </w:r>
      <w:r>
        <w:rPr>
          <w:rFonts w:ascii="Times New Roman" w:cs="Times New Roman" w:eastAsia="Times New Roman" w:hAnsi="Times New Roman"/>
          <w:sz w:val="14"/>
          <w:szCs w:val="14"/>
          <w:u w:val="single" w:color="auto"/>
          <w:color w:val="auto"/>
        </w:rPr>
        <w:t>Section 3(b)(i)</w:t>
      </w:r>
      <w:r>
        <w:rPr>
          <w:rFonts w:ascii="Times New Roman" w:cs="Times New Roman" w:eastAsia="Times New Roman" w:hAnsi="Times New Roman"/>
          <w:sz w:val="14"/>
          <w:szCs w:val="14"/>
          <w:color w:val="auto"/>
        </w:rPr>
        <w:t>): _______________</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Issuance Amount (equal to the total Sales Price for such Shares): $_______________</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Number of days in selling period: _______________</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First date of selling period: _______________</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Last date of selling period: _______________</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Settlement Date(s) if other than standard T+1 settlement: _______________</w:t>
      </w:r>
    </w:p>
    <w:p>
      <w:pPr>
        <w:spacing w:after="0" w:line="174" w:lineRule="exact"/>
        <w:rPr>
          <w:sz w:val="20"/>
          <w:szCs w:val="20"/>
          <w:color w:val="auto"/>
        </w:rPr>
      </w:pPr>
    </w:p>
    <w:p>
      <w:pPr>
        <w:ind w:left="240" w:right="459"/>
        <w:spacing w:after="0" w:line="280" w:lineRule="auto"/>
        <w:rPr>
          <w:sz w:val="20"/>
          <w:szCs w:val="20"/>
          <w:color w:val="auto"/>
        </w:rPr>
      </w:pPr>
      <w:r>
        <w:rPr>
          <w:rFonts w:ascii="Times New Roman" w:cs="Times New Roman" w:eastAsia="Times New Roman" w:hAnsi="Times New Roman"/>
          <w:sz w:val="14"/>
          <w:szCs w:val="14"/>
          <w:color w:val="auto"/>
        </w:rPr>
        <w:t>Floor Price Limitation (in no event less than $1.00 without the prior written consent of the Agent, which consent may be withheld in the Agent’s sole discretion): $ ____ per share</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Comments: _________________________________________________________________________________________________________</w:t>
      </w:r>
    </w:p>
    <w:p>
      <w:pPr>
        <w:spacing w:after="0" w:line="19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13335</wp:posOffset>
            </wp:positionV>
            <wp:extent cx="201168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2011680" cy="6350"/>
                    </a:xfrm>
                    <a:prstGeom prst="rect">
                      <a:avLst/>
                    </a:prstGeom>
                    <a:noFill/>
                  </pic:spPr>
                </pic:pic>
              </a:graphicData>
            </a:graphic>
          </wp:anchor>
        </w:drawing>
      </w:r>
    </w:p>
    <w:p>
      <w:pPr>
        <w:spacing w:after="0" w:line="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Title: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ectPr>
          <w:pgSz w:w="11900" w:h="16838" w:orient="portrait"/>
          <w:cols w:equalWidth="0" w:num="1">
            <w:col w:w="9019"/>
          </w:cols>
          <w:pgMar w:left="1440" w:top="238" w:right="1440"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EXHIBIT B</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OFFICER’S CERTIFICATE</w:t>
      </w:r>
    </w:p>
    <w:p>
      <w:pPr>
        <w:spacing w:after="0" w:line="17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_____________, 20__</w:t>
      </w:r>
    </w:p>
    <w:p>
      <w:pPr>
        <w:spacing w:after="0" w:line="172" w:lineRule="exact"/>
        <w:rPr>
          <w:sz w:val="20"/>
          <w:szCs w:val="20"/>
          <w:color w:val="auto"/>
        </w:rPr>
      </w:pPr>
    </w:p>
    <w:p>
      <w:pPr>
        <w:jc w:val="both"/>
        <w:ind w:left="240" w:right="299" w:firstLine="341"/>
        <w:spacing w:after="0" w:line="266" w:lineRule="auto"/>
        <w:rPr>
          <w:sz w:val="20"/>
          <w:szCs w:val="20"/>
          <w:color w:val="auto"/>
        </w:rPr>
      </w:pPr>
      <w:r>
        <w:rPr>
          <w:rFonts w:ascii="Times New Roman" w:cs="Times New Roman" w:eastAsia="Times New Roman" w:hAnsi="Times New Roman"/>
          <w:sz w:val="14"/>
          <w:szCs w:val="14"/>
          <w:color w:val="auto"/>
        </w:rPr>
        <w:t>Reference is made to that certain Open Market Sale Agreement, dated as of November 3, 2025 (the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by and between Ardelyx, Inc.,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and Jefferies LLC. Capitalized terms used without definition herein shall have the meanings assigned thereto in the Agreement.</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The undersigned, being the _________ of the Company, hereby certifies on behalf of the Company and not in a personal capacity (and with no</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personal liability therefor) as follows:</w:t>
      </w:r>
    </w:p>
    <w:p>
      <w:pPr>
        <w:spacing w:after="0" w:line="85" w:lineRule="exact"/>
        <w:rPr>
          <w:sz w:val="20"/>
          <w:szCs w:val="20"/>
          <w:color w:val="auto"/>
        </w:rPr>
      </w:pPr>
    </w:p>
    <w:p>
      <w:pPr>
        <w:ind w:left="1000" w:right="539" w:hanging="427"/>
        <w:spacing w:after="0" w:line="280" w:lineRule="auto"/>
        <w:tabs>
          <w:tab w:leader="none" w:pos="100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stop order suspending the effectiveness of the Registration Statement is in effect, and no proceedings for such purpose are pending before or, to the best of my knowledge, threatened by the Commission.</w:t>
      </w:r>
    </w:p>
    <w:p>
      <w:pPr>
        <w:spacing w:after="0" w:line="53" w:lineRule="exact"/>
        <w:rPr>
          <w:rFonts w:ascii="Times New Roman" w:cs="Times New Roman" w:eastAsia="Times New Roman" w:hAnsi="Times New Roman"/>
          <w:sz w:val="14"/>
          <w:szCs w:val="14"/>
          <w:color w:val="auto"/>
        </w:rPr>
      </w:pPr>
    </w:p>
    <w:p>
      <w:pPr>
        <w:jc w:val="both"/>
        <w:ind w:left="1000" w:right="259" w:hanging="427"/>
        <w:spacing w:after="0" w:line="265" w:lineRule="auto"/>
        <w:tabs>
          <w:tab w:leader="none" w:pos="100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representations and warranties of the Company in Section 2 of the Agreement are true and correct on and as of the date hereof with the same force and effect as if expressly made on and as of the date hereof, except for those representations and warranties that speak solely as of a specific date and which were true and correct as of such date.</w:t>
      </w:r>
    </w:p>
    <w:p>
      <w:pPr>
        <w:spacing w:after="0" w:line="62" w:lineRule="exact"/>
        <w:rPr>
          <w:rFonts w:ascii="Times New Roman" w:cs="Times New Roman" w:eastAsia="Times New Roman" w:hAnsi="Times New Roman"/>
          <w:sz w:val="14"/>
          <w:szCs w:val="14"/>
          <w:color w:val="auto"/>
        </w:rPr>
      </w:pPr>
    </w:p>
    <w:p>
      <w:pPr>
        <w:ind w:left="1000" w:hanging="427"/>
        <w:spacing w:after="0"/>
        <w:tabs>
          <w:tab w:leader="none" w:pos="100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performed all of its obligations under the Agreement to be performed on or prior to the date hereof.</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Immediately Follows</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B-1</w:t>
      </w:r>
    </w:p>
    <w:p>
      <w:pPr>
        <w:sectPr>
          <w:pgSz w:w="11900" w:h="16838" w:orient="portrait"/>
          <w:cols w:equalWidth="0" w:num="1">
            <w:col w:w="9019"/>
          </w:cols>
          <w:pgMar w:left="1440" w:top="238" w:right="1440" w:bottom="1440" w:gutter="0" w:footer="0" w:header="0"/>
        </w:sectPr>
      </w:pPr>
    </w:p>
    <w:bookmarkStart w:id="96" w:name="page97"/>
    <w:bookmarkEnd w:id="96"/>
    <w:p>
      <w:pPr>
        <w:ind w:left="58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 WITNESS WHEREOF, the undersigned has caused this certificate to be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246380</wp:posOffset>
            </wp:positionV>
            <wp:extent cx="216408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2164080" cy="6350"/>
                    </a:xfrm>
                    <a:prstGeom prst="rect">
                      <a:avLst/>
                    </a:prstGeom>
                    <a:noFill/>
                  </pic:spPr>
                </pic:pic>
              </a:graphicData>
            </a:graphic>
          </wp:anchor>
        </w:drawing>
      </w:r>
    </w:p>
    <w:p>
      <w:pPr>
        <w:spacing w:after="0" w:line="3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2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ectPr>
          <w:pgSz w:w="11900" w:h="16838" w:orient="portrait"/>
          <w:cols w:equalWidth="0" w:num="1">
            <w:col w:w="9019"/>
          </w:cols>
          <w:pgMar w:left="1440" w:top="240" w:right="1440"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EXHIBIT 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SECRETARY’S CERTIFICATE</w:t>
      </w:r>
    </w:p>
    <w:p>
      <w:pPr>
        <w:spacing w:after="0" w:line="9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_____________, 20__</w:t>
      </w:r>
    </w:p>
    <w:p>
      <w:pPr>
        <w:spacing w:after="0" w:line="172" w:lineRule="exact"/>
        <w:rPr>
          <w:sz w:val="20"/>
          <w:szCs w:val="20"/>
          <w:color w:val="auto"/>
        </w:rPr>
      </w:pPr>
    </w:p>
    <w:p>
      <w:pPr>
        <w:jc w:val="both"/>
        <w:ind w:left="240" w:right="299" w:firstLine="341"/>
        <w:spacing w:after="0" w:line="266" w:lineRule="auto"/>
        <w:rPr>
          <w:sz w:val="20"/>
          <w:szCs w:val="20"/>
          <w:color w:val="auto"/>
        </w:rPr>
      </w:pPr>
      <w:r>
        <w:rPr>
          <w:rFonts w:ascii="Times New Roman" w:cs="Times New Roman" w:eastAsia="Times New Roman" w:hAnsi="Times New Roman"/>
          <w:sz w:val="14"/>
          <w:szCs w:val="14"/>
          <w:color w:val="auto"/>
        </w:rPr>
        <w:t>Reference is made to that certain Open Market Sale Agreement, dated as of November 3, 2025 (the “</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by and between Ardelyx, Inc., a Delaware corporation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and Jefferies LLC. Capitalized terms used without definition herein shall have the meanings assigned thereto in the Agreement.</w:t>
      </w:r>
    </w:p>
    <w:p>
      <w:pPr>
        <w:spacing w:after="0" w:line="136" w:lineRule="exact"/>
        <w:rPr>
          <w:sz w:val="20"/>
          <w:szCs w:val="20"/>
          <w:color w:val="auto"/>
        </w:rPr>
      </w:pPr>
    </w:p>
    <w:p>
      <w:pPr>
        <w:ind w:left="240" w:right="539" w:firstLine="341"/>
        <w:spacing w:after="0" w:line="280" w:lineRule="auto"/>
        <w:rPr>
          <w:sz w:val="20"/>
          <w:szCs w:val="20"/>
          <w:color w:val="auto"/>
        </w:rPr>
      </w:pPr>
      <w:r>
        <w:rPr>
          <w:rFonts w:ascii="Times New Roman" w:cs="Times New Roman" w:eastAsia="Times New Roman" w:hAnsi="Times New Roman"/>
          <w:sz w:val="14"/>
          <w:szCs w:val="14"/>
          <w:color w:val="auto"/>
        </w:rPr>
        <w:t>The undersigned, being the [Secretary][Assistant Secretary] of the Company, hereby certifies on behalf of the Company, and not in a personal capacity (and with no personal liability therefor) as follows:</w:t>
      </w:r>
    </w:p>
    <w:p>
      <w:pPr>
        <w:spacing w:after="0" w:line="53" w:lineRule="exact"/>
        <w:rPr>
          <w:sz w:val="20"/>
          <w:szCs w:val="20"/>
          <w:color w:val="auto"/>
        </w:rPr>
      </w:pPr>
    </w:p>
    <w:p>
      <w:pPr>
        <w:ind w:left="1000" w:right="279" w:hanging="427"/>
        <w:spacing w:after="0" w:line="280" w:lineRule="auto"/>
        <w:tabs>
          <w:tab w:leader="none" w:pos="10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proceeding for the dissolution, merger, consolidation or liquidation of the Company or for the sale of all or substantially all of its assets is pending or, to the best of my knowledge, threatened, and no such proceeding is contemplated by the Company.</w:t>
      </w:r>
    </w:p>
    <w:p>
      <w:pPr>
        <w:spacing w:after="0" w:line="53" w:lineRule="exact"/>
        <w:rPr>
          <w:rFonts w:ascii="Times New Roman" w:cs="Times New Roman" w:eastAsia="Times New Roman" w:hAnsi="Times New Roman"/>
          <w:sz w:val="14"/>
          <w:szCs w:val="14"/>
          <w:color w:val="auto"/>
        </w:rPr>
      </w:pPr>
    </w:p>
    <w:p>
      <w:pPr>
        <w:ind w:left="1000" w:right="299" w:hanging="427"/>
        <w:spacing w:after="0" w:line="259" w:lineRule="auto"/>
        <w:tabs>
          <w:tab w:leader="none" w:pos="10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Attached hereto as </w:t>
      </w:r>
      <w:r>
        <w:rPr>
          <w:rFonts w:ascii="Times New Roman" w:cs="Times New Roman" w:eastAsia="Times New Roman" w:hAnsi="Times New Roman"/>
          <w:sz w:val="14"/>
          <w:szCs w:val="14"/>
          <w:u w:val="single" w:color="auto"/>
          <w:color w:val="auto"/>
        </w:rPr>
        <w:t>Annex A</w:t>
      </w:r>
      <w:r>
        <w:rPr>
          <w:rFonts w:ascii="Times New Roman" w:cs="Times New Roman" w:eastAsia="Times New Roman" w:hAnsi="Times New Roman"/>
          <w:sz w:val="14"/>
          <w:szCs w:val="14"/>
          <w:color w:val="auto"/>
        </w:rPr>
        <w:t xml:space="preserve"> is a true, correct and complete copy of the Amended and Restated Certificate of Incorporation of the Company, as amended to date (the “</w:t>
      </w:r>
      <w:r>
        <w:rPr>
          <w:rFonts w:ascii="Times New Roman" w:cs="Times New Roman" w:eastAsia="Times New Roman" w:hAnsi="Times New Roman"/>
          <w:sz w:val="14"/>
          <w:szCs w:val="14"/>
          <w:b w:val="1"/>
          <w:bCs w:val="1"/>
          <w:color w:val="auto"/>
        </w:rPr>
        <w:t>Certificate of Incorporation</w:t>
      </w:r>
      <w:r>
        <w:rPr>
          <w:rFonts w:ascii="Times New Roman" w:cs="Times New Roman" w:eastAsia="Times New Roman" w:hAnsi="Times New Roman"/>
          <w:sz w:val="14"/>
          <w:szCs w:val="14"/>
          <w:color w:val="auto"/>
        </w:rPr>
        <w:t>”), as certified by an appropriate public official of the State of Delaware and as in full force and effect as of _________, 20__. No action has been taken by the Company or its stockholders, directors or officers to effect or authorize any amendment or other modification to the Certificate of Incorporation since such date.</w:t>
      </w:r>
    </w:p>
    <w:p>
      <w:pPr>
        <w:spacing w:after="0" w:line="68" w:lineRule="exact"/>
        <w:rPr>
          <w:rFonts w:ascii="Times New Roman" w:cs="Times New Roman" w:eastAsia="Times New Roman" w:hAnsi="Times New Roman"/>
          <w:sz w:val="14"/>
          <w:szCs w:val="14"/>
          <w:color w:val="auto"/>
        </w:rPr>
      </w:pPr>
    </w:p>
    <w:p>
      <w:pPr>
        <w:ind w:left="1000" w:right="679" w:hanging="427"/>
        <w:spacing w:after="0" w:line="265" w:lineRule="auto"/>
        <w:tabs>
          <w:tab w:leader="none" w:pos="10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Attached hereto as </w:t>
      </w:r>
      <w:r>
        <w:rPr>
          <w:rFonts w:ascii="Times New Roman" w:cs="Times New Roman" w:eastAsia="Times New Roman" w:hAnsi="Times New Roman"/>
          <w:sz w:val="14"/>
          <w:szCs w:val="14"/>
          <w:u w:val="single" w:color="auto"/>
          <w:color w:val="auto"/>
        </w:rPr>
        <w:t>Annex B</w:t>
      </w:r>
      <w:r>
        <w:rPr>
          <w:rFonts w:ascii="Times New Roman" w:cs="Times New Roman" w:eastAsia="Times New Roman" w:hAnsi="Times New Roman"/>
          <w:sz w:val="14"/>
          <w:szCs w:val="14"/>
          <w:color w:val="auto"/>
        </w:rPr>
        <w:t xml:space="preserve"> is a true, correct and complete copy of the Second Amended and Restated Bylaws of the Company (the “</w:t>
      </w:r>
      <w:r>
        <w:rPr>
          <w:rFonts w:ascii="Times New Roman" w:cs="Times New Roman" w:eastAsia="Times New Roman" w:hAnsi="Times New Roman"/>
          <w:sz w:val="14"/>
          <w:szCs w:val="14"/>
          <w:b w:val="1"/>
          <w:bCs w:val="1"/>
          <w:color w:val="auto"/>
        </w:rPr>
        <w:t>Bylaws</w:t>
      </w:r>
      <w:r>
        <w:rPr>
          <w:rFonts w:ascii="Times New Roman" w:cs="Times New Roman" w:eastAsia="Times New Roman" w:hAnsi="Times New Roman"/>
          <w:sz w:val="14"/>
          <w:szCs w:val="14"/>
          <w:color w:val="auto"/>
        </w:rPr>
        <w:t>”) as in effect at the date hereof and at all times since August 1, 2025. No action has been taken by the Company or its stockholders, directors or officers to effect or authorize any amendment or other modification to the Bylaws.</w:t>
      </w:r>
    </w:p>
    <w:p>
      <w:pPr>
        <w:spacing w:after="0" w:line="62" w:lineRule="exact"/>
        <w:rPr>
          <w:rFonts w:ascii="Times New Roman" w:cs="Times New Roman" w:eastAsia="Times New Roman" w:hAnsi="Times New Roman"/>
          <w:sz w:val="14"/>
          <w:szCs w:val="14"/>
          <w:color w:val="auto"/>
        </w:rPr>
      </w:pPr>
    </w:p>
    <w:p>
      <w:pPr>
        <w:ind w:left="1000" w:hanging="427"/>
        <w:spacing w:after="0"/>
        <w:tabs>
          <w:tab w:leader="none" w:pos="100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Attached hereto as </w:t>
      </w:r>
      <w:r>
        <w:rPr>
          <w:rFonts w:ascii="Times New Roman" w:cs="Times New Roman" w:eastAsia="Times New Roman" w:hAnsi="Times New Roman"/>
          <w:sz w:val="13"/>
          <w:szCs w:val="13"/>
          <w:u w:val="single" w:color="auto"/>
          <w:color w:val="auto"/>
        </w:rPr>
        <w:t>Annex C</w:t>
      </w:r>
      <w:r>
        <w:rPr>
          <w:rFonts w:ascii="Times New Roman" w:cs="Times New Roman" w:eastAsia="Times New Roman" w:hAnsi="Times New Roman"/>
          <w:sz w:val="13"/>
          <w:szCs w:val="13"/>
          <w:color w:val="auto"/>
        </w:rPr>
        <w:t xml:space="preserve"> is a true, correct and complete copy of resolutions duly adopted by the Board of Directors of the Company on</w:t>
      </w:r>
    </w:p>
    <w:p>
      <w:pPr>
        <w:spacing w:after="0" w:line="32" w:lineRule="exact"/>
        <w:rPr>
          <w:rFonts w:ascii="Times New Roman" w:cs="Times New Roman" w:eastAsia="Times New Roman" w:hAnsi="Times New Roman"/>
          <w:sz w:val="13"/>
          <w:szCs w:val="13"/>
          <w:color w:val="auto"/>
        </w:rPr>
      </w:pPr>
    </w:p>
    <w:p>
      <w:pPr>
        <w:ind w:left="1000" w:right="419"/>
        <w:spacing w:after="0" w:line="25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__________, 20__ authorizing the filing of the Registration Statement and the Prospectus, the execution and delivery of the Agreement and the consummation of the transactions contemplated thereby (including, without limitation, the issuance of the Shares pursuant to the Agreement). Such resolutions have not been amended or modified, are in full force and effect in the form adopted and are the only resolutions adopted by the Board of Directors or by any committee or officers of or designated by the Board of Directors relating to the Registration Statement, the offering of the Shares and the Agreement.</w:t>
      </w:r>
    </w:p>
    <w:p>
      <w:pPr>
        <w:spacing w:after="0" w:line="73" w:lineRule="exact"/>
        <w:rPr>
          <w:rFonts w:ascii="Times New Roman" w:cs="Times New Roman" w:eastAsia="Times New Roman" w:hAnsi="Times New Roman"/>
          <w:sz w:val="13"/>
          <w:szCs w:val="13"/>
          <w:color w:val="auto"/>
        </w:rPr>
      </w:pPr>
    </w:p>
    <w:p>
      <w:pPr>
        <w:ind w:left="1000" w:right="379" w:hanging="427"/>
        <w:spacing w:after="0" w:line="280" w:lineRule="auto"/>
        <w:tabs>
          <w:tab w:leader="none" w:pos="10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Agreement as executed and delivered by the Company is in substantially the form approved by the Company’s Board of Directors in the resolutions referred to in paragraph 4 above.</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C-1</w:t>
      </w:r>
    </w:p>
    <w:p>
      <w:pPr>
        <w:sectPr>
          <w:pgSz w:w="11900" w:h="16838" w:orient="portrait"/>
          <w:cols w:equalWidth="0" w:num="1">
            <w:col w:w="9019"/>
          </w:cols>
          <w:pgMar w:left="1440" w:top="238" w:right="1440" w:bottom="1440" w:gutter="0" w:footer="0" w:header="0"/>
        </w:sectPr>
      </w:pPr>
    </w:p>
    <w:bookmarkStart w:id="98" w:name="page99"/>
    <w:bookmarkEnd w:id="98"/>
    <w:p>
      <w:pPr>
        <w:ind w:left="1000" w:right="279" w:hanging="427"/>
        <w:spacing w:after="0" w:line="259" w:lineRule="auto"/>
        <w:tabs>
          <w:tab w:leader="none" w:pos="10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Each person who, as an officer or director of the Company, signed the Registration Statement and any amendment thereto was duly elected or appointed, qualified and acting as such officer or director at the respective times of the signing thereof and was duly authorized to sign such document on behalf of the Company, and the signature of each such person appearing on each such document is the genuine signature of such officer or director.</w:t>
      </w:r>
    </w:p>
    <w:p>
      <w:pPr>
        <w:spacing w:after="0" w:line="68" w:lineRule="exact"/>
        <w:rPr>
          <w:rFonts w:ascii="Times New Roman" w:cs="Times New Roman" w:eastAsia="Times New Roman" w:hAnsi="Times New Roman"/>
          <w:sz w:val="14"/>
          <w:szCs w:val="14"/>
          <w:color w:val="auto"/>
        </w:rPr>
      </w:pPr>
    </w:p>
    <w:p>
      <w:pPr>
        <w:ind w:left="1000" w:right="259" w:hanging="427"/>
        <w:spacing w:after="0" w:line="259" w:lineRule="auto"/>
        <w:tabs>
          <w:tab w:leader="none" w:pos="100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who, as an officer of the Company, signed (a) the Agreement or (b) any other document delivered in connection with the sale and public offering of the Shares and the settlement related thereto was duly elected or appointed, qualified and acting as such officer at the respective times of the signing and delivery thereof and was duly authorized to sign such document on behalf of the Company, and the signature of each such person appearing on each such document is the genuine signature of such officer.</w:t>
      </w:r>
    </w:p>
    <w:p>
      <w:pPr>
        <w:spacing w:after="0" w:line="68" w:lineRule="exact"/>
        <w:rPr>
          <w:rFonts w:ascii="Times New Roman" w:cs="Times New Roman" w:eastAsia="Times New Roman" w:hAnsi="Times New Roman"/>
          <w:sz w:val="14"/>
          <w:szCs w:val="14"/>
          <w:color w:val="auto"/>
        </w:rPr>
      </w:pPr>
    </w:p>
    <w:p>
      <w:pPr>
        <w:ind w:left="1000" w:right="279" w:hanging="427"/>
        <w:spacing w:after="0" w:line="273" w:lineRule="auto"/>
        <w:tabs>
          <w:tab w:leader="none" w:pos="100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minute books and records of the Company relating to all proceedings of the stockholders and the Board of Directors (and any committee of the Board of Directors) of the Company made available to Latham &amp; Watkins LLP and Davis Polk &amp; Wardwell LLP are the original minute books and records of the Company, or are true, correct and complete copies thereof, with respect to all proceedings of said stockholders, Board of Directors and committees since _________, 20__. The minute books, records and other documents of the Company made available to Latham &amp; Watkins LLP and Davis Polk &amp; Wardwell LLP were true, correct and complete in all respects, except for</w:t>
      </w:r>
    </w:p>
    <w:p>
      <w:pPr>
        <w:spacing w:after="0" w:line="1" w:lineRule="exact"/>
        <w:rPr>
          <w:rFonts w:ascii="Times New Roman" w:cs="Times New Roman" w:eastAsia="Times New Roman" w:hAnsi="Times New Roman"/>
          <w:sz w:val="13"/>
          <w:szCs w:val="13"/>
          <w:color w:val="auto"/>
        </w:rPr>
      </w:pPr>
    </w:p>
    <w:p>
      <w:pPr>
        <w:ind w:left="1000" w:right="299"/>
        <w:spacing w:after="0" w:line="25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_________. There have been no material changes, additions or alterations in said minute books, records and other documents that have not been disclosed to Latham &amp; Watkins LLP Davis Polk &amp; Wardwell LLP in writing.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Immediately Follows</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C-2</w:t>
      </w:r>
    </w:p>
    <w:p>
      <w:pPr>
        <w:sectPr>
          <w:pgSz w:w="11900" w:h="16838" w:orient="portrait"/>
          <w:cols w:equalWidth="0" w:num="1">
            <w:col w:w="9019"/>
          </w:cols>
          <w:pgMar w:left="1440" w:top="240" w:right="1440" w:bottom="1440" w:gutter="0" w:footer="0" w:header="0"/>
        </w:sectPr>
      </w:pPr>
    </w:p>
    <w:bookmarkStart w:id="99" w:name="page100"/>
    <w:bookmarkEnd w:id="99"/>
    <w:p>
      <w:pPr>
        <w:ind w:left="58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 WITNESS WHEREOF, the undersigned has caused this certificate to be executed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246380</wp:posOffset>
            </wp:positionV>
            <wp:extent cx="216408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2164080" cy="6350"/>
                    </a:xfrm>
                    <a:prstGeom prst="rect">
                      <a:avLst/>
                    </a:prstGeom>
                    <a:noFill/>
                  </pic:spPr>
                </pic:pic>
              </a:graphicData>
            </a:graphic>
          </wp:anchor>
        </w:drawing>
      </w:r>
    </w:p>
    <w:p>
      <w:pPr>
        <w:spacing w:after="0" w:line="3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Name:</w:t>
      </w:r>
    </w:p>
    <w:p>
      <w:pPr>
        <w:spacing w:after="0" w:line="2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Title:</w:t>
      </w:r>
    </w:p>
    <w:p>
      <w:pPr>
        <w:sectPr>
          <w:pgSz w:w="11900" w:h="16838" w:orient="portrait"/>
          <w:cols w:equalWidth="0" w:num="1">
            <w:col w:w="9019"/>
          </w:cols>
          <w:pgMar w:left="1440" w:top="240" w:right="1440" w:bottom="1440" w:gutter="0" w:footer="0" w:header="0"/>
        </w:sectPr>
      </w:pPr>
    </w:p>
    <w:bookmarkStart w:id="100" w:name="page101"/>
    <w:bookmarkEnd w:id="10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Schedule A</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Notice Parties</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The Company</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Michael Raab</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Sue Hohenleitner</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Elizabeth Grammer</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u w:val="single" w:color="auto"/>
          <w:color w:val="auto"/>
        </w:rPr>
        <w:t>The Agent</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Michael Magarro</w:t>
      </w:r>
    </w:p>
    <w:p>
      <w:pPr>
        <w:sectPr>
          <w:pgSz w:w="11900" w:h="16838" w:orient="portrait"/>
          <w:cols w:equalWidth="0" w:num="1">
            <w:col w:w="9019"/>
          </w:cols>
          <w:pgMar w:left="1440" w:top="238" w:right="1440" w:bottom="1440" w:gutter="0" w:footer="0" w:header="0"/>
        </w:sectPr>
      </w:pPr>
    </w:p>
    <w:bookmarkStart w:id="101" w:name="page102"/>
    <w:bookmarkEnd w:id="101"/>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140970</wp:posOffset>
            </wp:positionV>
            <wp:extent cx="541718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5417185" cy="635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ARDELYX,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193675</wp:posOffset>
            </wp:positionV>
            <wp:extent cx="113538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7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color w:val="auto"/>
        </w:rPr>
        <w:t>Dated as of ___________,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2292350</wp:posOffset>
            </wp:positionH>
            <wp:positionV relativeFrom="paragraph">
              <wp:posOffset>186055</wp:posOffset>
            </wp:positionV>
            <wp:extent cx="113538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1135380" cy="635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[_____]</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139700</wp:posOffset>
            </wp:positionV>
            <wp:extent cx="5417185"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5417185" cy="635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2" w:name="page103"/>
    <w:bookmarkEnd w:id="10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TABLE OF CONTENTS</w:t>
      </w:r>
    </w:p>
    <w:p>
      <w:pPr>
        <w:spacing w:after="0" w:line="194" w:lineRule="exact"/>
        <w:rPr>
          <w:sz w:val="20"/>
          <w:szCs w:val="20"/>
          <w:color w:val="auto"/>
        </w:rPr>
      </w:pPr>
    </w:p>
    <w:tbl>
      <w:tblPr>
        <w:tblLayout w:type="fixed"/>
        <w:tblInd w:w="240" w:type="dxa"/>
        <w:tblCellMar>
          <w:top w:w="0" w:type="dxa"/>
          <w:left w:w="0" w:type="dxa"/>
          <w:bottom w:w="0" w:type="dxa"/>
          <w:right w:w="0" w:type="dxa"/>
        </w:tblCellMar>
      </w:tblPr>
      <w:tr>
        <w:trPr>
          <w:trHeight w:val="132"/>
        </w:trPr>
        <w:tc>
          <w:tcPr>
            <w:tcW w:w="10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Page</w:t>
            </w: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 DEFINITIONS AND INCORPORATION BY REFERENCE</w:t>
            </w:r>
          </w:p>
        </w:tc>
        <w:tc>
          <w:tcPr>
            <w:tcW w:w="206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w:t>
            </w:r>
          </w:p>
        </w:tc>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Definitions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1.2.</w:t>
            </w:r>
          </w:p>
        </w:tc>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Other Definitions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1.3.</w:t>
            </w:r>
          </w:p>
        </w:tc>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Incorporation by Reference of Trust Indenture Act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2"/>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1.4.</w:t>
            </w:r>
          </w:p>
        </w:tc>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Rules of Construction</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36"/>
        </w:trPr>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 THE SECURITIES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2.1.</w:t>
            </w:r>
          </w:p>
        </w:tc>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Issuable in Series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2.2.</w:t>
            </w:r>
          </w:p>
        </w:tc>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Establishment of Terms of Series of Securities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2.3.</w:t>
            </w:r>
          </w:p>
        </w:tc>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Execution and Authentication</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2.4.</w:t>
            </w:r>
          </w:p>
        </w:tc>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Registrar, Paying Agent and Notice Agent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2.5.</w:t>
            </w:r>
          </w:p>
        </w:tc>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Paying Agent to Hold Money in Trust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2.6.</w:t>
            </w:r>
          </w:p>
        </w:tc>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Holder Lists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2.7.</w:t>
            </w:r>
          </w:p>
        </w:tc>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Transfer and Exchange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2.8.</w:t>
            </w:r>
          </w:p>
        </w:tc>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Mutilated, Destroyed, Lost and Stolen Securities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2.9.</w:t>
            </w:r>
          </w:p>
        </w:tc>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Outstanding Securities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7"/>
        </w:trPr>
        <w:tc>
          <w:tcPr>
            <w:tcW w:w="6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2.10. Treasury Securities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7"/>
        </w:trPr>
        <w:tc>
          <w:tcPr>
            <w:tcW w:w="6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2.11. Temporary Securities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7"/>
        </w:trPr>
        <w:tc>
          <w:tcPr>
            <w:tcW w:w="6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2.12. Cancellation</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7"/>
        </w:trPr>
        <w:tc>
          <w:tcPr>
            <w:tcW w:w="6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2.13. Defaulted Interest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7"/>
        </w:trPr>
        <w:tc>
          <w:tcPr>
            <w:tcW w:w="6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2.14. Global Securities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2"/>
        </w:trPr>
        <w:tc>
          <w:tcPr>
            <w:tcW w:w="6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2.15. CUSIP Numbers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236"/>
        </w:trPr>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III. REDEMPTION</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7"/>
        </w:trPr>
        <w:tc>
          <w:tcPr>
            <w:tcW w:w="6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3.1.  Notice to Trustee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7"/>
        </w:trPr>
        <w:tc>
          <w:tcPr>
            <w:tcW w:w="6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3.2.  Selection of Securities to be Redeemed</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7"/>
        </w:trPr>
        <w:tc>
          <w:tcPr>
            <w:tcW w:w="6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3.3.  Notice of Redemption</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7"/>
        </w:trPr>
        <w:tc>
          <w:tcPr>
            <w:tcW w:w="6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3.4.  Effect of Notice of Redemption</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7"/>
        </w:trPr>
        <w:tc>
          <w:tcPr>
            <w:tcW w:w="6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3.5.  Deposit of Redemption Price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2"/>
        </w:trPr>
        <w:tc>
          <w:tcPr>
            <w:tcW w:w="6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3.6.  Securities Redeemed in Part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36"/>
        </w:trPr>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IV. COVENANTS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7"/>
        </w:trPr>
        <w:tc>
          <w:tcPr>
            <w:tcW w:w="6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4.1.  Payment of Principal and Interest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4.2.</w:t>
            </w:r>
          </w:p>
        </w:tc>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SEC Reports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4.3.</w:t>
            </w:r>
          </w:p>
        </w:tc>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Compliance Certificate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82"/>
        </w:trPr>
        <w:tc>
          <w:tcPr>
            <w:tcW w:w="6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4.4.  Stay, Extension and Usury Laws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36"/>
        </w:trPr>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 SUCCESSORS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67"/>
        </w:trPr>
        <w:tc>
          <w:tcPr>
            <w:tcW w:w="6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5.1.  When Company May Merge, Etc.</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2"/>
        </w:trPr>
        <w:tc>
          <w:tcPr>
            <w:tcW w:w="6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5.2.  Successor Corporation Substituted</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36"/>
        </w:trPr>
        <w:tc>
          <w:tcPr>
            <w:tcW w:w="6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 DEFAULTS AND REMEDIES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82"/>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6.1.</w:t>
            </w:r>
          </w:p>
        </w:tc>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Events of Default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r>
    </w:tbl>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9019"/>
          </w:cols>
          <w:pgMar w:left="1440" w:top="238" w:right="1440" w:bottom="1440" w:gutter="0" w:footer="0" w:header="0"/>
        </w:sectPr>
      </w:pPr>
    </w:p>
    <w:bookmarkStart w:id="103" w:name="page104"/>
    <w:bookmarkEnd w:id="103"/>
    <w:tbl>
      <w:tblPr>
        <w:tblLayout w:type="fixed"/>
        <w:tblInd w:w="240" w:type="dxa"/>
        <w:tblCellMar>
          <w:top w:w="0" w:type="dxa"/>
          <w:left w:w="0" w:type="dxa"/>
          <w:bottom w:w="0" w:type="dxa"/>
          <w:right w:w="0" w:type="dxa"/>
        </w:tblCellMar>
      </w:tblP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6.2.</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Acceleration of Maturity; Rescission and Annulment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6.3.</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Collection of Indebtedness and Suits for Enforcement by Trustee</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6.4.</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Trustee May File Proofs of Claim</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6.5.</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Trustee May Enforce Claims Without Possession of Securities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6.6.</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Application of Money Collected</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6.7.</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Limitation on Suits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6.8.</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Unconditional Right of Holders to Receive Principal and Interest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6.9.</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Restoration of Rights and Remedies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7"/>
        </w:trPr>
        <w:tc>
          <w:tcPr>
            <w:tcW w:w="65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6.10. Rights and Remedies Cumulative</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7"/>
        </w:trPr>
        <w:tc>
          <w:tcPr>
            <w:tcW w:w="65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6.11. Delay or Omission Not Waiver</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7"/>
        </w:trPr>
        <w:tc>
          <w:tcPr>
            <w:tcW w:w="65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6.12. Control by Holders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7"/>
        </w:trPr>
        <w:tc>
          <w:tcPr>
            <w:tcW w:w="65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6.13. Waiver of Past Defaults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2"/>
        </w:trPr>
        <w:tc>
          <w:tcPr>
            <w:tcW w:w="65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6.14. Undertaking for Costs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236"/>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 TRUSTEE</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7.1.</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Duties of Trustee</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7.2.</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Rights of Trustee</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7.3.</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Individual Rights of Trustee</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7.4.</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Trustee’s Disclaimer</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7.5.</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Notice of Defaults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7.6.</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Reports by Trustee to Holders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7.7.</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Compensation and Indemnity</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7.8.</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Replacement of Trustee</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7.9.</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Successor Trustee by Merger, Etc.</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7"/>
        </w:trPr>
        <w:tc>
          <w:tcPr>
            <w:tcW w:w="65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7.10. Eligibility; Disqualification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2"/>
        </w:trPr>
        <w:tc>
          <w:tcPr>
            <w:tcW w:w="65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7.11. Preferential Collection of Claims Against Company</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36"/>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VIII. SATISFACTION AND DISCHARGE; DEFEASANCE</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8.1.</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Satisfaction and Discharge of Indenture</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8.2.</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Application of Trust Funds; Indemnification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8.3.</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Legal Defeasance of Securities of any Series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8.4.</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Covenant Defeasance</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8.5.</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Repayment to Company</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2"/>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8.6.</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Reinstatement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36"/>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IX. AMENDMENTS AND WAIVERS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9.1.</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Without Consent of Holders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9.2.</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With Consent of Holders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9.3.</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Limitations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9.4.</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Compliance with Trust Indenture Act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9.5.</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Revocation and Effect of Consents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7"/>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9.6.</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Notation on or Exchange of Securities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2"/>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9.7.</w:t>
            </w:r>
          </w:p>
        </w:tc>
        <w:tc>
          <w:tcPr>
            <w:tcW w:w="55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Trustee Protected</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36"/>
        </w:trPr>
        <w:tc>
          <w:tcPr>
            <w:tcW w:w="65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 MISCELLANEOUS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7"/>
        </w:trPr>
        <w:tc>
          <w:tcPr>
            <w:tcW w:w="65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10.1. Trust Indenture Act Controls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2"/>
        </w:trPr>
        <w:tc>
          <w:tcPr>
            <w:tcW w:w="65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10.2. Notices</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9019"/>
          </w:cols>
          <w:pgMar w:left="1440" w:top="240" w:right="1440" w:bottom="1440" w:gutter="0" w:footer="0" w:header="0"/>
        </w:sectPr>
      </w:pPr>
    </w:p>
    <w:bookmarkStart w:id="104" w:name="page105"/>
    <w:bookmarkEnd w:id="104"/>
    <w:tbl>
      <w:tblPr>
        <w:tblLayout w:type="fixed"/>
        <w:tblInd w:w="240" w:type="dxa"/>
        <w:tblCellMar>
          <w:top w:w="0" w:type="dxa"/>
          <w:left w:w="0" w:type="dxa"/>
          <w:bottom w:w="0" w:type="dxa"/>
          <w:right w:w="0" w:type="dxa"/>
        </w:tblCellMar>
      </w:tblPr>
      <w:tr>
        <w:trPr>
          <w:trHeight w:val="167"/>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10.3.</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Communication by Holders with Other Holders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7"/>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10.4.</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Certificate and Opinion as to Conditions Precedent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7"/>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10.5.</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Statements Required in Certificate or Opinion</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7"/>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10.6.</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Rules by Trustee and Agents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7"/>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10.7.</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Legal Holidays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7"/>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10.8.</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 Recourse Against Others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7"/>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10.9.</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Counterparts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7"/>
        </w:trPr>
        <w:tc>
          <w:tcPr>
            <w:tcW w:w="64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10.10. Governing Law; Waiver of Jury Trial; Consent to Jurisdiction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7"/>
        </w:trPr>
        <w:tc>
          <w:tcPr>
            <w:tcW w:w="64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10.11. No Adverse Interpretation of Other Agreements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7"/>
        </w:trPr>
        <w:tc>
          <w:tcPr>
            <w:tcW w:w="64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10.12. Successors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7"/>
        </w:trPr>
        <w:tc>
          <w:tcPr>
            <w:tcW w:w="64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10.13. Severability</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7"/>
        </w:trPr>
        <w:tc>
          <w:tcPr>
            <w:tcW w:w="64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10.14. Table of Contents, Headings, Etc.</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7"/>
        </w:trPr>
        <w:tc>
          <w:tcPr>
            <w:tcW w:w="64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10.15. Securities in a Foreign Currency</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7"/>
        </w:trPr>
        <w:tc>
          <w:tcPr>
            <w:tcW w:w="64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10.16. Judgment Currency</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7"/>
        </w:trPr>
        <w:tc>
          <w:tcPr>
            <w:tcW w:w="64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10.17. Force Majeure</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2"/>
        </w:trPr>
        <w:tc>
          <w:tcPr>
            <w:tcW w:w="64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10.18. U.S.A. Patriot Act</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36"/>
        </w:trPr>
        <w:tc>
          <w:tcPr>
            <w:tcW w:w="6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XI. SINKING FUNDS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67"/>
        </w:trPr>
        <w:tc>
          <w:tcPr>
            <w:tcW w:w="64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11.1.  Applicability of Article</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67"/>
        </w:trPr>
        <w:tc>
          <w:tcPr>
            <w:tcW w:w="64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Section 11.2.  Satisfaction of Sinking Fund Payments with Securities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2"/>
        </w:trPr>
        <w:tc>
          <w:tcPr>
            <w:tcW w:w="1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Section 11.3.</w:t>
            </w:r>
          </w:p>
        </w:tc>
        <w:tc>
          <w:tcPr>
            <w:tcW w:w="5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Redemption of Securities for Sinking Fund</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7202170" cy="3238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4"/>
          <w:szCs w:val="14"/>
          <w:color w:val="auto"/>
        </w:rPr>
        <w:t>iii</w:t>
      </w:r>
    </w:p>
    <w:p>
      <w:pPr>
        <w:sectPr>
          <w:pgSz w:w="11900" w:h="16838" w:orient="portrait"/>
          <w:cols w:equalWidth="0" w:num="1">
            <w:col w:w="9019"/>
          </w:cols>
          <w:pgMar w:left="1440" w:top="240" w:right="1440" w:bottom="1440" w:gutter="0" w:footer="0" w:header="0"/>
        </w:sectPr>
      </w:pPr>
    </w:p>
    <w:bookmarkStart w:id="105" w:name="page106"/>
    <w:bookmarkEnd w:id="105"/>
    <w:tbl>
      <w:tblPr>
        <w:tblLayout w:type="fixed"/>
        <w:tblInd w:w="24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6960" w:type="dxa"/>
            <w:vAlign w:val="bottom"/>
          </w:tcPr>
          <w:p>
            <w:pPr>
              <w:jc w:val="center"/>
              <w:ind w:right="1530"/>
              <w:spacing w:after="0"/>
              <w:rPr>
                <w:sz w:val="20"/>
                <w:szCs w:val="20"/>
                <w:color w:val="auto"/>
              </w:rPr>
            </w:pPr>
            <w:r>
              <w:rPr>
                <w:rFonts w:ascii="Times New Roman" w:cs="Times New Roman" w:eastAsia="Times New Roman" w:hAnsi="Times New Roman"/>
                <w:sz w:val="14"/>
                <w:szCs w:val="14"/>
                <w:b w:val="1"/>
                <w:bCs w:val="1"/>
                <w:color w:val="auto"/>
                <w:w w:val="98"/>
              </w:rPr>
              <w:t>ARDELYX, INC.</w:t>
            </w:r>
          </w:p>
        </w:tc>
      </w:tr>
      <w:tr>
        <w:trPr>
          <w:trHeight w:val="320"/>
        </w:trPr>
        <w:tc>
          <w:tcPr>
            <w:tcW w:w="1580" w:type="dxa"/>
            <w:vAlign w:val="bottom"/>
          </w:tcPr>
          <w:p>
            <w:pPr>
              <w:spacing w:after="0"/>
              <w:rPr>
                <w:sz w:val="24"/>
                <w:szCs w:val="24"/>
                <w:color w:val="auto"/>
              </w:rPr>
            </w:pPr>
          </w:p>
        </w:tc>
        <w:tc>
          <w:tcPr>
            <w:tcW w:w="6960" w:type="dxa"/>
            <w:vAlign w:val="bottom"/>
          </w:tcPr>
          <w:p>
            <w:pPr>
              <w:jc w:val="center"/>
              <w:ind w:right="1530"/>
              <w:spacing w:after="0"/>
              <w:rPr>
                <w:sz w:val="20"/>
                <w:szCs w:val="20"/>
                <w:color w:val="auto"/>
              </w:rPr>
            </w:pPr>
            <w:r>
              <w:rPr>
                <w:rFonts w:ascii="Times New Roman" w:cs="Times New Roman" w:eastAsia="Times New Roman" w:hAnsi="Times New Roman"/>
                <w:sz w:val="14"/>
                <w:szCs w:val="14"/>
                <w:color w:val="auto"/>
                <w:w w:val="99"/>
              </w:rPr>
              <w:t>Reconciliation and tie between Trust Indenture Act of 1939 and</w:t>
            </w:r>
          </w:p>
        </w:tc>
      </w:tr>
      <w:tr>
        <w:trPr>
          <w:trHeight w:val="182"/>
        </w:trPr>
        <w:tc>
          <w:tcPr>
            <w:tcW w:w="1580" w:type="dxa"/>
            <w:vAlign w:val="bottom"/>
          </w:tcPr>
          <w:p>
            <w:pPr>
              <w:spacing w:after="0"/>
              <w:rPr>
                <w:sz w:val="15"/>
                <w:szCs w:val="15"/>
                <w:color w:val="auto"/>
              </w:rPr>
            </w:pPr>
          </w:p>
        </w:tc>
        <w:tc>
          <w:tcPr>
            <w:tcW w:w="6960" w:type="dxa"/>
            <w:vAlign w:val="bottom"/>
          </w:tcPr>
          <w:p>
            <w:pPr>
              <w:jc w:val="center"/>
              <w:ind w:right="1510"/>
              <w:spacing w:after="0"/>
              <w:rPr>
                <w:sz w:val="20"/>
                <w:szCs w:val="20"/>
                <w:color w:val="auto"/>
              </w:rPr>
            </w:pPr>
            <w:r>
              <w:rPr>
                <w:rFonts w:ascii="Times New Roman" w:cs="Times New Roman" w:eastAsia="Times New Roman" w:hAnsi="Times New Roman"/>
                <w:sz w:val="14"/>
                <w:szCs w:val="14"/>
                <w:color w:val="auto"/>
                <w:w w:val="99"/>
              </w:rPr>
              <w:t>Indenture, dated as of ____________, 20__</w:t>
            </w:r>
          </w:p>
        </w:tc>
      </w:tr>
      <w:tr>
        <w:trPr>
          <w:trHeight w:val="188"/>
        </w:trPr>
        <w:tc>
          <w:tcPr>
            <w:tcW w:w="1580" w:type="dxa"/>
            <w:vAlign w:val="bottom"/>
          </w:tcPr>
          <w:p>
            <w:pPr>
              <w:spacing w:after="0"/>
              <w:rPr>
                <w:sz w:val="16"/>
                <w:szCs w:val="16"/>
                <w:color w:val="auto"/>
              </w:rPr>
            </w:pPr>
          </w:p>
        </w:tc>
        <w:tc>
          <w:tcPr>
            <w:tcW w:w="6960" w:type="dxa"/>
            <w:vAlign w:val="bottom"/>
          </w:tcPr>
          <w:p>
            <w:pPr>
              <w:spacing w:after="0"/>
              <w:rPr>
                <w:sz w:val="16"/>
                <w:szCs w:val="16"/>
                <w:color w:val="auto"/>
              </w:rPr>
            </w:pPr>
          </w:p>
        </w:tc>
      </w:tr>
      <w:tr>
        <w:trPr>
          <w:trHeight w:val="167"/>
        </w:trPr>
        <w:tc>
          <w:tcPr>
            <w:tcW w:w="15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 310(a)(1)</w:t>
            </w:r>
          </w:p>
        </w:tc>
        <w:tc>
          <w:tcPr>
            <w:tcW w:w="6960" w:type="dxa"/>
            <w:vAlign w:val="bottom"/>
            <w:shd w:val="clear" w:color="auto" w:fill="CCEEFF"/>
          </w:tcPr>
          <w:p>
            <w:pPr>
              <w:ind w:left="5760"/>
              <w:spacing w:after="0"/>
              <w:rPr>
                <w:sz w:val="20"/>
                <w:szCs w:val="20"/>
                <w:color w:val="auto"/>
              </w:rPr>
            </w:pPr>
            <w:r>
              <w:rPr>
                <w:rFonts w:ascii="Times New Roman" w:cs="Times New Roman" w:eastAsia="Times New Roman" w:hAnsi="Times New Roman"/>
                <w:sz w:val="14"/>
                <w:szCs w:val="14"/>
                <w:color w:val="auto"/>
              </w:rPr>
              <w:t>7.10</w:t>
            </w:r>
          </w:p>
        </w:tc>
      </w:tr>
      <w:tr>
        <w:trPr>
          <w:trHeight w:val="167"/>
        </w:trPr>
        <w:tc>
          <w:tcPr>
            <w:tcW w:w="1580" w:type="dxa"/>
            <w:vAlign w:val="bottom"/>
          </w:tcPr>
          <w:p>
            <w:pPr>
              <w:jc w:val="right"/>
              <w:ind w:right="830"/>
              <w:spacing w:after="0"/>
              <w:rPr>
                <w:sz w:val="20"/>
                <w:szCs w:val="20"/>
                <w:color w:val="auto"/>
              </w:rPr>
            </w:pPr>
            <w:r>
              <w:rPr>
                <w:rFonts w:ascii="Times New Roman" w:cs="Times New Roman" w:eastAsia="Times New Roman" w:hAnsi="Times New Roman"/>
                <w:sz w:val="14"/>
                <w:szCs w:val="14"/>
                <w:color w:val="auto"/>
              </w:rPr>
              <w:t>(a)(2)</w:t>
            </w:r>
          </w:p>
        </w:tc>
        <w:tc>
          <w:tcPr>
            <w:tcW w:w="6960" w:type="dxa"/>
            <w:vAlign w:val="bottom"/>
          </w:tcPr>
          <w:p>
            <w:pPr>
              <w:ind w:left="5760"/>
              <w:spacing w:after="0"/>
              <w:rPr>
                <w:sz w:val="20"/>
                <w:szCs w:val="20"/>
                <w:color w:val="auto"/>
              </w:rPr>
            </w:pPr>
            <w:r>
              <w:rPr>
                <w:rFonts w:ascii="Times New Roman" w:cs="Times New Roman" w:eastAsia="Times New Roman" w:hAnsi="Times New Roman"/>
                <w:sz w:val="14"/>
                <w:szCs w:val="14"/>
                <w:color w:val="auto"/>
              </w:rPr>
              <w:t>7.10</w:t>
            </w:r>
          </w:p>
        </w:tc>
      </w:tr>
      <w:tr>
        <w:trPr>
          <w:trHeight w:val="167"/>
        </w:trPr>
        <w:tc>
          <w:tcPr>
            <w:tcW w:w="15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(a)(3)</w:t>
            </w:r>
          </w:p>
        </w:tc>
        <w:tc>
          <w:tcPr>
            <w:tcW w:w="6960" w:type="dxa"/>
            <w:vAlign w:val="bottom"/>
            <w:shd w:val="clear" w:color="auto" w:fill="CCEEFF"/>
          </w:tcPr>
          <w:p>
            <w:pPr>
              <w:ind w:left="576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7"/>
        </w:trPr>
        <w:tc>
          <w:tcPr>
            <w:tcW w:w="1580" w:type="dxa"/>
            <w:vAlign w:val="bottom"/>
          </w:tcPr>
          <w:p>
            <w:pPr>
              <w:jc w:val="right"/>
              <w:ind w:right="830"/>
              <w:spacing w:after="0"/>
              <w:rPr>
                <w:sz w:val="20"/>
                <w:szCs w:val="20"/>
                <w:color w:val="auto"/>
              </w:rPr>
            </w:pPr>
            <w:r>
              <w:rPr>
                <w:rFonts w:ascii="Times New Roman" w:cs="Times New Roman" w:eastAsia="Times New Roman" w:hAnsi="Times New Roman"/>
                <w:sz w:val="14"/>
                <w:szCs w:val="14"/>
                <w:color w:val="auto"/>
              </w:rPr>
              <w:t>(a)(4)</w:t>
            </w:r>
          </w:p>
        </w:tc>
        <w:tc>
          <w:tcPr>
            <w:tcW w:w="6960" w:type="dxa"/>
            <w:vAlign w:val="bottom"/>
          </w:tcPr>
          <w:p>
            <w:pPr>
              <w:ind w:left="576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7"/>
        </w:trPr>
        <w:tc>
          <w:tcPr>
            <w:tcW w:w="15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(a)(5)</w:t>
            </w:r>
          </w:p>
        </w:tc>
        <w:tc>
          <w:tcPr>
            <w:tcW w:w="6960" w:type="dxa"/>
            <w:vAlign w:val="bottom"/>
            <w:shd w:val="clear" w:color="auto" w:fill="CCEEFF"/>
          </w:tcPr>
          <w:p>
            <w:pPr>
              <w:ind w:left="5760"/>
              <w:spacing w:after="0"/>
              <w:rPr>
                <w:sz w:val="20"/>
                <w:szCs w:val="20"/>
                <w:color w:val="auto"/>
              </w:rPr>
            </w:pPr>
            <w:r>
              <w:rPr>
                <w:rFonts w:ascii="Times New Roman" w:cs="Times New Roman" w:eastAsia="Times New Roman" w:hAnsi="Times New Roman"/>
                <w:sz w:val="14"/>
                <w:szCs w:val="14"/>
                <w:color w:val="auto"/>
              </w:rPr>
              <w:t>7.10</w:t>
            </w:r>
          </w:p>
        </w:tc>
      </w:tr>
      <w:tr>
        <w:trPr>
          <w:trHeight w:val="167"/>
        </w:trPr>
        <w:tc>
          <w:tcPr>
            <w:tcW w:w="1580" w:type="dxa"/>
            <w:vAlign w:val="bottom"/>
          </w:tcPr>
          <w:p>
            <w:pPr>
              <w:jc w:val="right"/>
              <w:ind w:right="830"/>
              <w:spacing w:after="0"/>
              <w:rPr>
                <w:sz w:val="20"/>
                <w:szCs w:val="20"/>
                <w:color w:val="auto"/>
              </w:rPr>
            </w:pPr>
            <w:r>
              <w:rPr>
                <w:rFonts w:ascii="Times New Roman" w:cs="Times New Roman" w:eastAsia="Times New Roman" w:hAnsi="Times New Roman"/>
                <w:sz w:val="14"/>
                <w:szCs w:val="14"/>
                <w:color w:val="auto"/>
              </w:rPr>
              <w:t>(b)</w:t>
            </w:r>
          </w:p>
        </w:tc>
        <w:tc>
          <w:tcPr>
            <w:tcW w:w="6960" w:type="dxa"/>
            <w:vAlign w:val="bottom"/>
          </w:tcPr>
          <w:p>
            <w:pPr>
              <w:ind w:left="5760"/>
              <w:spacing w:after="0"/>
              <w:rPr>
                <w:sz w:val="20"/>
                <w:szCs w:val="20"/>
                <w:color w:val="auto"/>
              </w:rPr>
            </w:pPr>
            <w:r>
              <w:rPr>
                <w:rFonts w:ascii="Times New Roman" w:cs="Times New Roman" w:eastAsia="Times New Roman" w:hAnsi="Times New Roman"/>
                <w:sz w:val="14"/>
                <w:szCs w:val="14"/>
                <w:color w:val="auto"/>
              </w:rPr>
              <w:t>7.10</w:t>
            </w:r>
          </w:p>
        </w:tc>
      </w:tr>
      <w:tr>
        <w:trPr>
          <w:trHeight w:val="167"/>
        </w:trPr>
        <w:tc>
          <w:tcPr>
            <w:tcW w:w="15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 311(a)</w:t>
            </w:r>
          </w:p>
        </w:tc>
        <w:tc>
          <w:tcPr>
            <w:tcW w:w="6960" w:type="dxa"/>
            <w:vAlign w:val="bottom"/>
            <w:shd w:val="clear" w:color="auto" w:fill="CCEEFF"/>
          </w:tcPr>
          <w:p>
            <w:pPr>
              <w:ind w:left="5760"/>
              <w:spacing w:after="0"/>
              <w:rPr>
                <w:sz w:val="20"/>
                <w:szCs w:val="20"/>
                <w:color w:val="auto"/>
              </w:rPr>
            </w:pPr>
            <w:r>
              <w:rPr>
                <w:rFonts w:ascii="Times New Roman" w:cs="Times New Roman" w:eastAsia="Times New Roman" w:hAnsi="Times New Roman"/>
                <w:sz w:val="14"/>
                <w:szCs w:val="14"/>
                <w:color w:val="auto"/>
              </w:rPr>
              <w:t>7.11</w:t>
            </w:r>
          </w:p>
        </w:tc>
      </w:tr>
      <w:tr>
        <w:trPr>
          <w:trHeight w:val="167"/>
        </w:trPr>
        <w:tc>
          <w:tcPr>
            <w:tcW w:w="1580" w:type="dxa"/>
            <w:vAlign w:val="bottom"/>
          </w:tcPr>
          <w:p>
            <w:pPr>
              <w:jc w:val="right"/>
              <w:ind w:right="830"/>
              <w:spacing w:after="0"/>
              <w:rPr>
                <w:sz w:val="20"/>
                <w:szCs w:val="20"/>
                <w:color w:val="auto"/>
              </w:rPr>
            </w:pPr>
            <w:r>
              <w:rPr>
                <w:rFonts w:ascii="Times New Roman" w:cs="Times New Roman" w:eastAsia="Times New Roman" w:hAnsi="Times New Roman"/>
                <w:sz w:val="14"/>
                <w:szCs w:val="14"/>
                <w:color w:val="auto"/>
              </w:rPr>
              <w:t>(b)</w:t>
            </w:r>
          </w:p>
        </w:tc>
        <w:tc>
          <w:tcPr>
            <w:tcW w:w="6960" w:type="dxa"/>
            <w:vAlign w:val="bottom"/>
          </w:tcPr>
          <w:p>
            <w:pPr>
              <w:ind w:left="5760"/>
              <w:spacing w:after="0"/>
              <w:rPr>
                <w:sz w:val="20"/>
                <w:szCs w:val="20"/>
                <w:color w:val="auto"/>
              </w:rPr>
            </w:pPr>
            <w:r>
              <w:rPr>
                <w:rFonts w:ascii="Times New Roman" w:cs="Times New Roman" w:eastAsia="Times New Roman" w:hAnsi="Times New Roman"/>
                <w:sz w:val="14"/>
                <w:szCs w:val="14"/>
                <w:color w:val="auto"/>
              </w:rPr>
              <w:t>7.11</w:t>
            </w:r>
          </w:p>
        </w:tc>
      </w:tr>
      <w:tr>
        <w:trPr>
          <w:trHeight w:val="167"/>
        </w:trPr>
        <w:tc>
          <w:tcPr>
            <w:tcW w:w="15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(c)</w:t>
            </w:r>
          </w:p>
        </w:tc>
        <w:tc>
          <w:tcPr>
            <w:tcW w:w="6960" w:type="dxa"/>
            <w:vAlign w:val="bottom"/>
            <w:shd w:val="clear" w:color="auto" w:fill="CCEEFF"/>
          </w:tcPr>
          <w:p>
            <w:pPr>
              <w:ind w:left="576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7"/>
        </w:trPr>
        <w:tc>
          <w:tcPr>
            <w:tcW w:w="1580" w:type="dxa"/>
            <w:vAlign w:val="bottom"/>
          </w:tcPr>
          <w:p>
            <w:pPr>
              <w:jc w:val="right"/>
              <w:ind w:right="830"/>
              <w:spacing w:after="0"/>
              <w:rPr>
                <w:sz w:val="20"/>
                <w:szCs w:val="20"/>
                <w:color w:val="auto"/>
              </w:rPr>
            </w:pPr>
            <w:r>
              <w:rPr>
                <w:rFonts w:ascii="Times New Roman" w:cs="Times New Roman" w:eastAsia="Times New Roman" w:hAnsi="Times New Roman"/>
                <w:sz w:val="14"/>
                <w:szCs w:val="14"/>
                <w:color w:val="auto"/>
              </w:rPr>
              <w:t>§ 312(a)</w:t>
            </w:r>
          </w:p>
        </w:tc>
        <w:tc>
          <w:tcPr>
            <w:tcW w:w="6960" w:type="dxa"/>
            <w:vAlign w:val="bottom"/>
          </w:tcPr>
          <w:p>
            <w:pPr>
              <w:ind w:left="5760"/>
              <w:spacing w:after="0"/>
              <w:rPr>
                <w:sz w:val="20"/>
                <w:szCs w:val="20"/>
                <w:color w:val="auto"/>
              </w:rPr>
            </w:pPr>
            <w:r>
              <w:rPr>
                <w:rFonts w:ascii="Times New Roman" w:cs="Times New Roman" w:eastAsia="Times New Roman" w:hAnsi="Times New Roman"/>
                <w:sz w:val="14"/>
                <w:szCs w:val="14"/>
                <w:color w:val="auto"/>
              </w:rPr>
              <w:t>2.6</w:t>
            </w:r>
          </w:p>
        </w:tc>
      </w:tr>
      <w:tr>
        <w:trPr>
          <w:trHeight w:val="167"/>
        </w:trPr>
        <w:tc>
          <w:tcPr>
            <w:tcW w:w="15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(b)</w:t>
            </w:r>
          </w:p>
        </w:tc>
        <w:tc>
          <w:tcPr>
            <w:tcW w:w="6960" w:type="dxa"/>
            <w:vAlign w:val="bottom"/>
            <w:shd w:val="clear" w:color="auto" w:fill="CCEEFF"/>
          </w:tcPr>
          <w:p>
            <w:pPr>
              <w:ind w:left="5760"/>
              <w:spacing w:after="0"/>
              <w:rPr>
                <w:sz w:val="20"/>
                <w:szCs w:val="20"/>
                <w:color w:val="auto"/>
              </w:rPr>
            </w:pPr>
            <w:r>
              <w:rPr>
                <w:rFonts w:ascii="Times New Roman" w:cs="Times New Roman" w:eastAsia="Times New Roman" w:hAnsi="Times New Roman"/>
                <w:sz w:val="14"/>
                <w:szCs w:val="14"/>
                <w:color w:val="auto"/>
              </w:rPr>
              <w:t>10.3</w:t>
            </w:r>
          </w:p>
        </w:tc>
      </w:tr>
      <w:tr>
        <w:trPr>
          <w:trHeight w:val="167"/>
        </w:trPr>
        <w:tc>
          <w:tcPr>
            <w:tcW w:w="1580" w:type="dxa"/>
            <w:vAlign w:val="bottom"/>
          </w:tcPr>
          <w:p>
            <w:pPr>
              <w:jc w:val="right"/>
              <w:ind w:right="830"/>
              <w:spacing w:after="0"/>
              <w:rPr>
                <w:sz w:val="20"/>
                <w:szCs w:val="20"/>
                <w:color w:val="auto"/>
              </w:rPr>
            </w:pPr>
            <w:r>
              <w:rPr>
                <w:rFonts w:ascii="Times New Roman" w:cs="Times New Roman" w:eastAsia="Times New Roman" w:hAnsi="Times New Roman"/>
                <w:sz w:val="14"/>
                <w:szCs w:val="14"/>
                <w:color w:val="auto"/>
              </w:rPr>
              <w:t>(c)</w:t>
            </w:r>
          </w:p>
        </w:tc>
        <w:tc>
          <w:tcPr>
            <w:tcW w:w="6960" w:type="dxa"/>
            <w:vAlign w:val="bottom"/>
          </w:tcPr>
          <w:p>
            <w:pPr>
              <w:ind w:left="5760"/>
              <w:spacing w:after="0"/>
              <w:rPr>
                <w:sz w:val="20"/>
                <w:szCs w:val="20"/>
                <w:color w:val="auto"/>
              </w:rPr>
            </w:pPr>
            <w:r>
              <w:rPr>
                <w:rFonts w:ascii="Times New Roman" w:cs="Times New Roman" w:eastAsia="Times New Roman" w:hAnsi="Times New Roman"/>
                <w:sz w:val="14"/>
                <w:szCs w:val="14"/>
                <w:color w:val="auto"/>
              </w:rPr>
              <w:t>10.3</w:t>
            </w:r>
          </w:p>
        </w:tc>
      </w:tr>
      <w:tr>
        <w:trPr>
          <w:trHeight w:val="167"/>
        </w:trPr>
        <w:tc>
          <w:tcPr>
            <w:tcW w:w="15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 313(a)</w:t>
            </w:r>
          </w:p>
        </w:tc>
        <w:tc>
          <w:tcPr>
            <w:tcW w:w="6960" w:type="dxa"/>
            <w:vAlign w:val="bottom"/>
            <w:shd w:val="clear" w:color="auto" w:fill="CCEEFF"/>
          </w:tcPr>
          <w:p>
            <w:pPr>
              <w:ind w:left="5760"/>
              <w:spacing w:after="0"/>
              <w:rPr>
                <w:sz w:val="20"/>
                <w:szCs w:val="20"/>
                <w:color w:val="auto"/>
              </w:rPr>
            </w:pPr>
            <w:r>
              <w:rPr>
                <w:rFonts w:ascii="Times New Roman" w:cs="Times New Roman" w:eastAsia="Times New Roman" w:hAnsi="Times New Roman"/>
                <w:sz w:val="14"/>
                <w:szCs w:val="14"/>
                <w:color w:val="auto"/>
              </w:rPr>
              <w:t>7.6</w:t>
            </w:r>
          </w:p>
        </w:tc>
      </w:tr>
      <w:tr>
        <w:trPr>
          <w:trHeight w:val="167"/>
        </w:trPr>
        <w:tc>
          <w:tcPr>
            <w:tcW w:w="1580" w:type="dxa"/>
            <w:vAlign w:val="bottom"/>
          </w:tcPr>
          <w:p>
            <w:pPr>
              <w:jc w:val="right"/>
              <w:ind w:right="830"/>
              <w:spacing w:after="0"/>
              <w:rPr>
                <w:sz w:val="20"/>
                <w:szCs w:val="20"/>
                <w:color w:val="auto"/>
              </w:rPr>
            </w:pPr>
            <w:r>
              <w:rPr>
                <w:rFonts w:ascii="Times New Roman" w:cs="Times New Roman" w:eastAsia="Times New Roman" w:hAnsi="Times New Roman"/>
                <w:sz w:val="14"/>
                <w:szCs w:val="14"/>
                <w:color w:val="auto"/>
              </w:rPr>
              <w:t>(b)(1)</w:t>
            </w:r>
          </w:p>
        </w:tc>
        <w:tc>
          <w:tcPr>
            <w:tcW w:w="6960" w:type="dxa"/>
            <w:vAlign w:val="bottom"/>
          </w:tcPr>
          <w:p>
            <w:pPr>
              <w:ind w:left="5760"/>
              <w:spacing w:after="0"/>
              <w:rPr>
                <w:sz w:val="20"/>
                <w:szCs w:val="20"/>
                <w:color w:val="auto"/>
              </w:rPr>
            </w:pPr>
            <w:r>
              <w:rPr>
                <w:rFonts w:ascii="Times New Roman" w:cs="Times New Roman" w:eastAsia="Times New Roman" w:hAnsi="Times New Roman"/>
                <w:sz w:val="14"/>
                <w:szCs w:val="14"/>
                <w:color w:val="auto"/>
              </w:rPr>
              <w:t>7.6</w:t>
            </w:r>
          </w:p>
        </w:tc>
      </w:tr>
      <w:tr>
        <w:trPr>
          <w:trHeight w:val="167"/>
        </w:trPr>
        <w:tc>
          <w:tcPr>
            <w:tcW w:w="15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(b)(2)</w:t>
            </w:r>
          </w:p>
        </w:tc>
        <w:tc>
          <w:tcPr>
            <w:tcW w:w="6960" w:type="dxa"/>
            <w:vAlign w:val="bottom"/>
            <w:shd w:val="clear" w:color="auto" w:fill="CCEEFF"/>
          </w:tcPr>
          <w:p>
            <w:pPr>
              <w:ind w:left="5760"/>
              <w:spacing w:after="0"/>
              <w:rPr>
                <w:sz w:val="20"/>
                <w:szCs w:val="20"/>
                <w:color w:val="auto"/>
              </w:rPr>
            </w:pPr>
            <w:r>
              <w:rPr>
                <w:rFonts w:ascii="Times New Roman" w:cs="Times New Roman" w:eastAsia="Times New Roman" w:hAnsi="Times New Roman"/>
                <w:sz w:val="14"/>
                <w:szCs w:val="14"/>
                <w:color w:val="auto"/>
              </w:rPr>
              <w:t>7.6</w:t>
            </w:r>
          </w:p>
        </w:tc>
      </w:tr>
      <w:tr>
        <w:trPr>
          <w:trHeight w:val="167"/>
        </w:trPr>
        <w:tc>
          <w:tcPr>
            <w:tcW w:w="1580" w:type="dxa"/>
            <w:vAlign w:val="bottom"/>
          </w:tcPr>
          <w:p>
            <w:pPr>
              <w:jc w:val="right"/>
              <w:ind w:right="830"/>
              <w:spacing w:after="0"/>
              <w:rPr>
                <w:sz w:val="20"/>
                <w:szCs w:val="20"/>
                <w:color w:val="auto"/>
              </w:rPr>
            </w:pPr>
            <w:r>
              <w:rPr>
                <w:rFonts w:ascii="Times New Roman" w:cs="Times New Roman" w:eastAsia="Times New Roman" w:hAnsi="Times New Roman"/>
                <w:sz w:val="14"/>
                <w:szCs w:val="14"/>
                <w:color w:val="auto"/>
              </w:rPr>
              <w:t>(c)(1)</w:t>
            </w:r>
          </w:p>
        </w:tc>
        <w:tc>
          <w:tcPr>
            <w:tcW w:w="6960" w:type="dxa"/>
            <w:vAlign w:val="bottom"/>
          </w:tcPr>
          <w:p>
            <w:pPr>
              <w:ind w:left="5760"/>
              <w:spacing w:after="0"/>
              <w:rPr>
                <w:sz w:val="20"/>
                <w:szCs w:val="20"/>
                <w:color w:val="auto"/>
              </w:rPr>
            </w:pPr>
            <w:r>
              <w:rPr>
                <w:rFonts w:ascii="Times New Roman" w:cs="Times New Roman" w:eastAsia="Times New Roman" w:hAnsi="Times New Roman"/>
                <w:sz w:val="14"/>
                <w:szCs w:val="14"/>
                <w:color w:val="auto"/>
              </w:rPr>
              <w:t>7.6</w:t>
            </w:r>
          </w:p>
        </w:tc>
      </w:tr>
      <w:tr>
        <w:trPr>
          <w:trHeight w:val="167"/>
        </w:trPr>
        <w:tc>
          <w:tcPr>
            <w:tcW w:w="15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(d)</w:t>
            </w:r>
          </w:p>
        </w:tc>
        <w:tc>
          <w:tcPr>
            <w:tcW w:w="6960" w:type="dxa"/>
            <w:vAlign w:val="bottom"/>
            <w:shd w:val="clear" w:color="auto" w:fill="CCEEFF"/>
          </w:tcPr>
          <w:p>
            <w:pPr>
              <w:ind w:left="5760"/>
              <w:spacing w:after="0"/>
              <w:rPr>
                <w:sz w:val="20"/>
                <w:szCs w:val="20"/>
                <w:color w:val="auto"/>
              </w:rPr>
            </w:pPr>
            <w:r>
              <w:rPr>
                <w:rFonts w:ascii="Times New Roman" w:cs="Times New Roman" w:eastAsia="Times New Roman" w:hAnsi="Times New Roman"/>
                <w:sz w:val="14"/>
                <w:szCs w:val="14"/>
                <w:color w:val="auto"/>
              </w:rPr>
              <w:t>7.6</w:t>
            </w:r>
          </w:p>
        </w:tc>
      </w:tr>
      <w:tr>
        <w:trPr>
          <w:trHeight w:val="167"/>
        </w:trPr>
        <w:tc>
          <w:tcPr>
            <w:tcW w:w="1580" w:type="dxa"/>
            <w:vAlign w:val="bottom"/>
          </w:tcPr>
          <w:p>
            <w:pPr>
              <w:jc w:val="right"/>
              <w:ind w:right="830"/>
              <w:spacing w:after="0"/>
              <w:rPr>
                <w:sz w:val="20"/>
                <w:szCs w:val="20"/>
                <w:color w:val="auto"/>
              </w:rPr>
            </w:pPr>
            <w:r>
              <w:rPr>
                <w:rFonts w:ascii="Times New Roman" w:cs="Times New Roman" w:eastAsia="Times New Roman" w:hAnsi="Times New Roman"/>
                <w:sz w:val="14"/>
                <w:szCs w:val="14"/>
                <w:color w:val="auto"/>
              </w:rPr>
              <w:t>§ 314(a)</w:t>
            </w:r>
          </w:p>
        </w:tc>
        <w:tc>
          <w:tcPr>
            <w:tcW w:w="6960" w:type="dxa"/>
            <w:vAlign w:val="bottom"/>
          </w:tcPr>
          <w:p>
            <w:pPr>
              <w:ind w:left="5760"/>
              <w:spacing w:after="0"/>
              <w:rPr>
                <w:sz w:val="20"/>
                <w:szCs w:val="20"/>
                <w:color w:val="auto"/>
              </w:rPr>
            </w:pPr>
            <w:r>
              <w:rPr>
                <w:rFonts w:ascii="Times New Roman" w:cs="Times New Roman" w:eastAsia="Times New Roman" w:hAnsi="Times New Roman"/>
                <w:sz w:val="14"/>
                <w:szCs w:val="14"/>
                <w:color w:val="auto"/>
              </w:rPr>
              <w:t>4.2, 10.5</w:t>
            </w:r>
          </w:p>
        </w:tc>
      </w:tr>
      <w:tr>
        <w:trPr>
          <w:trHeight w:val="167"/>
        </w:trPr>
        <w:tc>
          <w:tcPr>
            <w:tcW w:w="15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(b)</w:t>
            </w:r>
          </w:p>
        </w:tc>
        <w:tc>
          <w:tcPr>
            <w:tcW w:w="6960" w:type="dxa"/>
            <w:vAlign w:val="bottom"/>
            <w:shd w:val="clear" w:color="auto" w:fill="CCEEFF"/>
          </w:tcPr>
          <w:p>
            <w:pPr>
              <w:ind w:left="576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7"/>
        </w:trPr>
        <w:tc>
          <w:tcPr>
            <w:tcW w:w="1580" w:type="dxa"/>
            <w:vAlign w:val="bottom"/>
          </w:tcPr>
          <w:p>
            <w:pPr>
              <w:jc w:val="right"/>
              <w:ind w:right="830"/>
              <w:spacing w:after="0"/>
              <w:rPr>
                <w:sz w:val="20"/>
                <w:szCs w:val="20"/>
                <w:color w:val="auto"/>
              </w:rPr>
            </w:pPr>
            <w:r>
              <w:rPr>
                <w:rFonts w:ascii="Times New Roman" w:cs="Times New Roman" w:eastAsia="Times New Roman" w:hAnsi="Times New Roman"/>
                <w:sz w:val="14"/>
                <w:szCs w:val="14"/>
                <w:color w:val="auto"/>
              </w:rPr>
              <w:t>(c)(1)</w:t>
            </w:r>
          </w:p>
        </w:tc>
        <w:tc>
          <w:tcPr>
            <w:tcW w:w="6960" w:type="dxa"/>
            <w:vAlign w:val="bottom"/>
          </w:tcPr>
          <w:p>
            <w:pPr>
              <w:ind w:left="5760"/>
              <w:spacing w:after="0"/>
              <w:rPr>
                <w:sz w:val="20"/>
                <w:szCs w:val="20"/>
                <w:color w:val="auto"/>
              </w:rPr>
            </w:pPr>
            <w:r>
              <w:rPr>
                <w:rFonts w:ascii="Times New Roman" w:cs="Times New Roman" w:eastAsia="Times New Roman" w:hAnsi="Times New Roman"/>
                <w:sz w:val="14"/>
                <w:szCs w:val="14"/>
                <w:color w:val="auto"/>
              </w:rPr>
              <w:t>10.4</w:t>
            </w:r>
          </w:p>
        </w:tc>
      </w:tr>
      <w:tr>
        <w:trPr>
          <w:trHeight w:val="167"/>
        </w:trPr>
        <w:tc>
          <w:tcPr>
            <w:tcW w:w="15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(c)(2)</w:t>
            </w:r>
          </w:p>
        </w:tc>
        <w:tc>
          <w:tcPr>
            <w:tcW w:w="6960" w:type="dxa"/>
            <w:vAlign w:val="bottom"/>
            <w:shd w:val="clear" w:color="auto" w:fill="CCEEFF"/>
          </w:tcPr>
          <w:p>
            <w:pPr>
              <w:ind w:left="5760"/>
              <w:spacing w:after="0"/>
              <w:rPr>
                <w:sz w:val="20"/>
                <w:szCs w:val="20"/>
                <w:color w:val="auto"/>
              </w:rPr>
            </w:pPr>
            <w:r>
              <w:rPr>
                <w:rFonts w:ascii="Times New Roman" w:cs="Times New Roman" w:eastAsia="Times New Roman" w:hAnsi="Times New Roman"/>
                <w:sz w:val="14"/>
                <w:szCs w:val="14"/>
                <w:color w:val="auto"/>
              </w:rPr>
              <w:t>10.4</w:t>
            </w:r>
          </w:p>
        </w:tc>
      </w:tr>
      <w:tr>
        <w:trPr>
          <w:trHeight w:val="167"/>
        </w:trPr>
        <w:tc>
          <w:tcPr>
            <w:tcW w:w="1580" w:type="dxa"/>
            <w:vAlign w:val="bottom"/>
          </w:tcPr>
          <w:p>
            <w:pPr>
              <w:jc w:val="right"/>
              <w:ind w:right="830"/>
              <w:spacing w:after="0"/>
              <w:rPr>
                <w:sz w:val="20"/>
                <w:szCs w:val="20"/>
                <w:color w:val="auto"/>
              </w:rPr>
            </w:pPr>
            <w:r>
              <w:rPr>
                <w:rFonts w:ascii="Times New Roman" w:cs="Times New Roman" w:eastAsia="Times New Roman" w:hAnsi="Times New Roman"/>
                <w:sz w:val="14"/>
                <w:szCs w:val="14"/>
                <w:color w:val="auto"/>
              </w:rPr>
              <w:t>(c)(3)</w:t>
            </w:r>
          </w:p>
        </w:tc>
        <w:tc>
          <w:tcPr>
            <w:tcW w:w="6960" w:type="dxa"/>
            <w:vAlign w:val="bottom"/>
          </w:tcPr>
          <w:p>
            <w:pPr>
              <w:ind w:left="576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7"/>
        </w:trPr>
        <w:tc>
          <w:tcPr>
            <w:tcW w:w="15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(d)</w:t>
            </w:r>
          </w:p>
        </w:tc>
        <w:tc>
          <w:tcPr>
            <w:tcW w:w="6960" w:type="dxa"/>
            <w:vAlign w:val="bottom"/>
            <w:shd w:val="clear" w:color="auto" w:fill="CCEEFF"/>
          </w:tcPr>
          <w:p>
            <w:pPr>
              <w:ind w:left="576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7"/>
        </w:trPr>
        <w:tc>
          <w:tcPr>
            <w:tcW w:w="1580" w:type="dxa"/>
            <w:vAlign w:val="bottom"/>
          </w:tcPr>
          <w:p>
            <w:pPr>
              <w:jc w:val="right"/>
              <w:ind w:right="830"/>
              <w:spacing w:after="0"/>
              <w:rPr>
                <w:sz w:val="20"/>
                <w:szCs w:val="20"/>
                <w:color w:val="auto"/>
              </w:rPr>
            </w:pPr>
            <w:r>
              <w:rPr>
                <w:rFonts w:ascii="Times New Roman" w:cs="Times New Roman" w:eastAsia="Times New Roman" w:hAnsi="Times New Roman"/>
                <w:sz w:val="14"/>
                <w:szCs w:val="14"/>
                <w:color w:val="auto"/>
              </w:rPr>
              <w:t>(e)</w:t>
            </w:r>
          </w:p>
        </w:tc>
        <w:tc>
          <w:tcPr>
            <w:tcW w:w="6960" w:type="dxa"/>
            <w:vAlign w:val="bottom"/>
          </w:tcPr>
          <w:p>
            <w:pPr>
              <w:ind w:left="5760"/>
              <w:spacing w:after="0"/>
              <w:rPr>
                <w:sz w:val="20"/>
                <w:szCs w:val="20"/>
                <w:color w:val="auto"/>
              </w:rPr>
            </w:pPr>
            <w:r>
              <w:rPr>
                <w:rFonts w:ascii="Times New Roman" w:cs="Times New Roman" w:eastAsia="Times New Roman" w:hAnsi="Times New Roman"/>
                <w:sz w:val="14"/>
                <w:szCs w:val="14"/>
                <w:color w:val="auto"/>
              </w:rPr>
              <w:t>10.5</w:t>
            </w:r>
          </w:p>
        </w:tc>
      </w:tr>
      <w:tr>
        <w:trPr>
          <w:trHeight w:val="167"/>
        </w:trPr>
        <w:tc>
          <w:tcPr>
            <w:tcW w:w="15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(f)</w:t>
            </w:r>
          </w:p>
        </w:tc>
        <w:tc>
          <w:tcPr>
            <w:tcW w:w="6960" w:type="dxa"/>
            <w:vAlign w:val="bottom"/>
            <w:shd w:val="clear" w:color="auto" w:fill="CCEEFF"/>
          </w:tcPr>
          <w:p>
            <w:pPr>
              <w:ind w:left="576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7"/>
        </w:trPr>
        <w:tc>
          <w:tcPr>
            <w:tcW w:w="1580" w:type="dxa"/>
            <w:vAlign w:val="bottom"/>
          </w:tcPr>
          <w:p>
            <w:pPr>
              <w:jc w:val="right"/>
              <w:ind w:right="830"/>
              <w:spacing w:after="0"/>
              <w:rPr>
                <w:sz w:val="20"/>
                <w:szCs w:val="20"/>
                <w:color w:val="auto"/>
              </w:rPr>
            </w:pPr>
            <w:r>
              <w:rPr>
                <w:rFonts w:ascii="Times New Roman" w:cs="Times New Roman" w:eastAsia="Times New Roman" w:hAnsi="Times New Roman"/>
                <w:sz w:val="14"/>
                <w:szCs w:val="14"/>
                <w:color w:val="auto"/>
              </w:rPr>
              <w:t>§ 315(a)</w:t>
            </w:r>
          </w:p>
        </w:tc>
        <w:tc>
          <w:tcPr>
            <w:tcW w:w="6960" w:type="dxa"/>
            <w:vAlign w:val="bottom"/>
          </w:tcPr>
          <w:p>
            <w:pPr>
              <w:ind w:left="5760"/>
              <w:spacing w:after="0"/>
              <w:rPr>
                <w:sz w:val="20"/>
                <w:szCs w:val="20"/>
                <w:color w:val="auto"/>
              </w:rPr>
            </w:pPr>
            <w:r>
              <w:rPr>
                <w:rFonts w:ascii="Times New Roman" w:cs="Times New Roman" w:eastAsia="Times New Roman" w:hAnsi="Times New Roman"/>
                <w:sz w:val="14"/>
                <w:szCs w:val="14"/>
                <w:color w:val="auto"/>
              </w:rPr>
              <w:t>7.1</w:t>
            </w:r>
          </w:p>
        </w:tc>
      </w:tr>
      <w:tr>
        <w:trPr>
          <w:trHeight w:val="167"/>
        </w:trPr>
        <w:tc>
          <w:tcPr>
            <w:tcW w:w="15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(b)</w:t>
            </w:r>
          </w:p>
        </w:tc>
        <w:tc>
          <w:tcPr>
            <w:tcW w:w="6960" w:type="dxa"/>
            <w:vAlign w:val="bottom"/>
            <w:shd w:val="clear" w:color="auto" w:fill="CCEEFF"/>
          </w:tcPr>
          <w:p>
            <w:pPr>
              <w:ind w:left="5760"/>
              <w:spacing w:after="0"/>
              <w:rPr>
                <w:sz w:val="20"/>
                <w:szCs w:val="20"/>
                <w:color w:val="auto"/>
              </w:rPr>
            </w:pPr>
            <w:r>
              <w:rPr>
                <w:rFonts w:ascii="Times New Roman" w:cs="Times New Roman" w:eastAsia="Times New Roman" w:hAnsi="Times New Roman"/>
                <w:sz w:val="14"/>
                <w:szCs w:val="14"/>
                <w:color w:val="auto"/>
              </w:rPr>
              <w:t>7.5</w:t>
            </w:r>
          </w:p>
        </w:tc>
      </w:tr>
      <w:tr>
        <w:trPr>
          <w:trHeight w:val="167"/>
        </w:trPr>
        <w:tc>
          <w:tcPr>
            <w:tcW w:w="1580" w:type="dxa"/>
            <w:vAlign w:val="bottom"/>
          </w:tcPr>
          <w:p>
            <w:pPr>
              <w:jc w:val="right"/>
              <w:ind w:right="830"/>
              <w:spacing w:after="0"/>
              <w:rPr>
                <w:sz w:val="20"/>
                <w:szCs w:val="20"/>
                <w:color w:val="auto"/>
              </w:rPr>
            </w:pPr>
            <w:r>
              <w:rPr>
                <w:rFonts w:ascii="Times New Roman" w:cs="Times New Roman" w:eastAsia="Times New Roman" w:hAnsi="Times New Roman"/>
                <w:sz w:val="14"/>
                <w:szCs w:val="14"/>
                <w:color w:val="auto"/>
              </w:rPr>
              <w:t>(c)</w:t>
            </w:r>
          </w:p>
        </w:tc>
        <w:tc>
          <w:tcPr>
            <w:tcW w:w="6960" w:type="dxa"/>
            <w:vAlign w:val="bottom"/>
          </w:tcPr>
          <w:p>
            <w:pPr>
              <w:ind w:left="5760"/>
              <w:spacing w:after="0"/>
              <w:rPr>
                <w:sz w:val="20"/>
                <w:szCs w:val="20"/>
                <w:color w:val="auto"/>
              </w:rPr>
            </w:pPr>
            <w:r>
              <w:rPr>
                <w:rFonts w:ascii="Times New Roman" w:cs="Times New Roman" w:eastAsia="Times New Roman" w:hAnsi="Times New Roman"/>
                <w:sz w:val="14"/>
                <w:szCs w:val="14"/>
                <w:color w:val="auto"/>
              </w:rPr>
              <w:t>7.1</w:t>
            </w:r>
          </w:p>
        </w:tc>
      </w:tr>
      <w:tr>
        <w:trPr>
          <w:trHeight w:val="167"/>
        </w:trPr>
        <w:tc>
          <w:tcPr>
            <w:tcW w:w="15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(d)</w:t>
            </w:r>
          </w:p>
        </w:tc>
        <w:tc>
          <w:tcPr>
            <w:tcW w:w="6960" w:type="dxa"/>
            <w:vAlign w:val="bottom"/>
            <w:shd w:val="clear" w:color="auto" w:fill="CCEEFF"/>
          </w:tcPr>
          <w:p>
            <w:pPr>
              <w:ind w:left="5760"/>
              <w:spacing w:after="0"/>
              <w:rPr>
                <w:sz w:val="20"/>
                <w:szCs w:val="20"/>
                <w:color w:val="auto"/>
              </w:rPr>
            </w:pPr>
            <w:r>
              <w:rPr>
                <w:rFonts w:ascii="Times New Roman" w:cs="Times New Roman" w:eastAsia="Times New Roman" w:hAnsi="Times New Roman"/>
                <w:sz w:val="14"/>
                <w:szCs w:val="14"/>
                <w:color w:val="auto"/>
              </w:rPr>
              <w:t>7.1</w:t>
            </w:r>
          </w:p>
        </w:tc>
      </w:tr>
      <w:tr>
        <w:trPr>
          <w:trHeight w:val="167"/>
        </w:trPr>
        <w:tc>
          <w:tcPr>
            <w:tcW w:w="1580" w:type="dxa"/>
            <w:vAlign w:val="bottom"/>
          </w:tcPr>
          <w:p>
            <w:pPr>
              <w:jc w:val="right"/>
              <w:ind w:right="830"/>
              <w:spacing w:after="0"/>
              <w:rPr>
                <w:sz w:val="20"/>
                <w:szCs w:val="20"/>
                <w:color w:val="auto"/>
              </w:rPr>
            </w:pPr>
            <w:r>
              <w:rPr>
                <w:rFonts w:ascii="Times New Roman" w:cs="Times New Roman" w:eastAsia="Times New Roman" w:hAnsi="Times New Roman"/>
                <w:sz w:val="14"/>
                <w:szCs w:val="14"/>
                <w:color w:val="auto"/>
              </w:rPr>
              <w:t>(e)</w:t>
            </w:r>
          </w:p>
        </w:tc>
        <w:tc>
          <w:tcPr>
            <w:tcW w:w="6960" w:type="dxa"/>
            <w:vAlign w:val="bottom"/>
          </w:tcPr>
          <w:p>
            <w:pPr>
              <w:ind w:left="5760"/>
              <w:spacing w:after="0"/>
              <w:rPr>
                <w:sz w:val="20"/>
                <w:szCs w:val="20"/>
                <w:color w:val="auto"/>
              </w:rPr>
            </w:pPr>
            <w:r>
              <w:rPr>
                <w:rFonts w:ascii="Times New Roman" w:cs="Times New Roman" w:eastAsia="Times New Roman" w:hAnsi="Times New Roman"/>
                <w:sz w:val="14"/>
                <w:szCs w:val="14"/>
                <w:color w:val="auto"/>
              </w:rPr>
              <w:t>6.14</w:t>
            </w:r>
          </w:p>
        </w:tc>
      </w:tr>
      <w:tr>
        <w:trPr>
          <w:trHeight w:val="167"/>
        </w:trPr>
        <w:tc>
          <w:tcPr>
            <w:tcW w:w="15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 316(a)</w:t>
            </w:r>
          </w:p>
        </w:tc>
        <w:tc>
          <w:tcPr>
            <w:tcW w:w="6960" w:type="dxa"/>
            <w:vAlign w:val="bottom"/>
            <w:shd w:val="clear" w:color="auto" w:fill="CCEEFF"/>
          </w:tcPr>
          <w:p>
            <w:pPr>
              <w:ind w:left="5760"/>
              <w:spacing w:after="0"/>
              <w:rPr>
                <w:sz w:val="20"/>
                <w:szCs w:val="20"/>
                <w:color w:val="auto"/>
              </w:rPr>
            </w:pPr>
            <w:r>
              <w:rPr>
                <w:rFonts w:ascii="Times New Roman" w:cs="Times New Roman" w:eastAsia="Times New Roman" w:hAnsi="Times New Roman"/>
                <w:sz w:val="14"/>
                <w:szCs w:val="14"/>
                <w:color w:val="auto"/>
              </w:rPr>
              <w:t>2.10</w:t>
            </w:r>
          </w:p>
        </w:tc>
      </w:tr>
      <w:tr>
        <w:trPr>
          <w:trHeight w:val="167"/>
        </w:trPr>
        <w:tc>
          <w:tcPr>
            <w:tcW w:w="1580" w:type="dxa"/>
            <w:vAlign w:val="bottom"/>
          </w:tcPr>
          <w:p>
            <w:pPr>
              <w:jc w:val="right"/>
              <w:ind w:right="830"/>
              <w:spacing w:after="0"/>
              <w:rPr>
                <w:sz w:val="20"/>
                <w:szCs w:val="20"/>
                <w:color w:val="auto"/>
              </w:rPr>
            </w:pPr>
            <w:r>
              <w:rPr>
                <w:rFonts w:ascii="Times New Roman" w:cs="Times New Roman" w:eastAsia="Times New Roman" w:hAnsi="Times New Roman"/>
                <w:sz w:val="14"/>
                <w:szCs w:val="14"/>
                <w:color w:val="auto"/>
              </w:rPr>
              <w:t>(a)(1)(A)</w:t>
            </w:r>
          </w:p>
        </w:tc>
        <w:tc>
          <w:tcPr>
            <w:tcW w:w="6960" w:type="dxa"/>
            <w:vAlign w:val="bottom"/>
          </w:tcPr>
          <w:p>
            <w:pPr>
              <w:ind w:left="5760"/>
              <w:spacing w:after="0"/>
              <w:rPr>
                <w:sz w:val="20"/>
                <w:szCs w:val="20"/>
                <w:color w:val="auto"/>
              </w:rPr>
            </w:pPr>
            <w:r>
              <w:rPr>
                <w:rFonts w:ascii="Times New Roman" w:cs="Times New Roman" w:eastAsia="Times New Roman" w:hAnsi="Times New Roman"/>
                <w:sz w:val="14"/>
                <w:szCs w:val="14"/>
                <w:color w:val="auto"/>
              </w:rPr>
              <w:t>6.12</w:t>
            </w:r>
          </w:p>
        </w:tc>
      </w:tr>
      <w:tr>
        <w:trPr>
          <w:trHeight w:val="167"/>
        </w:trPr>
        <w:tc>
          <w:tcPr>
            <w:tcW w:w="15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(a)(1)(B)</w:t>
            </w:r>
          </w:p>
        </w:tc>
        <w:tc>
          <w:tcPr>
            <w:tcW w:w="6960" w:type="dxa"/>
            <w:vAlign w:val="bottom"/>
            <w:shd w:val="clear" w:color="auto" w:fill="CCEEFF"/>
          </w:tcPr>
          <w:p>
            <w:pPr>
              <w:ind w:left="5760"/>
              <w:spacing w:after="0"/>
              <w:rPr>
                <w:sz w:val="20"/>
                <w:szCs w:val="20"/>
                <w:color w:val="auto"/>
              </w:rPr>
            </w:pPr>
            <w:r>
              <w:rPr>
                <w:rFonts w:ascii="Times New Roman" w:cs="Times New Roman" w:eastAsia="Times New Roman" w:hAnsi="Times New Roman"/>
                <w:sz w:val="14"/>
                <w:szCs w:val="14"/>
                <w:color w:val="auto"/>
              </w:rPr>
              <w:t>6.13</w:t>
            </w:r>
          </w:p>
        </w:tc>
      </w:tr>
      <w:tr>
        <w:trPr>
          <w:trHeight w:val="167"/>
        </w:trPr>
        <w:tc>
          <w:tcPr>
            <w:tcW w:w="1580" w:type="dxa"/>
            <w:vAlign w:val="bottom"/>
          </w:tcPr>
          <w:p>
            <w:pPr>
              <w:jc w:val="right"/>
              <w:ind w:right="830"/>
              <w:spacing w:after="0"/>
              <w:rPr>
                <w:sz w:val="20"/>
                <w:szCs w:val="20"/>
                <w:color w:val="auto"/>
              </w:rPr>
            </w:pPr>
            <w:r>
              <w:rPr>
                <w:rFonts w:ascii="Times New Roman" w:cs="Times New Roman" w:eastAsia="Times New Roman" w:hAnsi="Times New Roman"/>
                <w:sz w:val="14"/>
                <w:szCs w:val="14"/>
                <w:color w:val="auto"/>
              </w:rPr>
              <w:t>(b)</w:t>
            </w:r>
          </w:p>
        </w:tc>
        <w:tc>
          <w:tcPr>
            <w:tcW w:w="6960" w:type="dxa"/>
            <w:vAlign w:val="bottom"/>
          </w:tcPr>
          <w:p>
            <w:pPr>
              <w:ind w:left="5760"/>
              <w:spacing w:after="0"/>
              <w:rPr>
                <w:sz w:val="20"/>
                <w:szCs w:val="20"/>
                <w:color w:val="auto"/>
              </w:rPr>
            </w:pPr>
            <w:r>
              <w:rPr>
                <w:rFonts w:ascii="Times New Roman" w:cs="Times New Roman" w:eastAsia="Times New Roman" w:hAnsi="Times New Roman"/>
                <w:sz w:val="14"/>
                <w:szCs w:val="14"/>
                <w:color w:val="auto"/>
              </w:rPr>
              <w:t>6.8</w:t>
            </w:r>
          </w:p>
        </w:tc>
      </w:tr>
      <w:tr>
        <w:trPr>
          <w:trHeight w:val="167"/>
        </w:trPr>
        <w:tc>
          <w:tcPr>
            <w:tcW w:w="15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 317(a)(1)</w:t>
            </w:r>
          </w:p>
        </w:tc>
        <w:tc>
          <w:tcPr>
            <w:tcW w:w="6960" w:type="dxa"/>
            <w:vAlign w:val="bottom"/>
            <w:shd w:val="clear" w:color="auto" w:fill="CCEEFF"/>
          </w:tcPr>
          <w:p>
            <w:pPr>
              <w:ind w:left="5760"/>
              <w:spacing w:after="0"/>
              <w:rPr>
                <w:sz w:val="20"/>
                <w:szCs w:val="20"/>
                <w:color w:val="auto"/>
              </w:rPr>
            </w:pPr>
            <w:r>
              <w:rPr>
                <w:rFonts w:ascii="Times New Roman" w:cs="Times New Roman" w:eastAsia="Times New Roman" w:hAnsi="Times New Roman"/>
                <w:sz w:val="14"/>
                <w:szCs w:val="14"/>
                <w:color w:val="auto"/>
              </w:rPr>
              <w:t>6.3</w:t>
            </w:r>
          </w:p>
        </w:tc>
      </w:tr>
      <w:tr>
        <w:trPr>
          <w:trHeight w:val="167"/>
        </w:trPr>
        <w:tc>
          <w:tcPr>
            <w:tcW w:w="1580" w:type="dxa"/>
            <w:vAlign w:val="bottom"/>
          </w:tcPr>
          <w:p>
            <w:pPr>
              <w:jc w:val="right"/>
              <w:ind w:right="830"/>
              <w:spacing w:after="0"/>
              <w:rPr>
                <w:sz w:val="20"/>
                <w:szCs w:val="20"/>
                <w:color w:val="auto"/>
              </w:rPr>
            </w:pPr>
            <w:r>
              <w:rPr>
                <w:rFonts w:ascii="Times New Roman" w:cs="Times New Roman" w:eastAsia="Times New Roman" w:hAnsi="Times New Roman"/>
                <w:sz w:val="14"/>
                <w:szCs w:val="14"/>
                <w:color w:val="auto"/>
              </w:rPr>
              <w:t>(a)(2)</w:t>
            </w:r>
          </w:p>
        </w:tc>
        <w:tc>
          <w:tcPr>
            <w:tcW w:w="6960" w:type="dxa"/>
            <w:vAlign w:val="bottom"/>
          </w:tcPr>
          <w:p>
            <w:pPr>
              <w:ind w:left="5760"/>
              <w:spacing w:after="0"/>
              <w:rPr>
                <w:sz w:val="20"/>
                <w:szCs w:val="20"/>
                <w:color w:val="auto"/>
              </w:rPr>
            </w:pPr>
            <w:r>
              <w:rPr>
                <w:rFonts w:ascii="Times New Roman" w:cs="Times New Roman" w:eastAsia="Times New Roman" w:hAnsi="Times New Roman"/>
                <w:sz w:val="14"/>
                <w:szCs w:val="14"/>
                <w:color w:val="auto"/>
              </w:rPr>
              <w:t>6.4</w:t>
            </w:r>
          </w:p>
        </w:tc>
      </w:tr>
      <w:tr>
        <w:trPr>
          <w:trHeight w:val="167"/>
        </w:trPr>
        <w:tc>
          <w:tcPr>
            <w:tcW w:w="15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4"/>
                <w:szCs w:val="14"/>
                <w:color w:val="auto"/>
              </w:rPr>
              <w:t>(b)</w:t>
            </w:r>
          </w:p>
        </w:tc>
        <w:tc>
          <w:tcPr>
            <w:tcW w:w="6960" w:type="dxa"/>
            <w:vAlign w:val="bottom"/>
            <w:shd w:val="clear" w:color="auto" w:fill="CCEEFF"/>
          </w:tcPr>
          <w:p>
            <w:pPr>
              <w:ind w:left="5760"/>
              <w:spacing w:after="0"/>
              <w:rPr>
                <w:sz w:val="20"/>
                <w:szCs w:val="20"/>
                <w:color w:val="auto"/>
              </w:rPr>
            </w:pPr>
            <w:r>
              <w:rPr>
                <w:rFonts w:ascii="Times New Roman" w:cs="Times New Roman" w:eastAsia="Times New Roman" w:hAnsi="Times New Roman"/>
                <w:sz w:val="14"/>
                <w:szCs w:val="14"/>
                <w:color w:val="auto"/>
              </w:rPr>
              <w:t>2.5</w:t>
            </w:r>
          </w:p>
        </w:tc>
      </w:tr>
      <w:tr>
        <w:trPr>
          <w:trHeight w:val="182"/>
        </w:trPr>
        <w:tc>
          <w:tcPr>
            <w:tcW w:w="1580" w:type="dxa"/>
            <w:vAlign w:val="bottom"/>
          </w:tcPr>
          <w:p>
            <w:pPr>
              <w:jc w:val="right"/>
              <w:ind w:right="830"/>
              <w:spacing w:after="0"/>
              <w:rPr>
                <w:sz w:val="20"/>
                <w:szCs w:val="20"/>
                <w:color w:val="auto"/>
              </w:rPr>
            </w:pPr>
            <w:r>
              <w:rPr>
                <w:rFonts w:ascii="Times New Roman" w:cs="Times New Roman" w:eastAsia="Times New Roman" w:hAnsi="Times New Roman"/>
                <w:sz w:val="14"/>
                <w:szCs w:val="14"/>
                <w:color w:val="auto"/>
              </w:rPr>
              <w:t>§ 318(a)</w:t>
            </w:r>
          </w:p>
        </w:tc>
        <w:tc>
          <w:tcPr>
            <w:tcW w:w="6960" w:type="dxa"/>
            <w:vAlign w:val="bottom"/>
          </w:tcPr>
          <w:p>
            <w:pPr>
              <w:ind w:left="5760"/>
              <w:spacing w:after="0"/>
              <w:rPr>
                <w:sz w:val="20"/>
                <w:szCs w:val="20"/>
                <w:color w:val="auto"/>
              </w:rPr>
            </w:pPr>
            <w:r>
              <w:rPr>
                <w:rFonts w:ascii="Times New Roman" w:cs="Times New Roman" w:eastAsia="Times New Roman" w:hAnsi="Times New Roman"/>
                <w:sz w:val="14"/>
                <w:szCs w:val="14"/>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7202170" cy="32385"/>
                    </a:xfrm>
                    <a:prstGeom prst="rect">
                      <a:avLst/>
                    </a:prstGeom>
                    <a:noFill/>
                  </pic:spPr>
                </pic:pic>
              </a:graphicData>
            </a:graphic>
          </wp:anchor>
        </w:drawing>
        <w:drawing>
          <wp:anchor simplePos="0" relativeHeight="251657728" behindDoc="1" locked="0" layoutInCell="0" allowOverlap="1">
            <wp:simplePos x="0" y="0"/>
            <wp:positionH relativeFrom="column">
              <wp:posOffset>154940</wp:posOffset>
            </wp:positionH>
            <wp:positionV relativeFrom="paragraph">
              <wp:posOffset>63500</wp:posOffset>
            </wp:positionV>
            <wp:extent cx="59055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590550" cy="6350"/>
                    </a:xfrm>
                    <a:prstGeom prst="rect">
                      <a:avLst/>
                    </a:prstGeom>
                    <a:noFill/>
                  </pic:spPr>
                </pic:pic>
              </a:graphicData>
            </a:graphic>
          </wp:anchor>
        </w:drawing>
      </w:r>
    </w:p>
    <w:p>
      <w:pPr>
        <w:spacing w:after="0" w:line="9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Note: This reconciliation and tie shall not, for any purpose, be deemed to be part of the Indenture.</w:t>
      </w:r>
    </w:p>
    <w:p>
      <w:pPr>
        <w:spacing w:after="0" w:line="1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iv</w:t>
      </w:r>
    </w:p>
    <w:p>
      <w:pPr>
        <w:sectPr>
          <w:pgSz w:w="11900" w:h="16838" w:orient="portrait"/>
          <w:cols w:equalWidth="0" w:num="1">
            <w:col w:w="9019"/>
          </w:cols>
          <w:pgMar w:left="1440" w:top="238" w:right="1440" w:bottom="1440" w:gutter="0" w:footer="0" w:header="0"/>
        </w:sectPr>
      </w:pPr>
    </w:p>
    <w:bookmarkStart w:id="106" w:name="page107"/>
    <w:bookmarkEnd w:id="106"/>
    <w:p>
      <w:pPr>
        <w:ind w:left="10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Indenture dated as of __________, 20__ between Ardelyx, Inc., a company incorporated under the laws of Delaware (“</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and</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[_____] (“</w:t>
      </w:r>
      <w:r>
        <w:rPr>
          <w:rFonts w:ascii="Times New Roman" w:cs="Times New Roman" w:eastAsia="Times New Roman" w:hAnsi="Times New Roman"/>
          <w:sz w:val="14"/>
          <w:szCs w:val="14"/>
          <w:i w:val="1"/>
          <w:iCs w:val="1"/>
          <w:color w:val="auto"/>
        </w:rPr>
        <w:t>Trustee</w:t>
      </w:r>
      <w:r>
        <w:rPr>
          <w:rFonts w:ascii="Times New Roman" w:cs="Times New Roman" w:eastAsia="Times New Roman" w:hAnsi="Times New Roman"/>
          <w:sz w:val="14"/>
          <w:szCs w:val="14"/>
          <w:color w:val="auto"/>
        </w:rPr>
        <w:t>”).</w:t>
      </w:r>
    </w:p>
    <w:p>
      <w:pPr>
        <w:spacing w:after="0" w:line="159" w:lineRule="exact"/>
        <w:rPr>
          <w:sz w:val="20"/>
          <w:szCs w:val="20"/>
          <w:color w:val="auto"/>
        </w:rPr>
      </w:pPr>
    </w:p>
    <w:p>
      <w:pPr>
        <w:ind w:left="240" w:right="399" w:firstLine="768"/>
        <w:spacing w:after="0" w:line="280" w:lineRule="auto"/>
        <w:rPr>
          <w:sz w:val="20"/>
          <w:szCs w:val="20"/>
          <w:color w:val="auto"/>
        </w:rPr>
      </w:pPr>
      <w:r>
        <w:rPr>
          <w:rFonts w:ascii="Times New Roman" w:cs="Times New Roman" w:eastAsia="Times New Roman" w:hAnsi="Times New Roman"/>
          <w:sz w:val="14"/>
          <w:szCs w:val="14"/>
          <w:color w:val="auto"/>
        </w:rPr>
        <w:t>Each party agrees as follows for the benefit of the other party and for the equal and ratable benefit of the Holders of the Securities issued under this Indenture.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DEFINITIONS AND INCORPORATION BY REFERENCE</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Definitions.</w:t>
      </w:r>
    </w:p>
    <w:p>
      <w:pPr>
        <w:spacing w:after="0" w:line="172" w:lineRule="exact"/>
        <w:rPr>
          <w:sz w:val="20"/>
          <w:szCs w:val="20"/>
          <w:color w:val="auto"/>
        </w:rPr>
      </w:pPr>
    </w:p>
    <w:p>
      <w:pPr>
        <w:jc w:val="both"/>
        <w:ind w:left="240" w:right="379" w:firstLine="768"/>
        <w:spacing w:after="0" w:line="324"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Additional Amounts</w:t>
      </w:r>
      <w:r>
        <w:rPr>
          <w:rFonts w:ascii="Times New Roman" w:cs="Times New Roman" w:eastAsia="Times New Roman" w:hAnsi="Times New Roman"/>
          <w:sz w:val="13"/>
          <w:szCs w:val="13"/>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98" w:lineRule="exact"/>
        <w:rPr>
          <w:sz w:val="20"/>
          <w:szCs w:val="20"/>
          <w:color w:val="auto"/>
        </w:rPr>
      </w:pPr>
    </w:p>
    <w:p>
      <w:pPr>
        <w:ind w:left="240" w:right="259" w:firstLine="768"/>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Affiliate</w:t>
      </w:r>
      <w:r>
        <w:rPr>
          <w:rFonts w:ascii="Times New Roman" w:cs="Times New Roman" w:eastAsia="Times New Roman" w:hAnsi="Times New Roman"/>
          <w:sz w:val="14"/>
          <w:szCs w:val="14"/>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3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Agent</w:t>
      </w:r>
      <w:r>
        <w:rPr>
          <w:rFonts w:ascii="Times New Roman" w:cs="Times New Roman" w:eastAsia="Times New Roman" w:hAnsi="Times New Roman"/>
          <w:sz w:val="14"/>
          <w:szCs w:val="14"/>
          <w:color w:val="auto"/>
        </w:rPr>
        <w:t>” means any Registrar, Paying Agent or Notice Agent.</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Board of Directors</w:t>
      </w:r>
      <w:r>
        <w:rPr>
          <w:rFonts w:ascii="Times New Roman" w:cs="Times New Roman" w:eastAsia="Times New Roman" w:hAnsi="Times New Roman"/>
          <w:sz w:val="14"/>
          <w:szCs w:val="14"/>
          <w:color w:val="auto"/>
        </w:rPr>
        <w:t>” means the board of directors of the Company or any duly authorized committee thereof.</w:t>
      </w:r>
    </w:p>
    <w:p>
      <w:pPr>
        <w:spacing w:after="0" w:line="174" w:lineRule="exact"/>
        <w:rPr>
          <w:sz w:val="20"/>
          <w:szCs w:val="20"/>
          <w:color w:val="auto"/>
        </w:rPr>
      </w:pPr>
    </w:p>
    <w:p>
      <w:pPr>
        <w:ind w:left="240" w:right="279" w:firstLine="768"/>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Board Resolution</w:t>
      </w:r>
      <w:r>
        <w:rPr>
          <w:rFonts w:ascii="Times New Roman" w:cs="Times New Roman" w:eastAsia="Times New Roman" w:hAnsi="Times New Roman"/>
          <w:sz w:val="14"/>
          <w:szCs w:val="14"/>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34" w:lineRule="exact"/>
        <w:rPr>
          <w:sz w:val="20"/>
          <w:szCs w:val="20"/>
          <w:color w:val="auto"/>
        </w:rPr>
      </w:pPr>
    </w:p>
    <w:p>
      <w:pPr>
        <w:ind w:left="240" w:right="479" w:firstLine="768"/>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Business Day</w:t>
      </w:r>
      <w:r>
        <w:rPr>
          <w:rFonts w:ascii="Times New Roman" w:cs="Times New Roman" w:eastAsia="Times New Roman" w:hAnsi="Times New Roman"/>
          <w:sz w:val="14"/>
          <w:szCs w:val="14"/>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means any and all shares, interests, participations, rights or other equivalents (however designated) of corporate stock.</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means the party named as such above until a successor replaces it and thereafter means the successor.</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Company Order</w:t>
      </w:r>
      <w:r>
        <w:rPr>
          <w:rFonts w:ascii="Times New Roman" w:cs="Times New Roman" w:eastAsia="Times New Roman" w:hAnsi="Times New Roman"/>
          <w:sz w:val="14"/>
          <w:szCs w:val="14"/>
          <w:color w:val="auto"/>
        </w:rPr>
        <w:t>” means a written order signed in the name of the Company by an Officer and delivered to the Trustee.</w:t>
      </w:r>
    </w:p>
    <w:p>
      <w:pPr>
        <w:sectPr>
          <w:pgSz w:w="11900" w:h="16838" w:orient="portrait"/>
          <w:cols w:equalWidth="0" w:num="1">
            <w:col w:w="9019"/>
          </w:cols>
          <w:pgMar w:left="1440" w:top="238" w:right="1440" w:bottom="1440" w:gutter="0" w:footer="0" w:header="0"/>
        </w:sectPr>
      </w:pPr>
    </w:p>
    <w:bookmarkStart w:id="107" w:name="page108"/>
    <w:bookmarkEnd w:id="107"/>
    <w:p>
      <w:pPr>
        <w:ind w:left="240" w:right="819" w:firstLine="768"/>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t>
      </w:r>
      <w:r>
        <w:rPr>
          <w:rFonts w:ascii="Times New Roman" w:cs="Times New Roman" w:eastAsia="Times New Roman" w:hAnsi="Times New Roman"/>
          <w:sz w:val="14"/>
          <w:szCs w:val="14"/>
          <w:i w:val="1"/>
          <w:iCs w:val="1"/>
          <w:color w:val="auto"/>
        </w:rPr>
        <w:t>Corporate Trust Office</w:t>
      </w:r>
      <w:r>
        <w:rPr>
          <w:rFonts w:ascii="Times New Roman" w:cs="Times New Roman" w:eastAsia="Times New Roman" w:hAnsi="Times New Roman"/>
          <w:sz w:val="14"/>
          <w:szCs w:val="14"/>
          <w:color w:val="auto"/>
        </w:rPr>
        <w:t>” means the office of the Trustee at which at any particular time its corporate trust business related to this Indenture shall be principally administered.</w:t>
      </w:r>
    </w:p>
    <w:p>
      <w:pPr>
        <w:spacing w:after="0" w:line="1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Default</w:t>
      </w:r>
      <w:r>
        <w:rPr>
          <w:rFonts w:ascii="Times New Roman" w:cs="Times New Roman" w:eastAsia="Times New Roman" w:hAnsi="Times New Roman"/>
          <w:sz w:val="14"/>
          <w:szCs w:val="14"/>
          <w:color w:val="auto"/>
        </w:rPr>
        <w:t>” means any event which is, or after notice, passage of time or both would be, an Event of Default.</w:t>
      </w:r>
    </w:p>
    <w:p>
      <w:pPr>
        <w:spacing w:after="0" w:line="174" w:lineRule="exact"/>
        <w:rPr>
          <w:sz w:val="20"/>
          <w:szCs w:val="20"/>
          <w:color w:val="auto"/>
        </w:rPr>
      </w:pPr>
    </w:p>
    <w:p>
      <w:pPr>
        <w:ind w:left="240" w:right="419" w:firstLine="768"/>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Depositary</w:t>
      </w:r>
      <w:r>
        <w:rPr>
          <w:rFonts w:ascii="Times New Roman" w:cs="Times New Roman" w:eastAsia="Times New Roman" w:hAnsi="Times New Roman"/>
          <w:sz w:val="14"/>
          <w:szCs w:val="14"/>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39" w:lineRule="exact"/>
        <w:rPr>
          <w:sz w:val="20"/>
          <w:szCs w:val="20"/>
          <w:color w:val="auto"/>
        </w:rPr>
      </w:pPr>
    </w:p>
    <w:p>
      <w:pPr>
        <w:ind w:left="240" w:right="439" w:firstLine="768"/>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Discount Security</w:t>
      </w:r>
      <w:r>
        <w:rPr>
          <w:rFonts w:ascii="Times New Roman" w:cs="Times New Roman" w:eastAsia="Times New Roman" w:hAnsi="Times New Roman"/>
          <w:sz w:val="14"/>
          <w:szCs w:val="14"/>
          <w:color w:val="auto"/>
        </w:rPr>
        <w:t>” means any Security that provides for an amount less than the stated principal amount thereof to be due and payable upon declaration of acceleration of the maturity thereof pursuant to Section 6.2.</w:t>
      </w:r>
    </w:p>
    <w:p>
      <w:pPr>
        <w:spacing w:after="0" w:line="1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Dollars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means the currency of the United States of America.</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Exchange Act</w:t>
      </w:r>
      <w:r>
        <w:rPr>
          <w:rFonts w:ascii="Times New Roman" w:cs="Times New Roman" w:eastAsia="Times New Roman" w:hAnsi="Times New Roman"/>
          <w:sz w:val="14"/>
          <w:szCs w:val="14"/>
          <w:color w:val="auto"/>
        </w:rPr>
        <w:t>” means the Securities Exchange Act of 1934, as amended.</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Foreign Currency</w:t>
      </w:r>
      <w:r>
        <w:rPr>
          <w:rFonts w:ascii="Times New Roman" w:cs="Times New Roman" w:eastAsia="Times New Roman" w:hAnsi="Times New Roman"/>
          <w:sz w:val="14"/>
          <w:szCs w:val="14"/>
          <w:color w:val="auto"/>
        </w:rPr>
        <w:t>” means any currency or currency unit issued by a government other than the government of the United States of</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America.</w:t>
      </w:r>
    </w:p>
    <w:p>
      <w:pPr>
        <w:spacing w:after="0" w:line="157" w:lineRule="exact"/>
        <w:rPr>
          <w:sz w:val="20"/>
          <w:szCs w:val="20"/>
          <w:color w:val="auto"/>
        </w:rPr>
      </w:pPr>
    </w:p>
    <w:p>
      <w:pPr>
        <w:ind w:left="240" w:right="459" w:firstLine="768"/>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Foreign Government Obligations</w:t>
      </w:r>
      <w:r>
        <w:rPr>
          <w:rFonts w:ascii="Times New Roman" w:cs="Times New Roman" w:eastAsia="Times New Roman" w:hAnsi="Times New Roman"/>
          <w:sz w:val="14"/>
          <w:szCs w:val="14"/>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34" w:lineRule="exact"/>
        <w:rPr>
          <w:sz w:val="20"/>
          <w:szCs w:val="20"/>
          <w:color w:val="auto"/>
        </w:rPr>
      </w:pPr>
    </w:p>
    <w:p>
      <w:pPr>
        <w:ind w:left="240" w:right="299" w:firstLine="768"/>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“GAAP” </w:t>
      </w:r>
      <w:r>
        <w:rPr>
          <w:rFonts w:ascii="Times New Roman" w:cs="Times New Roman" w:eastAsia="Times New Roman" w:hAnsi="Times New Roman"/>
          <w:sz w:val="14"/>
          <w:szCs w:val="14"/>
          <w:color w:val="auto"/>
        </w:rPr>
        <w:t>means generally accepted accounting principles in the United States of America set forth in the opinions and pronouncements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39" w:lineRule="exact"/>
        <w:rPr>
          <w:sz w:val="20"/>
          <w:szCs w:val="20"/>
          <w:color w:val="auto"/>
        </w:rPr>
      </w:pPr>
    </w:p>
    <w:p>
      <w:pPr>
        <w:ind w:left="240" w:right="479" w:firstLine="768"/>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Global Security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Global Securities</w:t>
      </w:r>
      <w:r>
        <w:rPr>
          <w:rFonts w:ascii="Times New Roman" w:cs="Times New Roman" w:eastAsia="Times New Roman" w:hAnsi="Times New Roman"/>
          <w:sz w:val="14"/>
          <w:szCs w:val="14"/>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Holder</w:t>
      </w:r>
      <w:r>
        <w:rPr>
          <w:rFonts w:ascii="Times New Roman" w:cs="Times New Roman" w:eastAsia="Times New Roman" w:hAnsi="Times New Roman"/>
          <w:sz w:val="14"/>
          <w:szCs w:val="14"/>
          <w:color w:val="auto"/>
        </w:rPr>
        <w:t>” means a person in whose name a Security is registered on the Registrar’s books.</w:t>
      </w:r>
    </w:p>
    <w:p>
      <w:pPr>
        <w:spacing w:after="0" w:line="174" w:lineRule="exact"/>
        <w:rPr>
          <w:sz w:val="20"/>
          <w:szCs w:val="20"/>
          <w:color w:val="auto"/>
        </w:rPr>
      </w:pPr>
    </w:p>
    <w:p>
      <w:pPr>
        <w:ind w:left="240" w:right="339" w:firstLine="768"/>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w:t>
      </w:r>
      <w:r>
        <w:rPr>
          <w:rFonts w:ascii="Times New Roman" w:cs="Times New Roman" w:eastAsia="Times New Roman" w:hAnsi="Times New Roman"/>
          <w:sz w:val="14"/>
          <w:szCs w:val="14"/>
          <w:color w:val="auto"/>
        </w:rPr>
        <w:t>” means this Indenture as amended or supplemented from time to time and shall include the form and terms of particular Series of Securities established as contemplated hereunder.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8" w:right="1440" w:bottom="1440" w:gutter="0" w:footer="0" w:header="0"/>
        </w:sectPr>
      </w:pPr>
    </w:p>
    <w:bookmarkStart w:id="108" w:name="page109"/>
    <w:bookmarkEnd w:id="108"/>
    <w:p>
      <w:pPr>
        <w:ind w:left="100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t>
      </w:r>
      <w:r>
        <w:rPr>
          <w:rFonts w:ascii="Times New Roman" w:cs="Times New Roman" w:eastAsia="Times New Roman" w:hAnsi="Times New Roman"/>
          <w:sz w:val="13"/>
          <w:szCs w:val="13"/>
          <w:i w:val="1"/>
          <w:iCs w:val="1"/>
          <w:color w:val="auto"/>
        </w:rPr>
        <w:t>interest</w:t>
      </w:r>
      <w:r>
        <w:rPr>
          <w:rFonts w:ascii="Times New Roman" w:cs="Times New Roman" w:eastAsia="Times New Roman" w:hAnsi="Times New Roman"/>
          <w:sz w:val="13"/>
          <w:szCs w:val="13"/>
          <w:color w:val="auto"/>
        </w:rPr>
        <w:t>” with respect to any Discount Security which by its terms bears interest only after Maturity, means interest payable after Maturity.</w:t>
      </w:r>
    </w:p>
    <w:p>
      <w:pPr>
        <w:spacing w:after="0" w:line="185" w:lineRule="exact"/>
        <w:rPr>
          <w:sz w:val="20"/>
          <w:szCs w:val="20"/>
          <w:color w:val="auto"/>
        </w:rPr>
      </w:pPr>
    </w:p>
    <w:p>
      <w:pPr>
        <w:ind w:left="240" w:right="459" w:firstLine="768"/>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Maturity</w:t>
      </w:r>
      <w:r>
        <w:rPr>
          <w:rFonts w:ascii="Times New Roman" w:cs="Times New Roman" w:eastAsia="Times New Roman" w:hAnsi="Times New Roman"/>
          <w:sz w:val="14"/>
          <w:szCs w:val="14"/>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22" w:lineRule="exact"/>
        <w:rPr>
          <w:sz w:val="20"/>
          <w:szCs w:val="20"/>
          <w:color w:val="auto"/>
        </w:rPr>
      </w:pPr>
    </w:p>
    <w:p>
      <w:pPr>
        <w:ind w:left="240" w:right="279" w:firstLine="768"/>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Officer</w:t>
      </w:r>
      <w:r>
        <w:rPr>
          <w:rFonts w:ascii="Times New Roman" w:cs="Times New Roman" w:eastAsia="Times New Roman" w:hAnsi="Times New Roman"/>
          <w:sz w:val="14"/>
          <w:szCs w:val="14"/>
          <w:color w:val="auto"/>
        </w:rPr>
        <w:t>” means the Chief Executive Officer, President, the Chief Financial Officer, the Treasurer or any Assistant Treasurer, the Secretary or any Assistant Secretary and any Vice President of the Company.</w:t>
      </w:r>
    </w:p>
    <w:p>
      <w:pPr>
        <w:spacing w:after="0" w:line="12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Officer’s Certificate</w:t>
      </w:r>
      <w:r>
        <w:rPr>
          <w:rFonts w:ascii="Times New Roman" w:cs="Times New Roman" w:eastAsia="Times New Roman" w:hAnsi="Times New Roman"/>
          <w:sz w:val="14"/>
          <w:szCs w:val="14"/>
          <w:color w:val="auto"/>
        </w:rPr>
        <w:t>” means a certificate signed by any Officer that meets the requirements of this Indenture.</w:t>
      </w:r>
    </w:p>
    <w:p>
      <w:pPr>
        <w:spacing w:after="0" w:line="174" w:lineRule="exact"/>
        <w:rPr>
          <w:sz w:val="20"/>
          <w:szCs w:val="20"/>
          <w:color w:val="auto"/>
        </w:rPr>
      </w:pPr>
    </w:p>
    <w:p>
      <w:pPr>
        <w:ind w:left="240" w:right="459" w:firstLine="768"/>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Opinion of Counsel</w:t>
      </w:r>
      <w:r>
        <w:rPr>
          <w:rFonts w:ascii="Times New Roman" w:cs="Times New Roman" w:eastAsia="Times New Roman" w:hAnsi="Times New Roman"/>
          <w:sz w:val="14"/>
          <w:szCs w:val="14"/>
          <w:color w:val="auto"/>
        </w:rPr>
        <w:t>” means a written opinion of legal counsel who is acceptable to the Trustee. The counsel may be an employee of or counsel to the Company. The opinion may contain customary limitations, conditions and exceptions.</w:t>
      </w:r>
    </w:p>
    <w:p>
      <w:pPr>
        <w:spacing w:after="0" w:line="122" w:lineRule="exact"/>
        <w:rPr>
          <w:sz w:val="20"/>
          <w:szCs w:val="20"/>
          <w:color w:val="auto"/>
        </w:rPr>
      </w:pPr>
    </w:p>
    <w:p>
      <w:pPr>
        <w:ind w:left="240" w:right="379" w:firstLine="768"/>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person</w:t>
      </w:r>
      <w:r>
        <w:rPr>
          <w:rFonts w:ascii="Times New Roman" w:cs="Times New Roman" w:eastAsia="Times New Roman" w:hAnsi="Times New Roman"/>
          <w:sz w:val="14"/>
          <w:szCs w:val="14"/>
          <w:color w:val="auto"/>
        </w:rPr>
        <w:t>” means any individual, corporation, partnership, joint venture, association, limited liability company, joint-stock company, trust, unincorporated organization or government or any agency or political subdivision thereof.</w:t>
      </w:r>
    </w:p>
    <w:p>
      <w:pPr>
        <w:spacing w:after="0" w:line="122" w:lineRule="exact"/>
        <w:rPr>
          <w:sz w:val="20"/>
          <w:szCs w:val="20"/>
          <w:color w:val="auto"/>
        </w:rPr>
      </w:pPr>
    </w:p>
    <w:p>
      <w:pPr>
        <w:ind w:left="240" w:right="299" w:firstLine="768"/>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w:t>
      </w:r>
      <w:r>
        <w:rPr>
          <w:rFonts w:ascii="Times New Roman" w:cs="Times New Roman" w:eastAsia="Times New Roman" w:hAnsi="Times New Roman"/>
          <w:sz w:val="14"/>
          <w:szCs w:val="14"/>
          <w:color w:val="auto"/>
        </w:rPr>
        <w:t>” of a Security means the principal of the Security plus, when appropriate, the premium, if any, on, and any Additional Amounts in respect of, the Security.</w:t>
      </w:r>
    </w:p>
    <w:p>
      <w:pPr>
        <w:spacing w:after="0" w:line="122" w:lineRule="exact"/>
        <w:rPr>
          <w:sz w:val="20"/>
          <w:szCs w:val="20"/>
          <w:color w:val="auto"/>
        </w:rPr>
      </w:pPr>
    </w:p>
    <w:p>
      <w:pPr>
        <w:ind w:left="240" w:right="359" w:firstLine="768"/>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Responsible Officer</w:t>
      </w:r>
      <w:r>
        <w:rPr>
          <w:rFonts w:ascii="Times New Roman" w:cs="Times New Roman" w:eastAsia="Times New Roman" w:hAnsi="Times New Roman"/>
          <w:sz w:val="14"/>
          <w:szCs w:val="14"/>
          <w:color w:val="auto"/>
        </w:rPr>
        <w:t>”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SEC</w:t>
      </w:r>
      <w:r>
        <w:rPr>
          <w:rFonts w:ascii="Times New Roman" w:cs="Times New Roman" w:eastAsia="Times New Roman" w:hAnsi="Times New Roman"/>
          <w:sz w:val="14"/>
          <w:szCs w:val="14"/>
          <w:color w:val="auto"/>
        </w:rPr>
        <w:t>” means the Securities and Exchange Commission.</w:t>
      </w:r>
    </w:p>
    <w:p>
      <w:pPr>
        <w:spacing w:after="0" w:line="174" w:lineRule="exact"/>
        <w:rPr>
          <w:sz w:val="20"/>
          <w:szCs w:val="20"/>
          <w:color w:val="auto"/>
        </w:rPr>
      </w:pPr>
    </w:p>
    <w:p>
      <w:pPr>
        <w:ind w:left="240" w:right="279" w:firstLine="768"/>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Security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Securities</w:t>
      </w:r>
      <w:r>
        <w:rPr>
          <w:rFonts w:ascii="Times New Roman" w:cs="Times New Roman" w:eastAsia="Times New Roman" w:hAnsi="Times New Roman"/>
          <w:sz w:val="14"/>
          <w:szCs w:val="14"/>
          <w:color w:val="auto"/>
        </w:rPr>
        <w:t>” means the debentures, notes or other debt instruments of the Company of any Series authenticated and delivered under this Indenture.</w:t>
      </w:r>
    </w:p>
    <w:p>
      <w:pPr>
        <w:spacing w:after="0" w:line="122" w:lineRule="exact"/>
        <w:rPr>
          <w:sz w:val="20"/>
          <w:szCs w:val="20"/>
          <w:color w:val="auto"/>
        </w:rPr>
      </w:pPr>
    </w:p>
    <w:p>
      <w:pPr>
        <w:ind w:left="240" w:right="519" w:firstLine="768"/>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Series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Series of Securities</w:t>
      </w:r>
      <w:r>
        <w:rPr>
          <w:rFonts w:ascii="Times New Roman" w:cs="Times New Roman" w:eastAsia="Times New Roman" w:hAnsi="Times New Roman"/>
          <w:sz w:val="14"/>
          <w:szCs w:val="14"/>
          <w:color w:val="auto"/>
        </w:rPr>
        <w:t>” means each series of debentures, notes or other debt instruments of the Company created pursuant to Sections 2.1 and 2.2 hereof.</w:t>
      </w:r>
    </w:p>
    <w:p>
      <w:pPr>
        <w:spacing w:after="0" w:line="122" w:lineRule="exact"/>
        <w:rPr>
          <w:sz w:val="20"/>
          <w:szCs w:val="20"/>
          <w:color w:val="auto"/>
        </w:rPr>
      </w:pPr>
    </w:p>
    <w:p>
      <w:pPr>
        <w:ind w:left="240" w:right="739" w:firstLine="768"/>
        <w:spacing w:after="0" w:line="28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Stated Maturity</w:t>
      </w:r>
      <w:r>
        <w:rPr>
          <w:rFonts w:ascii="Times New Roman" w:cs="Times New Roman" w:eastAsia="Times New Roman" w:hAnsi="Times New Roman"/>
          <w:sz w:val="14"/>
          <w:szCs w:val="14"/>
          <w:color w:val="auto"/>
        </w:rPr>
        <w:t>” when used with respect to any Security, means the date specified in such Security as the fixed date on which the principal of such Security or interest is due and payable.</w:t>
      </w:r>
    </w:p>
    <w:p>
      <w:pPr>
        <w:spacing w:after="0" w:line="122" w:lineRule="exact"/>
        <w:rPr>
          <w:sz w:val="20"/>
          <w:szCs w:val="20"/>
          <w:color w:val="auto"/>
        </w:rPr>
      </w:pPr>
    </w:p>
    <w:p>
      <w:pPr>
        <w:ind w:left="240" w:right="399" w:firstLine="768"/>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Subsidiary</w:t>
      </w:r>
      <w:r>
        <w:rPr>
          <w:rFonts w:ascii="Times New Roman" w:cs="Times New Roman" w:eastAsia="Times New Roman" w:hAnsi="Times New Roman"/>
          <w:sz w:val="14"/>
          <w:szCs w:val="14"/>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8" w:right="1440" w:bottom="1440" w:gutter="0" w:footer="0" w:header="0"/>
        </w:sectPr>
      </w:pPr>
    </w:p>
    <w:bookmarkStart w:id="109" w:name="page110"/>
    <w:bookmarkEnd w:id="109"/>
    <w:p>
      <w:pPr>
        <w:ind w:left="240" w:right="319" w:firstLine="768"/>
        <w:spacing w:after="0" w:line="26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t>
      </w:r>
      <w:r>
        <w:rPr>
          <w:rFonts w:ascii="Times New Roman" w:cs="Times New Roman" w:eastAsia="Times New Roman" w:hAnsi="Times New Roman"/>
          <w:sz w:val="14"/>
          <w:szCs w:val="14"/>
          <w:i w:val="1"/>
          <w:iCs w:val="1"/>
          <w:color w:val="auto"/>
        </w:rPr>
        <w:t>TIA</w:t>
      </w:r>
      <w:r>
        <w:rPr>
          <w:rFonts w:ascii="Times New Roman" w:cs="Times New Roman" w:eastAsia="Times New Roman" w:hAnsi="Times New Roman"/>
          <w:sz w:val="14"/>
          <w:szCs w:val="14"/>
          <w:color w:val="auto"/>
        </w:rPr>
        <w:t xml:space="preserve">” means the Trust Indenture Act of 1939 (15 U.S. Code §§ 77aaa-77bbbb) as in effect on the date of this Indenture;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 the event the Trust Indenture Act of 1939 is amended after such date, “TIA” means, to the extent required by any such amendment, the Trust Indenture Act as so amended.</w:t>
      </w:r>
    </w:p>
    <w:p>
      <w:pPr>
        <w:spacing w:after="0" w:line="134" w:lineRule="exact"/>
        <w:rPr>
          <w:sz w:val="20"/>
          <w:szCs w:val="20"/>
          <w:color w:val="auto"/>
        </w:rPr>
      </w:pPr>
    </w:p>
    <w:p>
      <w:pPr>
        <w:ind w:left="240" w:right="299" w:firstLine="768"/>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Trustee</w:t>
      </w:r>
      <w:r>
        <w:rPr>
          <w:rFonts w:ascii="Times New Roman" w:cs="Times New Roman" w:eastAsia="Times New Roman" w:hAnsi="Times New Roman"/>
          <w:sz w:val="14"/>
          <w:szCs w:val="14"/>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39" w:lineRule="exact"/>
        <w:rPr>
          <w:sz w:val="20"/>
          <w:szCs w:val="20"/>
          <w:color w:val="auto"/>
        </w:rPr>
      </w:pPr>
    </w:p>
    <w:p>
      <w:pPr>
        <w:ind w:left="240" w:right="279" w:firstLine="768"/>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Government Obligations</w:t>
      </w:r>
      <w:r>
        <w:rPr>
          <w:rFonts w:ascii="Times New Roman" w:cs="Times New Roman" w:eastAsia="Times New Roman" w:hAnsi="Times New Roman"/>
          <w:sz w:val="14"/>
          <w:szCs w:val="14"/>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depositary receipt,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u w:val="single" w:color="auto"/>
          <w:color w:val="auto"/>
        </w:rPr>
        <w:t>Other Definitions</w:t>
      </w:r>
      <w:r>
        <w:rPr>
          <w:rFonts w:ascii="Times New Roman" w:cs="Times New Roman" w:eastAsia="Times New Roman" w:hAnsi="Times New Roman"/>
          <w:sz w:val="14"/>
          <w:szCs w:val="14"/>
          <w:color w:val="auto"/>
        </w:rPr>
        <w:t>.</w:t>
      </w:r>
    </w:p>
    <w:p>
      <w:pPr>
        <w:spacing w:after="0" w:line="192" w:lineRule="exact"/>
        <w:rPr>
          <w:sz w:val="20"/>
          <w:szCs w:val="20"/>
          <w:color w:val="auto"/>
        </w:rPr>
      </w:pPr>
    </w:p>
    <w:tbl>
      <w:tblPr>
        <w:tblLayout w:type="fixed"/>
        <w:tblInd w:w="1600" w:type="dxa"/>
        <w:tblCellMar>
          <w:top w:w="0" w:type="dxa"/>
          <w:left w:w="0" w:type="dxa"/>
          <w:bottom w:w="0" w:type="dxa"/>
          <w:right w:w="0" w:type="dxa"/>
        </w:tblCellMar>
      </w:tblPr>
      <w:tr>
        <w:trPr>
          <w:trHeight w:val="132"/>
        </w:trPr>
        <w:tc>
          <w:tcPr>
            <w:tcW w:w="33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TERM</w:t>
            </w:r>
          </w:p>
        </w:tc>
        <w:tc>
          <w:tcPr>
            <w:tcW w:w="2500" w:type="dxa"/>
            <w:vAlign w:val="bottom"/>
            <w:gridSpan w:val="3"/>
          </w:tcPr>
          <w:p>
            <w:pPr>
              <w:ind w:left="1340"/>
              <w:spacing w:after="0"/>
              <w:rPr>
                <w:sz w:val="20"/>
                <w:szCs w:val="20"/>
                <w:color w:val="auto"/>
              </w:rPr>
            </w:pPr>
            <w:r>
              <w:rPr>
                <w:rFonts w:ascii="Times New Roman" w:cs="Times New Roman" w:eastAsia="Times New Roman" w:hAnsi="Times New Roman"/>
                <w:sz w:val="11"/>
                <w:szCs w:val="11"/>
                <w:color w:val="auto"/>
              </w:rPr>
              <w:t>DEFINED IN SECTION</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8"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Agent Member</w:t>
            </w:r>
            <w:r>
              <w:rPr>
                <w:rFonts w:ascii="Times New Roman" w:cs="Times New Roman" w:eastAsia="Times New Roman" w:hAnsi="Times New Roman"/>
                <w:sz w:val="14"/>
                <w:szCs w:val="14"/>
                <w:color w:val="auto"/>
              </w:rPr>
              <w:t>”</w:t>
            </w:r>
          </w:p>
        </w:tc>
        <w:tc>
          <w:tcPr>
            <w:tcW w:w="1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8" w:lineRule="exact"/>
              <w:rPr>
                <w:sz w:val="20"/>
                <w:szCs w:val="20"/>
                <w:color w:val="auto"/>
              </w:rPr>
            </w:pPr>
            <w:r>
              <w:rPr>
                <w:rFonts w:ascii="Times New Roman" w:cs="Times New Roman" w:eastAsia="Times New Roman" w:hAnsi="Times New Roman"/>
                <w:sz w:val="14"/>
                <w:szCs w:val="14"/>
                <w:color w:val="auto"/>
              </w:rPr>
              <w:t>2.14.6</w:t>
            </w:r>
          </w:p>
        </w:tc>
        <w:tc>
          <w:tcPr>
            <w:tcW w:w="4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Bankruptcy Law</w:t>
            </w:r>
            <w:r>
              <w:rPr>
                <w:rFonts w:ascii="Times New Roman" w:cs="Times New Roman" w:eastAsia="Times New Roman" w:hAnsi="Times New Roman"/>
                <w:sz w:val="14"/>
                <w:szCs w:val="14"/>
                <w:color w:val="auto"/>
              </w:rPr>
              <w:t>”</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Custodian</w:t>
            </w:r>
            <w:r>
              <w:rPr>
                <w:rFonts w:ascii="Times New Roman" w:cs="Times New Roman" w:eastAsia="Times New Roman" w:hAnsi="Times New Roman"/>
                <w:sz w:val="14"/>
                <w:szCs w:val="14"/>
                <w:color w:val="auto"/>
              </w:rPr>
              <w:t>”</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4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Event of Default</w:t>
            </w:r>
            <w:r>
              <w:rPr>
                <w:rFonts w:ascii="Times New Roman" w:cs="Times New Roman" w:eastAsia="Times New Roman" w:hAnsi="Times New Roman"/>
                <w:sz w:val="14"/>
                <w:szCs w:val="14"/>
                <w:color w:val="auto"/>
              </w:rPr>
              <w:t>”</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Judgment Currency</w:t>
            </w:r>
            <w:r>
              <w:rPr>
                <w:rFonts w:ascii="Times New Roman" w:cs="Times New Roman" w:eastAsia="Times New Roman" w:hAnsi="Times New Roman"/>
                <w:sz w:val="14"/>
                <w:szCs w:val="14"/>
                <w:color w:val="auto"/>
              </w:rPr>
              <w:t>”</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4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mandatory sinking fund payment</w:t>
            </w:r>
            <w:r>
              <w:rPr>
                <w:rFonts w:ascii="Times New Roman" w:cs="Times New Roman" w:eastAsia="Times New Roman" w:hAnsi="Times New Roman"/>
                <w:sz w:val="14"/>
                <w:szCs w:val="14"/>
                <w:color w:val="auto"/>
              </w:rPr>
              <w:t>”</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New York Banking Day</w:t>
            </w:r>
            <w:r>
              <w:rPr>
                <w:rFonts w:ascii="Times New Roman" w:cs="Times New Roman" w:eastAsia="Times New Roman" w:hAnsi="Times New Roman"/>
                <w:sz w:val="14"/>
                <w:szCs w:val="14"/>
                <w:color w:val="auto"/>
              </w:rPr>
              <w:t>”</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4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Notice Agent</w:t>
            </w:r>
            <w:r>
              <w:rPr>
                <w:rFonts w:ascii="Times New Roman" w:cs="Times New Roman" w:eastAsia="Times New Roman" w:hAnsi="Times New Roman"/>
                <w:sz w:val="14"/>
                <w:szCs w:val="14"/>
                <w:color w:val="auto"/>
              </w:rPr>
              <w:t>”</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optional sinking fund payment</w:t>
            </w:r>
            <w:r>
              <w:rPr>
                <w:rFonts w:ascii="Times New Roman" w:cs="Times New Roman" w:eastAsia="Times New Roman" w:hAnsi="Times New Roman"/>
                <w:sz w:val="14"/>
                <w:szCs w:val="14"/>
                <w:color w:val="auto"/>
              </w:rPr>
              <w:t>”</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4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Paying Agent</w:t>
            </w:r>
            <w:r>
              <w:rPr>
                <w:rFonts w:ascii="Times New Roman" w:cs="Times New Roman" w:eastAsia="Times New Roman" w:hAnsi="Times New Roman"/>
                <w:sz w:val="14"/>
                <w:szCs w:val="14"/>
                <w:color w:val="auto"/>
              </w:rPr>
              <w:t>”</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Registrar</w:t>
            </w:r>
            <w:r>
              <w:rPr>
                <w:rFonts w:ascii="Times New Roman" w:cs="Times New Roman" w:eastAsia="Times New Roman" w:hAnsi="Times New Roman"/>
                <w:sz w:val="14"/>
                <w:szCs w:val="14"/>
                <w:color w:val="auto"/>
              </w:rPr>
              <w:t>”</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4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Required Currency</w:t>
            </w:r>
            <w:r>
              <w:rPr>
                <w:rFonts w:ascii="Times New Roman" w:cs="Times New Roman" w:eastAsia="Times New Roman" w:hAnsi="Times New Roman"/>
                <w:sz w:val="14"/>
                <w:szCs w:val="14"/>
                <w:color w:val="auto"/>
              </w:rPr>
              <w:t>”</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Specified Courts</w:t>
            </w:r>
            <w:r>
              <w:rPr>
                <w:rFonts w:ascii="Times New Roman" w:cs="Times New Roman" w:eastAsia="Times New Roman" w:hAnsi="Times New Roman"/>
                <w:sz w:val="14"/>
                <w:szCs w:val="14"/>
                <w:color w:val="auto"/>
              </w:rPr>
              <w:t>”</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40" w:type="dxa"/>
            <w:vAlign w:val="bottom"/>
            <w:shd w:val="clear" w:color="auto" w:fill="CCEEFF"/>
          </w:tcPr>
          <w:p>
            <w:pPr>
              <w:spacing w:after="0"/>
              <w:rPr>
                <w:sz w:val="14"/>
                <w:szCs w:val="14"/>
                <w:color w:val="auto"/>
              </w:rPr>
            </w:pPr>
          </w:p>
        </w:tc>
      </w:tr>
      <w:tr>
        <w:trPr>
          <w:trHeight w:val="184"/>
        </w:trPr>
        <w:tc>
          <w:tcPr>
            <w:tcW w:w="20" w:type="dxa"/>
            <w:vAlign w:val="bottom"/>
          </w:tcPr>
          <w:p>
            <w:pPr>
              <w:spacing w:after="0"/>
              <w:rPr>
                <w:sz w:val="16"/>
                <w:szCs w:val="16"/>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successor person</w:t>
            </w:r>
            <w:r>
              <w:rPr>
                <w:rFonts w:ascii="Times New Roman" w:cs="Times New Roman" w:eastAsia="Times New Roman" w:hAnsi="Times New Roman"/>
                <w:sz w:val="14"/>
                <w:szCs w:val="14"/>
                <w:color w:val="auto"/>
              </w:rPr>
              <w:t>”</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40" w:type="dxa"/>
            <w:vAlign w:val="bottom"/>
          </w:tcPr>
          <w:p>
            <w:pPr>
              <w:spacing w:after="0"/>
              <w:rPr>
                <w:sz w:val="16"/>
                <w:szCs w:val="16"/>
                <w:color w:val="auto"/>
              </w:rPr>
            </w:pPr>
          </w:p>
        </w:tc>
      </w:tr>
    </w:tbl>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Incorporation by Reference of Trust Indenture Act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Whenever this Indenture refers to a provision of the TIA, the provision is incorporated by reference in and made a part of this Indenture.</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following TIA terms used in this Indenture have the following meanings: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8" w:right="1440" w:bottom="1440" w:gutter="0" w:footer="0" w:header="0"/>
        </w:sectPr>
      </w:pPr>
    </w:p>
    <w:bookmarkStart w:id="110" w:name="page111"/>
    <w:bookmarkEnd w:id="110"/>
    <w:p>
      <w:pPr>
        <w:ind w:left="10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w:t>
      </w:r>
      <w:r>
        <w:rPr>
          <w:rFonts w:ascii="Times New Roman" w:cs="Times New Roman" w:eastAsia="Times New Roman" w:hAnsi="Times New Roman"/>
          <w:sz w:val="14"/>
          <w:szCs w:val="14"/>
          <w:i w:val="1"/>
          <w:iCs w:val="1"/>
          <w:color w:val="auto"/>
        </w:rPr>
        <w:t>Commission</w:t>
      </w:r>
      <w:r>
        <w:rPr>
          <w:rFonts w:ascii="Times New Roman" w:cs="Times New Roman" w:eastAsia="Times New Roman" w:hAnsi="Times New Roman"/>
          <w:sz w:val="14"/>
          <w:szCs w:val="14"/>
          <w:color w:val="auto"/>
        </w:rPr>
        <w:t>” means the SEC.</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 securities</w:t>
      </w:r>
      <w:r>
        <w:rPr>
          <w:rFonts w:ascii="Times New Roman" w:cs="Times New Roman" w:eastAsia="Times New Roman" w:hAnsi="Times New Roman"/>
          <w:sz w:val="14"/>
          <w:szCs w:val="14"/>
          <w:color w:val="auto"/>
        </w:rPr>
        <w:t>” means the Securities.</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 security holder</w:t>
      </w:r>
      <w:r>
        <w:rPr>
          <w:rFonts w:ascii="Times New Roman" w:cs="Times New Roman" w:eastAsia="Times New Roman" w:hAnsi="Times New Roman"/>
          <w:sz w:val="14"/>
          <w:szCs w:val="14"/>
          <w:color w:val="auto"/>
        </w:rPr>
        <w:t>” means a Holder.</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 to be qualified</w:t>
      </w:r>
      <w:r>
        <w:rPr>
          <w:rFonts w:ascii="Times New Roman" w:cs="Times New Roman" w:eastAsia="Times New Roman" w:hAnsi="Times New Roman"/>
          <w:sz w:val="14"/>
          <w:szCs w:val="14"/>
          <w:color w:val="auto"/>
        </w:rPr>
        <w:t>” means this Indenture.</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 trustee</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institutional trustee</w:t>
      </w:r>
      <w:r>
        <w:rPr>
          <w:rFonts w:ascii="Times New Roman" w:cs="Times New Roman" w:eastAsia="Times New Roman" w:hAnsi="Times New Roman"/>
          <w:sz w:val="14"/>
          <w:szCs w:val="14"/>
          <w:color w:val="auto"/>
        </w:rPr>
        <w:t>” means the Trustee.</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obligor</w:t>
      </w:r>
      <w:r>
        <w:rPr>
          <w:rFonts w:ascii="Times New Roman" w:cs="Times New Roman" w:eastAsia="Times New Roman" w:hAnsi="Times New Roman"/>
          <w:sz w:val="14"/>
          <w:szCs w:val="14"/>
          <w:color w:val="auto"/>
        </w:rPr>
        <w:t>” on the indenture securities means the Company and any successor obligor upon the Securities.</w:t>
      </w:r>
    </w:p>
    <w:p>
      <w:pPr>
        <w:spacing w:after="0" w:line="176" w:lineRule="exact"/>
        <w:rPr>
          <w:sz w:val="20"/>
          <w:szCs w:val="20"/>
          <w:color w:val="auto"/>
        </w:rPr>
      </w:pPr>
    </w:p>
    <w:p>
      <w:pPr>
        <w:ind w:left="240" w:right="579" w:firstLine="768"/>
        <w:spacing w:after="0" w:line="280" w:lineRule="auto"/>
        <w:rPr>
          <w:sz w:val="20"/>
          <w:szCs w:val="20"/>
          <w:color w:val="auto"/>
        </w:rPr>
      </w:pPr>
      <w:r>
        <w:rPr>
          <w:rFonts w:ascii="Times New Roman" w:cs="Times New Roman" w:eastAsia="Times New Roman" w:hAnsi="Times New Roman"/>
          <w:sz w:val="14"/>
          <w:szCs w:val="14"/>
          <w:color w:val="auto"/>
        </w:rPr>
        <w:t>All other terms used in this Indenture that are defined by the TIA, defined by TIA reference to another statute or defined by SEC rule under the TIA and not otherwise defined herein are used herein as so defined.</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u w:val="single" w:color="auto"/>
          <w:color w:val="auto"/>
        </w:rPr>
        <w:t>Rules of Construction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Unless the context otherwise requires:</w:t>
      </w:r>
    </w:p>
    <w:p>
      <w:pPr>
        <w:spacing w:after="0" w:line="90" w:lineRule="exact"/>
        <w:rPr>
          <w:sz w:val="20"/>
          <w:szCs w:val="20"/>
          <w:color w:val="auto"/>
        </w:rPr>
      </w:pPr>
    </w:p>
    <w:p>
      <w:pPr>
        <w:ind w:left="1100" w:hanging="193"/>
        <w:spacing w:after="0"/>
        <w:tabs>
          <w:tab w:leader="none" w:pos="11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term has the meaning assigned to it;</w:t>
      </w:r>
    </w:p>
    <w:p>
      <w:pPr>
        <w:spacing w:after="0" w:line="89"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accounting term not otherwise defined has the meaning assigned to it in accordance with GAAP;</w:t>
      </w:r>
    </w:p>
    <w:p>
      <w:pPr>
        <w:spacing w:after="0" w:line="87"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or</w:t>
      </w:r>
      <w:r>
        <w:rPr>
          <w:rFonts w:ascii="Times New Roman" w:cs="Times New Roman" w:eastAsia="Times New Roman" w:hAnsi="Times New Roman"/>
          <w:sz w:val="14"/>
          <w:szCs w:val="14"/>
          <w:color w:val="auto"/>
        </w:rPr>
        <w:t>” is not exclusive;</w:t>
      </w:r>
    </w:p>
    <w:p>
      <w:pPr>
        <w:spacing w:after="0" w:line="91"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words in the singular include the plural, and in the plural include the singular;</w:t>
      </w:r>
    </w:p>
    <w:p>
      <w:pPr>
        <w:spacing w:after="0" w:line="89"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apply to successive events and transactions;</w:t>
      </w:r>
    </w:p>
    <w:p>
      <w:pPr>
        <w:spacing w:after="0" w:line="89" w:lineRule="exact"/>
        <w:rPr>
          <w:rFonts w:ascii="Times New Roman" w:cs="Times New Roman" w:eastAsia="Times New Roman" w:hAnsi="Times New Roman"/>
          <w:sz w:val="14"/>
          <w:szCs w:val="14"/>
          <w:color w:val="auto"/>
        </w:rPr>
      </w:pPr>
    </w:p>
    <w:p>
      <w:pPr>
        <w:ind w:left="580" w:right="459" w:firstLine="327"/>
        <w:spacing w:after="0" w:line="280" w:lineRule="auto"/>
        <w:tabs>
          <w:tab w:leader="none" w:pos="1082"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computation of periods of time from a specified date to a later specified date, the word “from” means “from and including,” and the words “to” and “until” each mean “to but excluding”; and</w:t>
      </w:r>
    </w:p>
    <w:p>
      <w:pPr>
        <w:spacing w:after="0" w:line="42" w:lineRule="exact"/>
        <w:rPr>
          <w:rFonts w:ascii="Times New Roman" w:cs="Times New Roman" w:eastAsia="Times New Roman" w:hAnsi="Times New Roman"/>
          <w:sz w:val="14"/>
          <w:szCs w:val="14"/>
          <w:color w:val="auto"/>
        </w:rPr>
      </w:pPr>
    </w:p>
    <w:p>
      <w:pPr>
        <w:ind w:left="580" w:right="639" w:firstLine="327"/>
        <w:spacing w:after="0" w:line="280" w:lineRule="auto"/>
        <w:tabs>
          <w:tab w:leader="none" w:pos="1105"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phrase “in writing” as used herein shall be deemed to include PDFs, e-mails and other electronic means of transmission, unless otherwise indicated.</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8" w:right="1440"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II.</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SECURITIES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Issuable in Series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59" w:firstLine="768"/>
        <w:spacing w:after="0" w:line="254" w:lineRule="auto"/>
        <w:rPr>
          <w:sz w:val="20"/>
          <w:szCs w:val="20"/>
          <w:color w:val="auto"/>
        </w:rPr>
      </w:pPr>
      <w:r>
        <w:rPr>
          <w:rFonts w:ascii="Times New Roman" w:cs="Times New Roman" w:eastAsia="Times New Roman" w:hAnsi="Times New Roman"/>
          <w:sz w:val="14"/>
          <w:szCs w:val="14"/>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Establishment of Terms of Series of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439" w:firstLine="768"/>
        <w:spacing w:after="0" w:line="259" w:lineRule="auto"/>
        <w:rPr>
          <w:sz w:val="20"/>
          <w:szCs w:val="20"/>
          <w:color w:val="auto"/>
        </w:rPr>
      </w:pPr>
      <w:r>
        <w:rPr>
          <w:rFonts w:ascii="Times New Roman" w:cs="Times New Roman" w:eastAsia="Times New Roman" w:hAnsi="Times New Roman"/>
          <w:sz w:val="14"/>
          <w:szCs w:val="14"/>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141" w:lineRule="exact"/>
        <w:rPr>
          <w:sz w:val="20"/>
          <w:szCs w:val="20"/>
          <w:color w:val="auto"/>
        </w:rPr>
      </w:pPr>
    </w:p>
    <w:p>
      <w:pPr>
        <w:ind w:left="240" w:right="819" w:firstLine="768"/>
        <w:spacing w:after="0" w:line="280" w:lineRule="auto"/>
        <w:rPr>
          <w:sz w:val="20"/>
          <w:szCs w:val="20"/>
          <w:color w:val="auto"/>
        </w:rPr>
      </w:pPr>
      <w:r>
        <w:rPr>
          <w:rFonts w:ascii="Times New Roman" w:cs="Times New Roman" w:eastAsia="Times New Roman" w:hAnsi="Times New Roman"/>
          <w:sz w:val="14"/>
          <w:szCs w:val="14"/>
          <w:color w:val="auto"/>
        </w:rPr>
        <w:t>2.2.1. the title (which shall distinguish the Securities of that particular Series from the Securities of any other Series) and ranking (including the terms of any subordination provisions) of the Series;</w:t>
      </w:r>
    </w:p>
    <w:p>
      <w:pPr>
        <w:spacing w:after="0" w:line="1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2.2.2. the price or prices (expressed as a percentage of the principal amount thereof) at which the Securities of the Series will be issued;</w:t>
      </w:r>
    </w:p>
    <w:p>
      <w:pPr>
        <w:spacing w:after="0" w:line="174" w:lineRule="exact"/>
        <w:rPr>
          <w:sz w:val="20"/>
          <w:szCs w:val="20"/>
          <w:color w:val="auto"/>
        </w:rPr>
      </w:pPr>
    </w:p>
    <w:p>
      <w:pPr>
        <w:ind w:left="240" w:right="439" w:firstLine="768"/>
        <w:spacing w:after="0" w:line="265" w:lineRule="auto"/>
        <w:rPr>
          <w:sz w:val="20"/>
          <w:szCs w:val="20"/>
          <w:color w:val="auto"/>
        </w:rPr>
      </w:pPr>
      <w:r>
        <w:rPr>
          <w:rFonts w:ascii="Times New Roman" w:cs="Times New Roman" w:eastAsia="Times New Roman" w:hAnsi="Times New Roman"/>
          <w:sz w:val="14"/>
          <w:szCs w:val="14"/>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3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2.2.4. the date or dates on which the principal of the Securities of the Series is payable;</w:t>
      </w:r>
    </w:p>
    <w:p>
      <w:pPr>
        <w:spacing w:after="0" w:line="174" w:lineRule="exact"/>
        <w:rPr>
          <w:sz w:val="20"/>
          <w:szCs w:val="20"/>
          <w:color w:val="auto"/>
        </w:rPr>
      </w:pPr>
    </w:p>
    <w:p>
      <w:pPr>
        <w:ind w:left="240" w:right="259" w:firstLine="768"/>
        <w:spacing w:after="0" w:line="259" w:lineRule="auto"/>
        <w:rPr>
          <w:sz w:val="20"/>
          <w:szCs w:val="20"/>
          <w:color w:val="auto"/>
        </w:rPr>
      </w:pPr>
      <w:r>
        <w:rPr>
          <w:rFonts w:ascii="Times New Roman" w:cs="Times New Roman" w:eastAsia="Times New Roman" w:hAnsi="Times New Roman"/>
          <w:sz w:val="14"/>
          <w:szCs w:val="14"/>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41" w:lineRule="exact"/>
        <w:rPr>
          <w:sz w:val="20"/>
          <w:szCs w:val="20"/>
          <w:color w:val="auto"/>
        </w:rPr>
      </w:pPr>
    </w:p>
    <w:p>
      <w:pPr>
        <w:ind w:left="240" w:right="299" w:firstLine="768"/>
        <w:spacing w:after="0" w:line="265" w:lineRule="auto"/>
        <w:rPr>
          <w:sz w:val="20"/>
          <w:szCs w:val="20"/>
          <w:color w:val="auto"/>
        </w:rPr>
      </w:pPr>
      <w:r>
        <w:rPr>
          <w:rFonts w:ascii="Times New Roman" w:cs="Times New Roman" w:eastAsia="Times New Roman" w:hAnsi="Times New Roman"/>
          <w:sz w:val="14"/>
          <w:szCs w:val="14"/>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36" w:lineRule="exact"/>
        <w:rPr>
          <w:sz w:val="20"/>
          <w:szCs w:val="20"/>
          <w:color w:val="auto"/>
        </w:rPr>
      </w:pPr>
    </w:p>
    <w:p>
      <w:pPr>
        <w:ind w:left="240" w:right="279" w:firstLine="768"/>
        <w:spacing w:after="0" w:line="280" w:lineRule="auto"/>
        <w:rPr>
          <w:sz w:val="20"/>
          <w:szCs w:val="20"/>
          <w:color w:val="auto"/>
        </w:rPr>
      </w:pPr>
      <w:r>
        <w:rPr>
          <w:rFonts w:ascii="Times New Roman" w:cs="Times New Roman" w:eastAsia="Times New Roman" w:hAnsi="Times New Roman"/>
          <w:sz w:val="14"/>
          <w:szCs w:val="14"/>
          <w:color w:val="auto"/>
        </w:rPr>
        <w:t>2.2.7. if applicable, the period or periods within which, the price or prices at which and the terms and conditions upon which the Securities of the Series may be redeemed, in whole or in part, at the option of the Company;</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0" w:right="1440" w:bottom="1440" w:gutter="0" w:footer="0" w:header="0"/>
        </w:sectPr>
      </w:pPr>
    </w:p>
    <w:bookmarkStart w:id="112" w:name="page113"/>
    <w:bookmarkEnd w:id="112"/>
    <w:p>
      <w:pPr>
        <w:ind w:left="240" w:right="379" w:firstLine="768"/>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36" w:lineRule="exact"/>
        <w:rPr>
          <w:sz w:val="20"/>
          <w:szCs w:val="20"/>
          <w:color w:val="auto"/>
        </w:rPr>
      </w:pPr>
    </w:p>
    <w:p>
      <w:pPr>
        <w:ind w:left="240" w:right="479" w:firstLine="768"/>
        <w:spacing w:after="0" w:line="280" w:lineRule="auto"/>
        <w:rPr>
          <w:sz w:val="20"/>
          <w:szCs w:val="20"/>
          <w:color w:val="auto"/>
        </w:rPr>
      </w:pPr>
      <w:r>
        <w:rPr>
          <w:rFonts w:ascii="Times New Roman" w:cs="Times New Roman" w:eastAsia="Times New Roman" w:hAnsi="Times New Roman"/>
          <w:sz w:val="14"/>
          <w:szCs w:val="14"/>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26" w:lineRule="exact"/>
        <w:rPr>
          <w:sz w:val="20"/>
          <w:szCs w:val="20"/>
          <w:color w:val="auto"/>
        </w:rPr>
      </w:pPr>
    </w:p>
    <w:p>
      <w:pPr>
        <w:ind w:left="240" w:right="499" w:firstLine="768"/>
        <w:spacing w:after="0" w:line="280" w:lineRule="auto"/>
        <w:rPr>
          <w:sz w:val="20"/>
          <w:szCs w:val="20"/>
          <w:color w:val="auto"/>
        </w:rPr>
      </w:pPr>
      <w:r>
        <w:rPr>
          <w:rFonts w:ascii="Times New Roman" w:cs="Times New Roman" w:eastAsia="Times New Roman" w:hAnsi="Times New Roman"/>
          <w:sz w:val="14"/>
          <w:szCs w:val="14"/>
          <w:color w:val="auto"/>
        </w:rPr>
        <w:t>2.2.10. if other than denominations of $1,000 and any integral multiple thereof, the denominations in which the Securities of the Series shall be issuable;</w:t>
      </w:r>
    </w:p>
    <w:p>
      <w:pPr>
        <w:spacing w:after="0" w:line="1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2.2.11. the forms of the Securities of the Series and whether the Securities will be issuable as Global Securities;</w:t>
      </w:r>
    </w:p>
    <w:p>
      <w:pPr>
        <w:spacing w:after="0" w:line="174" w:lineRule="exact"/>
        <w:rPr>
          <w:sz w:val="20"/>
          <w:szCs w:val="20"/>
          <w:color w:val="auto"/>
        </w:rPr>
      </w:pPr>
    </w:p>
    <w:p>
      <w:pPr>
        <w:jc w:val="both"/>
        <w:ind w:left="240" w:right="439" w:firstLine="768"/>
        <w:spacing w:after="0" w:line="280" w:lineRule="auto"/>
        <w:rPr>
          <w:sz w:val="20"/>
          <w:szCs w:val="20"/>
          <w:color w:val="auto"/>
        </w:rPr>
      </w:pPr>
      <w:r>
        <w:rPr>
          <w:rFonts w:ascii="Times New Roman" w:cs="Times New Roman" w:eastAsia="Times New Roman" w:hAnsi="Times New Roman"/>
          <w:sz w:val="14"/>
          <w:szCs w:val="14"/>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26" w:lineRule="exact"/>
        <w:rPr>
          <w:sz w:val="20"/>
          <w:szCs w:val="20"/>
          <w:color w:val="auto"/>
        </w:rPr>
      </w:pPr>
    </w:p>
    <w:p>
      <w:pPr>
        <w:ind w:left="240" w:right="379" w:firstLine="768"/>
        <w:spacing w:after="0" w:line="280" w:lineRule="auto"/>
        <w:rPr>
          <w:sz w:val="20"/>
          <w:szCs w:val="20"/>
          <w:color w:val="auto"/>
        </w:rPr>
      </w:pPr>
      <w:r>
        <w:rPr>
          <w:rFonts w:ascii="Times New Roman" w:cs="Times New Roman" w:eastAsia="Times New Roman" w:hAnsi="Times New Roman"/>
          <w:sz w:val="14"/>
          <w:szCs w:val="14"/>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26" w:lineRule="exact"/>
        <w:rPr>
          <w:sz w:val="20"/>
          <w:szCs w:val="20"/>
          <w:color w:val="auto"/>
        </w:rPr>
      </w:pPr>
    </w:p>
    <w:p>
      <w:pPr>
        <w:ind w:left="240" w:right="719" w:firstLine="768"/>
        <w:spacing w:after="0" w:line="280" w:lineRule="auto"/>
        <w:rPr>
          <w:sz w:val="20"/>
          <w:szCs w:val="20"/>
          <w:color w:val="auto"/>
        </w:rPr>
      </w:pPr>
      <w:r>
        <w:rPr>
          <w:rFonts w:ascii="Times New Roman" w:cs="Times New Roman" w:eastAsia="Times New Roman" w:hAnsi="Times New Roman"/>
          <w:sz w:val="14"/>
          <w:szCs w:val="14"/>
          <w:color w:val="auto"/>
        </w:rPr>
        <w:t>2.2.14. the designation of the currency, currencies or currency units in which payment of the principal of and interest, if any, on the Securities of the Series will be made;</w:t>
      </w:r>
    </w:p>
    <w:p>
      <w:pPr>
        <w:spacing w:after="0" w:line="126" w:lineRule="exact"/>
        <w:rPr>
          <w:sz w:val="20"/>
          <w:szCs w:val="20"/>
          <w:color w:val="auto"/>
        </w:rPr>
      </w:pPr>
    </w:p>
    <w:p>
      <w:pPr>
        <w:jc w:val="both"/>
        <w:ind w:left="240" w:right="419" w:firstLine="768"/>
        <w:spacing w:after="0" w:line="265" w:lineRule="auto"/>
        <w:rPr>
          <w:sz w:val="20"/>
          <w:szCs w:val="20"/>
          <w:color w:val="auto"/>
        </w:rPr>
      </w:pPr>
      <w:r>
        <w:rPr>
          <w:rFonts w:ascii="Times New Roman" w:cs="Times New Roman" w:eastAsia="Times New Roman" w:hAnsi="Times New Roman"/>
          <w:sz w:val="14"/>
          <w:szCs w:val="14"/>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36" w:lineRule="exact"/>
        <w:rPr>
          <w:sz w:val="20"/>
          <w:szCs w:val="20"/>
          <w:color w:val="auto"/>
        </w:rPr>
      </w:pPr>
    </w:p>
    <w:p>
      <w:pPr>
        <w:ind w:left="240" w:right="299" w:firstLine="768"/>
        <w:spacing w:after="0" w:line="265" w:lineRule="auto"/>
        <w:rPr>
          <w:sz w:val="20"/>
          <w:szCs w:val="20"/>
          <w:color w:val="auto"/>
        </w:rPr>
      </w:pPr>
      <w:r>
        <w:rPr>
          <w:rFonts w:ascii="Times New Roman" w:cs="Times New Roman" w:eastAsia="Times New Roman" w:hAnsi="Times New Roman"/>
          <w:sz w:val="14"/>
          <w:szCs w:val="14"/>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3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2.2.17. the provisions, if any, relating to any security provided for the Securities of the Series;</w:t>
      </w:r>
    </w:p>
    <w:p>
      <w:pPr>
        <w:spacing w:after="0" w:line="174" w:lineRule="exact"/>
        <w:rPr>
          <w:sz w:val="20"/>
          <w:szCs w:val="20"/>
          <w:color w:val="auto"/>
        </w:rPr>
      </w:pPr>
    </w:p>
    <w:p>
      <w:pPr>
        <w:ind w:left="240" w:right="399" w:firstLine="768"/>
        <w:spacing w:after="0" w:line="280" w:lineRule="auto"/>
        <w:rPr>
          <w:sz w:val="20"/>
          <w:szCs w:val="20"/>
          <w:color w:val="auto"/>
        </w:rPr>
      </w:pPr>
      <w:r>
        <w:rPr>
          <w:rFonts w:ascii="Times New Roman" w:cs="Times New Roman" w:eastAsia="Times New Roman" w:hAnsi="Times New Roman"/>
          <w:sz w:val="14"/>
          <w:szCs w:val="14"/>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2.2.19. any addition to, deletion of or change in the covenants applicable to Securities of the Series;</w:t>
      </w:r>
    </w:p>
    <w:p>
      <w:pPr>
        <w:spacing w:after="0" w:line="1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40" w:right="1440" w:bottom="1440" w:gutter="0" w:footer="0" w:header="0"/>
        </w:sectPr>
      </w:pPr>
    </w:p>
    <w:bookmarkStart w:id="113" w:name="page114"/>
    <w:bookmarkEnd w:id="113"/>
    <w:p>
      <w:pPr>
        <w:ind w:left="240" w:right="279" w:firstLine="768"/>
        <w:spacing w:after="0" w:line="28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2.2.20. any Depositaries, interest rate calculation agents, exchange rate calculation agents or other agents with respect to Securities of such Series if other than those appointed herein;</w:t>
      </w:r>
    </w:p>
    <w:p>
      <w:pPr>
        <w:spacing w:after="0" w:line="126" w:lineRule="exact"/>
        <w:rPr>
          <w:sz w:val="20"/>
          <w:szCs w:val="20"/>
          <w:color w:val="auto"/>
        </w:rPr>
      </w:pPr>
    </w:p>
    <w:p>
      <w:pPr>
        <w:ind w:left="240" w:right="279" w:firstLine="768"/>
        <w:spacing w:after="0" w:line="259" w:lineRule="auto"/>
        <w:rPr>
          <w:sz w:val="20"/>
          <w:szCs w:val="20"/>
          <w:color w:val="auto"/>
        </w:rPr>
      </w:pPr>
      <w:r>
        <w:rPr>
          <w:rFonts w:ascii="Times New Roman" w:cs="Times New Roman" w:eastAsia="Times New Roman" w:hAnsi="Times New Roman"/>
          <w:sz w:val="14"/>
          <w:szCs w:val="14"/>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41" w:lineRule="exact"/>
        <w:rPr>
          <w:sz w:val="20"/>
          <w:szCs w:val="20"/>
          <w:color w:val="auto"/>
        </w:rPr>
      </w:pPr>
    </w:p>
    <w:p>
      <w:pPr>
        <w:jc w:val="both"/>
        <w:ind w:left="240" w:right="319" w:firstLine="768"/>
        <w:spacing w:after="0" w:line="265" w:lineRule="auto"/>
        <w:rPr>
          <w:sz w:val="20"/>
          <w:szCs w:val="20"/>
          <w:color w:val="auto"/>
        </w:rPr>
      </w:pPr>
      <w:r>
        <w:rPr>
          <w:rFonts w:ascii="Times New Roman" w:cs="Times New Roman" w:eastAsia="Times New Roman" w:hAnsi="Times New Roman"/>
          <w:sz w:val="14"/>
          <w:szCs w:val="14"/>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36" w:lineRule="exact"/>
        <w:rPr>
          <w:sz w:val="20"/>
          <w:szCs w:val="20"/>
          <w:color w:val="auto"/>
        </w:rPr>
      </w:pPr>
    </w:p>
    <w:p>
      <w:pPr>
        <w:ind w:left="240" w:right="519" w:firstLine="768"/>
        <w:spacing w:after="0" w:line="280" w:lineRule="auto"/>
        <w:rPr>
          <w:sz w:val="20"/>
          <w:szCs w:val="20"/>
          <w:color w:val="auto"/>
        </w:rPr>
      </w:pPr>
      <w:r>
        <w:rPr>
          <w:rFonts w:ascii="Times New Roman" w:cs="Times New Roman" w:eastAsia="Times New Roman" w:hAnsi="Times New Roman"/>
          <w:sz w:val="14"/>
          <w:szCs w:val="14"/>
          <w:color w:val="auto"/>
        </w:rPr>
        <w:t>2.2.23. whether any of the Company’s direct or indirect Subsidiaries will guarantee the Securities of that Series, including the terms of subordination, if any, of such guarantees.</w:t>
      </w:r>
    </w:p>
    <w:p>
      <w:pPr>
        <w:spacing w:after="0" w:line="126" w:lineRule="exact"/>
        <w:rPr>
          <w:sz w:val="20"/>
          <w:szCs w:val="20"/>
          <w:color w:val="auto"/>
        </w:rPr>
      </w:pPr>
    </w:p>
    <w:p>
      <w:pPr>
        <w:ind w:left="240" w:right="319" w:firstLine="768"/>
        <w:spacing w:after="0" w:line="280" w:lineRule="auto"/>
        <w:rPr>
          <w:sz w:val="20"/>
          <w:szCs w:val="20"/>
          <w:color w:val="auto"/>
        </w:rPr>
      </w:pPr>
      <w:r>
        <w:rPr>
          <w:rFonts w:ascii="Times New Roman" w:cs="Times New Roman" w:eastAsia="Times New Roman" w:hAnsi="Times New Roman"/>
          <w:sz w:val="14"/>
          <w:szCs w:val="14"/>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Execution and Authentication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An Officer shall sign the Securities for the Company by manual, facsimile or electronic signature.</w:t>
      </w:r>
    </w:p>
    <w:p>
      <w:pPr>
        <w:spacing w:after="0" w:line="174" w:lineRule="exact"/>
        <w:rPr>
          <w:sz w:val="20"/>
          <w:szCs w:val="20"/>
          <w:color w:val="auto"/>
        </w:rPr>
      </w:pPr>
    </w:p>
    <w:p>
      <w:pPr>
        <w:ind w:left="240" w:right="719" w:firstLine="768"/>
        <w:spacing w:after="0" w:line="280" w:lineRule="auto"/>
        <w:rPr>
          <w:sz w:val="20"/>
          <w:szCs w:val="20"/>
          <w:color w:val="auto"/>
        </w:rPr>
      </w:pPr>
      <w:r>
        <w:rPr>
          <w:rFonts w:ascii="Times New Roman" w:cs="Times New Roman" w:eastAsia="Times New Roman" w:hAnsi="Times New Roman"/>
          <w:sz w:val="14"/>
          <w:szCs w:val="14"/>
          <w:color w:val="auto"/>
        </w:rPr>
        <w:t>If an Officer whose signature is on a Security no longer holds that office at the time the Security is authenticated, the Security shall nevertheless be valid.</w:t>
      </w:r>
    </w:p>
    <w:p>
      <w:pPr>
        <w:spacing w:after="0" w:line="126" w:lineRule="exact"/>
        <w:rPr>
          <w:sz w:val="20"/>
          <w:szCs w:val="20"/>
          <w:color w:val="auto"/>
        </w:rPr>
      </w:pPr>
    </w:p>
    <w:p>
      <w:pPr>
        <w:ind w:left="240" w:right="399" w:firstLine="768"/>
        <w:spacing w:after="0" w:line="280" w:lineRule="auto"/>
        <w:rPr>
          <w:sz w:val="20"/>
          <w:szCs w:val="20"/>
          <w:color w:val="auto"/>
        </w:rPr>
      </w:pPr>
      <w:r>
        <w:rPr>
          <w:rFonts w:ascii="Times New Roman" w:cs="Times New Roman" w:eastAsia="Times New Roman" w:hAnsi="Times New Roman"/>
          <w:sz w:val="14"/>
          <w:szCs w:val="14"/>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26" w:lineRule="exact"/>
        <w:rPr>
          <w:sz w:val="20"/>
          <w:szCs w:val="20"/>
          <w:color w:val="auto"/>
        </w:rPr>
      </w:pPr>
    </w:p>
    <w:p>
      <w:pPr>
        <w:ind w:left="240" w:right="319" w:firstLine="768"/>
        <w:spacing w:after="0" w:line="265" w:lineRule="auto"/>
        <w:rPr>
          <w:sz w:val="20"/>
          <w:szCs w:val="20"/>
          <w:color w:val="auto"/>
        </w:rPr>
      </w:pPr>
      <w:r>
        <w:rPr>
          <w:rFonts w:ascii="Times New Roman" w:cs="Times New Roman" w:eastAsia="Times New Roman" w:hAnsi="Times New Roman"/>
          <w:sz w:val="14"/>
          <w:szCs w:val="14"/>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36" w:lineRule="exact"/>
        <w:rPr>
          <w:sz w:val="20"/>
          <w:szCs w:val="20"/>
          <w:color w:val="auto"/>
        </w:rPr>
      </w:pPr>
    </w:p>
    <w:p>
      <w:pPr>
        <w:jc w:val="both"/>
        <w:ind w:left="240" w:right="279" w:firstLine="768"/>
        <w:spacing w:after="0" w:line="265" w:lineRule="auto"/>
        <w:rPr>
          <w:sz w:val="20"/>
          <w:szCs w:val="20"/>
          <w:color w:val="auto"/>
        </w:rPr>
      </w:pPr>
      <w:r>
        <w:rPr>
          <w:rFonts w:ascii="Times New Roman" w:cs="Times New Roman" w:eastAsia="Times New Roman" w:hAnsi="Times New Roman"/>
          <w:sz w:val="14"/>
          <w:szCs w:val="14"/>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114" w:name="page115"/>
    <w:bookmarkEnd w:id="114"/>
    <w:p>
      <w:pPr>
        <w:ind w:left="100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Prior to the issuance of Securities of any Series, the Trustee shall have received and (subject to Section 7.2) shall be fully protected in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relying on: (a) the Board Resolution, supplemental indenture hereto or Officer’s Certificate establishing the form of the Securities of that Series or of</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Securities within that Series and the terms of the Securities of that Series or of Securities within that Series, (b) an Officer’s Certificate complying with</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Sections 10.4 and 10.5, and (c) an Opinion of Counsel complying with Sections 10.4 and 10.5.</w:t>
      </w:r>
    </w:p>
    <w:p>
      <w:pPr>
        <w:spacing w:after="0" w:line="159" w:lineRule="exact"/>
        <w:rPr>
          <w:sz w:val="20"/>
          <w:szCs w:val="20"/>
          <w:color w:val="auto"/>
        </w:rPr>
      </w:pPr>
    </w:p>
    <w:p>
      <w:pPr>
        <w:ind w:left="240" w:right="319" w:firstLine="768"/>
        <w:spacing w:after="0" w:line="265" w:lineRule="auto"/>
        <w:rPr>
          <w:sz w:val="20"/>
          <w:szCs w:val="20"/>
          <w:color w:val="auto"/>
        </w:rPr>
      </w:pPr>
      <w:r>
        <w:rPr>
          <w:rFonts w:ascii="Times New Roman" w:cs="Times New Roman" w:eastAsia="Times New Roman" w:hAnsi="Times New Roman"/>
          <w:sz w:val="14"/>
          <w:szCs w:val="14"/>
          <w:color w:val="auto"/>
        </w:rPr>
        <w:t>The Trustee shall have the right to decline to authenticate and deliver any Securities of such Series: (a) if the Trustee, being advised by counsel, determines that such action may not be taken lawfully; or (b) if the Trustee in good faith determines that such action may expose the Trustee to personal liability.</w:t>
      </w:r>
    </w:p>
    <w:p>
      <w:pPr>
        <w:spacing w:after="0" w:line="136" w:lineRule="exact"/>
        <w:rPr>
          <w:sz w:val="20"/>
          <w:szCs w:val="20"/>
          <w:color w:val="auto"/>
        </w:rPr>
      </w:pPr>
    </w:p>
    <w:p>
      <w:pPr>
        <w:ind w:left="240" w:right="259" w:firstLine="768"/>
        <w:spacing w:after="0" w:line="265" w:lineRule="auto"/>
        <w:rPr>
          <w:sz w:val="20"/>
          <w:szCs w:val="20"/>
          <w:color w:val="auto"/>
        </w:rPr>
      </w:pPr>
      <w:r>
        <w:rPr>
          <w:rFonts w:ascii="Times New Roman" w:cs="Times New Roman" w:eastAsia="Times New Roman" w:hAnsi="Times New Roman"/>
          <w:sz w:val="14"/>
          <w:szCs w:val="14"/>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u w:val="single" w:color="auto"/>
          <w:color w:val="auto"/>
        </w:rPr>
        <w:t>Registrar, Paying Agent and Notice Agent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79" w:firstLine="768"/>
        <w:spacing w:after="0" w:line="252" w:lineRule="auto"/>
        <w:rPr>
          <w:sz w:val="20"/>
          <w:szCs w:val="20"/>
          <w:color w:val="auto"/>
        </w:rPr>
      </w:pPr>
      <w:r>
        <w:rPr>
          <w:rFonts w:ascii="Times New Roman" w:cs="Times New Roman" w:eastAsia="Times New Roman" w:hAnsi="Times New Roman"/>
          <w:sz w:val="14"/>
          <w:szCs w:val="14"/>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cs="Times New Roman" w:eastAsia="Times New Roman" w:hAnsi="Times New Roman"/>
          <w:sz w:val="14"/>
          <w:szCs w:val="14"/>
          <w:i w:val="1"/>
          <w:iCs w:val="1"/>
          <w:color w:val="auto"/>
        </w:rPr>
        <w:t>Paying Agent</w:t>
      </w:r>
      <w:r>
        <w:rPr>
          <w:rFonts w:ascii="Times New Roman" w:cs="Times New Roman" w:eastAsia="Times New Roman" w:hAnsi="Times New Roman"/>
          <w:sz w:val="14"/>
          <w:szCs w:val="14"/>
          <w:color w:val="auto"/>
        </w:rPr>
        <w:t>”), where Securities of such Series may be surrendered for registration of transfer or exchange (“</w:t>
      </w:r>
      <w:r>
        <w:rPr>
          <w:rFonts w:ascii="Times New Roman" w:cs="Times New Roman" w:eastAsia="Times New Roman" w:hAnsi="Times New Roman"/>
          <w:sz w:val="14"/>
          <w:szCs w:val="14"/>
          <w:i w:val="1"/>
          <w:iCs w:val="1"/>
          <w:color w:val="auto"/>
        </w:rPr>
        <w:t>Registrar</w:t>
      </w:r>
      <w:r>
        <w:rPr>
          <w:rFonts w:ascii="Times New Roman" w:cs="Times New Roman" w:eastAsia="Times New Roman" w:hAnsi="Times New Roman"/>
          <w:sz w:val="14"/>
          <w:szCs w:val="14"/>
          <w:color w:val="auto"/>
        </w:rPr>
        <w:t>”) and where notices and demands to or upon the Company in respect of the Securities of such Series and this Indenture may be delivered (“</w:t>
      </w:r>
      <w:r>
        <w:rPr>
          <w:rFonts w:ascii="Times New Roman" w:cs="Times New Roman" w:eastAsia="Times New Roman" w:hAnsi="Times New Roman"/>
          <w:sz w:val="14"/>
          <w:szCs w:val="14"/>
          <w:i w:val="1"/>
          <w:iCs w:val="1"/>
          <w:color w:val="auto"/>
        </w:rPr>
        <w:t>Notice Agent</w:t>
      </w:r>
      <w:r>
        <w:rPr>
          <w:rFonts w:ascii="Times New Roman" w:cs="Times New Roman" w:eastAsia="Times New Roman" w:hAnsi="Times New Roman"/>
          <w:sz w:val="14"/>
          <w:szCs w:val="14"/>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any appointment of the Trustee as the Notice Agent shall exclude the appointment of the Trustee or any office of the Trustee as an agent to receive the service of legal process on the Company.</w:t>
      </w:r>
    </w:p>
    <w:p>
      <w:pPr>
        <w:spacing w:after="0" w:line="150" w:lineRule="exact"/>
        <w:rPr>
          <w:sz w:val="20"/>
          <w:szCs w:val="20"/>
          <w:color w:val="auto"/>
        </w:rPr>
      </w:pPr>
    </w:p>
    <w:p>
      <w:pPr>
        <w:ind w:left="240" w:right="319" w:firstLine="768"/>
        <w:spacing w:after="0" w:line="254" w:lineRule="auto"/>
        <w:rPr>
          <w:sz w:val="20"/>
          <w:szCs w:val="20"/>
          <w:color w:val="auto"/>
        </w:rPr>
      </w:pPr>
      <w:r>
        <w:rPr>
          <w:rFonts w:ascii="Times New Roman" w:cs="Times New Roman" w:eastAsia="Times New Roman" w:hAnsi="Times New Roman"/>
          <w:sz w:val="14"/>
          <w:szCs w:val="14"/>
          <w:color w:val="auto"/>
        </w:rPr>
        <w:t xml:space="preserve">The Company may also from time to time designate one or more co-registrars, additional paying agents or additional notice agents and may from time to time rescind such designations;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cs="Times New Roman" w:eastAsia="Times New Roman" w:hAnsi="Times New Roman"/>
          <w:sz w:val="14"/>
          <w:szCs w:val="14"/>
          <w:i w:val="1"/>
          <w:iCs w:val="1"/>
          <w:color w:val="auto"/>
        </w:rPr>
        <w:t>Registrar</w:t>
      </w:r>
      <w:r>
        <w:rPr>
          <w:rFonts w:ascii="Times New Roman" w:cs="Times New Roman" w:eastAsia="Times New Roman" w:hAnsi="Times New Roman"/>
          <w:sz w:val="14"/>
          <w:szCs w:val="14"/>
          <w:color w:val="auto"/>
        </w:rPr>
        <w:t>” includes any co-registrar; the term “</w:t>
      </w:r>
      <w:r>
        <w:rPr>
          <w:rFonts w:ascii="Times New Roman" w:cs="Times New Roman" w:eastAsia="Times New Roman" w:hAnsi="Times New Roman"/>
          <w:sz w:val="14"/>
          <w:szCs w:val="14"/>
          <w:i w:val="1"/>
          <w:iCs w:val="1"/>
          <w:color w:val="auto"/>
        </w:rPr>
        <w:t>Paying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Agent</w:t>
      </w:r>
      <w:r>
        <w:rPr>
          <w:rFonts w:ascii="Times New Roman" w:cs="Times New Roman" w:eastAsia="Times New Roman" w:hAnsi="Times New Roman"/>
          <w:sz w:val="14"/>
          <w:szCs w:val="14"/>
          <w:color w:val="auto"/>
        </w:rPr>
        <w:t>” includes any additional paying agent; and the term “</w:t>
      </w:r>
      <w:r>
        <w:rPr>
          <w:rFonts w:ascii="Times New Roman" w:cs="Times New Roman" w:eastAsia="Times New Roman" w:hAnsi="Times New Roman"/>
          <w:sz w:val="14"/>
          <w:szCs w:val="14"/>
          <w:i w:val="1"/>
          <w:iCs w:val="1"/>
          <w:color w:val="auto"/>
        </w:rPr>
        <w:t>Notice Agent</w:t>
      </w:r>
      <w:r>
        <w:rPr>
          <w:rFonts w:ascii="Times New Roman" w:cs="Times New Roman" w:eastAsia="Times New Roman" w:hAnsi="Times New Roman"/>
          <w:sz w:val="14"/>
          <w:szCs w:val="14"/>
          <w:color w:val="auto"/>
        </w:rPr>
        <w:t>” includes any additional notice agent. The Company or any of its Affiliates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may serve as Registrar or Paying Agent.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115" w:name="page116"/>
    <w:bookmarkEnd w:id="115"/>
    <w:p>
      <w:pPr>
        <w:ind w:left="240" w:right="259" w:firstLine="341"/>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Company hereby appoints the Trustee the initial Registrar, Paying Agent and Notice Agent for each Series unless another Registrar, Paying Agent or Notice Agent, as the case may be, is appointed prior to the time Securities of that Series are first issued. The rights, powers, duties, obligations and actions of each Agent under this Indenture are several and not joint or joint and several, and the Agents shall only be obliged to perform those duties expressly set out in this Indenture and shall have no implied duties.</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2.5. </w:t>
      </w:r>
      <w:r>
        <w:rPr>
          <w:rFonts w:ascii="Times New Roman" w:cs="Times New Roman" w:eastAsia="Times New Roman" w:hAnsi="Times New Roman"/>
          <w:sz w:val="14"/>
          <w:szCs w:val="14"/>
          <w:u w:val="single" w:color="auto"/>
          <w:color w:val="auto"/>
        </w:rPr>
        <w:t>Paying Agent to Hold Money in Trust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59" w:firstLine="768"/>
        <w:spacing w:after="0" w:line="274" w:lineRule="auto"/>
        <w:rPr>
          <w:sz w:val="20"/>
          <w:szCs w:val="20"/>
          <w:color w:val="auto"/>
        </w:rPr>
      </w:pPr>
      <w:r>
        <w:rPr>
          <w:rFonts w:ascii="Times New Roman" w:cs="Times New Roman" w:eastAsia="Times New Roman" w:hAnsi="Times New Roman"/>
          <w:sz w:val="13"/>
          <w:szCs w:val="13"/>
          <w:color w:val="auto"/>
        </w:rPr>
        <w:t>The Company shall require each Paying Agent other than the Trustee to agree in writing that the Paying Agent will hold in trust, for the benefit of 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Holders of any Series of Securities all money held by it as Paying Agent. Upon any bankruptcy, reorganization or similar proceeding with respect to the Company, the Trustee shall serve as Paying Agent for the Securities. For the avoidance of doubt, a Paying Agent and the Trustee shall be held harmless and have no liability with respect to payments or disbursements (including to the Holders) until they have confirmed receipt of funds sufficient to make the relevant payment. No money held by an Agent needs to be segregated except as is required by law.</w:t>
      </w:r>
    </w:p>
    <w:p>
      <w:pPr>
        <w:spacing w:after="0" w:line="1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2.6. </w:t>
      </w:r>
      <w:r>
        <w:rPr>
          <w:rFonts w:ascii="Times New Roman" w:cs="Times New Roman" w:eastAsia="Times New Roman" w:hAnsi="Times New Roman"/>
          <w:sz w:val="14"/>
          <w:szCs w:val="14"/>
          <w:u w:val="single" w:color="auto"/>
          <w:color w:val="auto"/>
        </w:rPr>
        <w:t>Holder Lists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319" w:firstLine="768"/>
        <w:spacing w:after="0" w:line="286" w:lineRule="auto"/>
        <w:rPr>
          <w:sz w:val="20"/>
          <w:szCs w:val="20"/>
          <w:color w:val="auto"/>
        </w:rPr>
      </w:pPr>
      <w:r>
        <w:rPr>
          <w:rFonts w:ascii="Times New Roman" w:cs="Times New Roman" w:eastAsia="Times New Roman" w:hAnsi="Times New Roman"/>
          <w:sz w:val="13"/>
          <w:szCs w:val="13"/>
          <w:color w:val="auto"/>
        </w:rPr>
        <w:t>If it is serving as Registrar, the Trustee shall preserve in as current a form as is reasonably practicable the most recent list available to it of the names and addresses of 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Holders of each Series of Securities.</w:t>
      </w:r>
    </w:p>
    <w:p>
      <w:pPr>
        <w:spacing w:after="0" w:line="124" w:lineRule="exact"/>
        <w:rPr>
          <w:sz w:val="20"/>
          <w:szCs w:val="20"/>
          <w:color w:val="auto"/>
        </w:rPr>
      </w:pPr>
    </w:p>
    <w:p>
      <w:pPr>
        <w:ind w:left="240" w:right="259" w:firstLine="768"/>
        <w:spacing w:after="0" w:line="259" w:lineRule="auto"/>
        <w:rPr>
          <w:sz w:val="20"/>
          <w:szCs w:val="20"/>
          <w:color w:val="auto"/>
        </w:rPr>
      </w:pPr>
      <w:r>
        <w:rPr>
          <w:rFonts w:ascii="Times New Roman" w:cs="Times New Roman" w:eastAsia="Times New Roman" w:hAnsi="Times New Roman"/>
          <w:sz w:val="14"/>
          <w:szCs w:val="14"/>
          <w:color w:val="auto"/>
        </w:rPr>
        <w:t>Every Holder, by receiving and holding Securities, agrees with the Company and the Trustee that neither the Company nor the Trustee or any agent of either of them shall be held accountable by reason of the disclosure of any such information as to the names and addresses of the Holders in accordance with TIA § 312, regardless of the source from which such information was derived, and that the Trustee shall not be held accountable by reason of mailing any material pursuant to a request made under TIA § 312(b).</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116" w:name="page117"/>
    <w:bookmarkEnd w:id="116"/>
    <w:p>
      <w:pPr>
        <w:ind w:left="5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Section 2.7. </w:t>
      </w:r>
      <w:r>
        <w:rPr>
          <w:rFonts w:ascii="Times New Roman" w:cs="Times New Roman" w:eastAsia="Times New Roman" w:hAnsi="Times New Roman"/>
          <w:sz w:val="14"/>
          <w:szCs w:val="14"/>
          <w:u w:val="single" w:color="auto"/>
          <w:color w:val="auto"/>
        </w:rPr>
        <w:t>Transfer and Exchange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59" w:firstLine="768"/>
        <w:spacing w:after="0" w:line="255" w:lineRule="auto"/>
        <w:rPr>
          <w:sz w:val="20"/>
          <w:szCs w:val="20"/>
          <w:color w:val="auto"/>
        </w:rPr>
      </w:pPr>
      <w:r>
        <w:rPr>
          <w:rFonts w:ascii="Times New Roman" w:cs="Times New Roman" w:eastAsia="Times New Roman" w:hAnsi="Times New Roman"/>
          <w:sz w:val="14"/>
          <w:szCs w:val="14"/>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45" w:lineRule="exact"/>
        <w:rPr>
          <w:sz w:val="20"/>
          <w:szCs w:val="20"/>
          <w:color w:val="auto"/>
        </w:rPr>
      </w:pPr>
    </w:p>
    <w:p>
      <w:pPr>
        <w:ind w:left="240" w:right="259" w:firstLine="768"/>
        <w:spacing w:after="0" w:line="281" w:lineRule="auto"/>
        <w:rPr>
          <w:sz w:val="20"/>
          <w:szCs w:val="20"/>
          <w:color w:val="auto"/>
        </w:rPr>
      </w:pPr>
      <w:r>
        <w:rPr>
          <w:rFonts w:ascii="Times New Roman" w:cs="Times New Roman" w:eastAsia="Times New Roman" w:hAnsi="Times New Roman"/>
          <w:sz w:val="13"/>
          <w:szCs w:val="13"/>
          <w:color w:val="auto"/>
        </w:rPr>
        <w:t>Neither the Company nor the Registrar shall be required (a) to issue, register the transfer of or exchange Securities of any Series for the period beginning at the opening of business 15 days immediately preceding the sending of a notice of redemption of Securities of that Series selected for redemption and ending at the close of business on the day such notice is sent, (b) to register the transfer of or exchange Securities of any Series selected, called or being called for redemption as a whole or the portion being redeemed of any such Securities selected, called or being called for redemption in part or (c) to register the transfer of or exchange Securities of any Series between a record date and payment date for such Series of Securities.</w:t>
      </w:r>
    </w:p>
    <w:p>
      <w:pPr>
        <w:spacing w:after="0" w:line="1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2.8. </w:t>
      </w:r>
      <w:r>
        <w:rPr>
          <w:rFonts w:ascii="Times New Roman" w:cs="Times New Roman" w:eastAsia="Times New Roman" w:hAnsi="Times New Roman"/>
          <w:sz w:val="14"/>
          <w:szCs w:val="14"/>
          <w:u w:val="single" w:color="auto"/>
          <w:color w:val="auto"/>
        </w:rPr>
        <w:t>Mutilated, Destroyed, Lost and Stolen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379" w:firstLine="768"/>
        <w:spacing w:after="0" w:line="321" w:lineRule="auto"/>
        <w:rPr>
          <w:sz w:val="20"/>
          <w:szCs w:val="20"/>
          <w:color w:val="auto"/>
        </w:rPr>
      </w:pPr>
      <w:r>
        <w:rPr>
          <w:rFonts w:ascii="Times New Roman" w:cs="Times New Roman" w:eastAsia="Times New Roman" w:hAnsi="Times New Roman"/>
          <w:sz w:val="13"/>
          <w:szCs w:val="13"/>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02" w:lineRule="exact"/>
        <w:rPr>
          <w:sz w:val="20"/>
          <w:szCs w:val="20"/>
          <w:color w:val="auto"/>
        </w:rPr>
      </w:pPr>
    </w:p>
    <w:p>
      <w:pPr>
        <w:ind w:left="240" w:right="259" w:firstLine="768"/>
        <w:spacing w:after="0" w:line="257" w:lineRule="auto"/>
        <w:rPr>
          <w:sz w:val="20"/>
          <w:szCs w:val="20"/>
          <w:color w:val="auto"/>
        </w:rPr>
      </w:pPr>
      <w:r>
        <w:rPr>
          <w:rFonts w:ascii="Times New Roman" w:cs="Times New Roman" w:eastAsia="Times New Roman" w:hAnsi="Times New Roman"/>
          <w:sz w:val="14"/>
          <w:szCs w:val="14"/>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42" w:lineRule="exact"/>
        <w:rPr>
          <w:sz w:val="20"/>
          <w:szCs w:val="20"/>
          <w:color w:val="auto"/>
        </w:rPr>
      </w:pPr>
    </w:p>
    <w:p>
      <w:pPr>
        <w:ind w:left="240" w:right="639" w:firstLine="768"/>
        <w:spacing w:after="0" w:line="280" w:lineRule="auto"/>
        <w:rPr>
          <w:sz w:val="20"/>
          <w:szCs w:val="20"/>
          <w:color w:val="auto"/>
        </w:rPr>
      </w:pPr>
      <w:r>
        <w:rPr>
          <w:rFonts w:ascii="Times New Roman" w:cs="Times New Roman" w:eastAsia="Times New Roman" w:hAnsi="Times New Roman"/>
          <w:sz w:val="14"/>
          <w:szCs w:val="14"/>
          <w:color w:val="auto"/>
        </w:rPr>
        <w:t>In case any such mutilated, destroyed, lost or stolen Security has become or is about to become due and payable, the Company in its discretion may, instead of issuing a new Security, pay such Security.</w:t>
      </w:r>
    </w:p>
    <w:p>
      <w:pPr>
        <w:spacing w:after="0" w:line="126" w:lineRule="exact"/>
        <w:rPr>
          <w:sz w:val="20"/>
          <w:szCs w:val="20"/>
          <w:color w:val="auto"/>
        </w:rPr>
      </w:pPr>
    </w:p>
    <w:p>
      <w:pPr>
        <w:jc w:val="both"/>
        <w:ind w:left="240" w:right="399" w:firstLine="768"/>
        <w:spacing w:after="0" w:line="265" w:lineRule="auto"/>
        <w:rPr>
          <w:sz w:val="20"/>
          <w:szCs w:val="20"/>
          <w:color w:val="auto"/>
        </w:rPr>
      </w:pPr>
      <w:r>
        <w:rPr>
          <w:rFonts w:ascii="Times New Roman" w:cs="Times New Roman" w:eastAsia="Times New Roman" w:hAnsi="Times New Roman"/>
          <w:sz w:val="14"/>
          <w:szCs w:val="14"/>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36" w:lineRule="exact"/>
        <w:rPr>
          <w:sz w:val="20"/>
          <w:szCs w:val="20"/>
          <w:color w:val="auto"/>
        </w:rPr>
      </w:pPr>
    </w:p>
    <w:p>
      <w:pPr>
        <w:ind w:left="240" w:right="279" w:firstLine="768"/>
        <w:spacing w:after="0" w:line="294" w:lineRule="auto"/>
        <w:rPr>
          <w:sz w:val="20"/>
          <w:szCs w:val="20"/>
          <w:color w:val="auto"/>
        </w:rPr>
      </w:pPr>
      <w:r>
        <w:rPr>
          <w:rFonts w:ascii="Times New Roman" w:cs="Times New Roman" w:eastAsia="Times New Roman" w:hAnsi="Times New Roman"/>
          <w:sz w:val="13"/>
          <w:szCs w:val="13"/>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40" w:right="1440" w:bottom="1440" w:gutter="0" w:footer="0" w:header="0"/>
        </w:sectPr>
      </w:pPr>
    </w:p>
    <w:bookmarkStart w:id="117" w:name="page118"/>
    <w:bookmarkEnd w:id="117"/>
    <w:p>
      <w:pPr>
        <w:ind w:left="240" w:right="639" w:firstLine="768"/>
        <w:spacing w:after="0" w:line="28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provisions of this Section are exclusive and shall preclude (to the extent lawful) all other rights and remedies with respect to the replacement or payment of mutilated, destroyed, lost or stolen Securities.</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2.9. </w:t>
      </w:r>
      <w:r>
        <w:rPr>
          <w:rFonts w:ascii="Times New Roman" w:cs="Times New Roman" w:eastAsia="Times New Roman" w:hAnsi="Times New Roman"/>
          <w:sz w:val="14"/>
          <w:szCs w:val="14"/>
          <w:u w:val="single" w:color="auto"/>
          <w:color w:val="auto"/>
        </w:rPr>
        <w:t>Outstanding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99" w:firstLine="768"/>
        <w:spacing w:after="0" w:line="265" w:lineRule="auto"/>
        <w:rPr>
          <w:sz w:val="20"/>
          <w:szCs w:val="20"/>
          <w:color w:val="auto"/>
        </w:rPr>
      </w:pPr>
      <w:r>
        <w:rPr>
          <w:rFonts w:ascii="Times New Roman" w:cs="Times New Roman" w:eastAsia="Times New Roman" w:hAnsi="Times New Roman"/>
          <w:sz w:val="14"/>
          <w:szCs w:val="14"/>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36" w:lineRule="exact"/>
        <w:rPr>
          <w:sz w:val="20"/>
          <w:szCs w:val="20"/>
          <w:color w:val="auto"/>
        </w:rPr>
      </w:pPr>
    </w:p>
    <w:p>
      <w:pPr>
        <w:ind w:left="240" w:right="679" w:firstLine="768"/>
        <w:spacing w:after="0" w:line="280" w:lineRule="auto"/>
        <w:rPr>
          <w:sz w:val="20"/>
          <w:szCs w:val="20"/>
          <w:color w:val="auto"/>
        </w:rPr>
      </w:pPr>
      <w:r>
        <w:rPr>
          <w:rFonts w:ascii="Times New Roman" w:cs="Times New Roman" w:eastAsia="Times New Roman" w:hAnsi="Times New Roman"/>
          <w:sz w:val="14"/>
          <w:szCs w:val="14"/>
          <w:color w:val="auto"/>
        </w:rPr>
        <w:t>If a Security is replaced pursuant to Section 2.8, it ceases to be outstanding until the Trustee receives proof satisfactory to it that the replaced Security is held by a bona fide purchaser.</w:t>
      </w:r>
    </w:p>
    <w:p>
      <w:pPr>
        <w:spacing w:after="0" w:line="126" w:lineRule="exact"/>
        <w:rPr>
          <w:sz w:val="20"/>
          <w:szCs w:val="20"/>
          <w:color w:val="auto"/>
        </w:rPr>
      </w:pPr>
    </w:p>
    <w:p>
      <w:pPr>
        <w:ind w:left="240" w:right="459" w:firstLine="768"/>
        <w:spacing w:after="0" w:line="265" w:lineRule="auto"/>
        <w:rPr>
          <w:sz w:val="20"/>
          <w:szCs w:val="20"/>
          <w:color w:val="auto"/>
        </w:rPr>
      </w:pPr>
      <w:r>
        <w:rPr>
          <w:rFonts w:ascii="Times New Roman" w:cs="Times New Roman" w:eastAsia="Times New Roman" w:hAnsi="Times New Roman"/>
          <w:sz w:val="14"/>
          <w:szCs w:val="14"/>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3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The Company may purchase or otherwise acquire the Securities, whether by open market purchases, negotiated transactions or otherwise.</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 Security does not cease to be outstanding because the Company or an Affiliate of the Company holds the Security (but see Section 2.10 below).</w:t>
      </w:r>
    </w:p>
    <w:p>
      <w:pPr>
        <w:spacing w:after="0" w:line="159" w:lineRule="exact"/>
        <w:rPr>
          <w:sz w:val="20"/>
          <w:szCs w:val="20"/>
          <w:color w:val="auto"/>
        </w:rPr>
      </w:pPr>
    </w:p>
    <w:p>
      <w:pPr>
        <w:ind w:left="240" w:right="259" w:firstLine="768"/>
        <w:spacing w:after="0" w:line="259" w:lineRule="auto"/>
        <w:rPr>
          <w:sz w:val="20"/>
          <w:szCs w:val="20"/>
          <w:color w:val="auto"/>
        </w:rPr>
      </w:pPr>
      <w:r>
        <w:rPr>
          <w:rFonts w:ascii="Times New Roman" w:cs="Times New Roman" w:eastAsia="Times New Roman" w:hAnsi="Times New Roman"/>
          <w:sz w:val="14"/>
          <w:szCs w:val="14"/>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2.10. </w:t>
      </w:r>
      <w:r>
        <w:rPr>
          <w:rFonts w:ascii="Times New Roman" w:cs="Times New Roman" w:eastAsia="Times New Roman" w:hAnsi="Times New Roman"/>
          <w:sz w:val="14"/>
          <w:szCs w:val="14"/>
          <w:u w:val="single" w:color="auto"/>
          <w:color w:val="auto"/>
        </w:rPr>
        <w:t>Treasury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399" w:firstLine="768"/>
        <w:spacing w:after="0" w:line="259" w:lineRule="auto"/>
        <w:rPr>
          <w:sz w:val="20"/>
          <w:szCs w:val="20"/>
          <w:color w:val="auto"/>
        </w:rPr>
      </w:pPr>
      <w:r>
        <w:rPr>
          <w:rFonts w:ascii="Times New Roman" w:cs="Times New Roman" w:eastAsia="Times New Roman" w:hAnsi="Times New Roman"/>
          <w:sz w:val="14"/>
          <w:szCs w:val="14"/>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2.11. </w:t>
      </w:r>
      <w:r>
        <w:rPr>
          <w:rFonts w:ascii="Times New Roman" w:cs="Times New Roman" w:eastAsia="Times New Roman" w:hAnsi="Times New Roman"/>
          <w:sz w:val="14"/>
          <w:szCs w:val="14"/>
          <w:u w:val="single" w:color="auto"/>
          <w:color w:val="auto"/>
        </w:rPr>
        <w:t>Temporary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99" w:firstLine="768"/>
        <w:spacing w:after="0" w:line="257" w:lineRule="auto"/>
        <w:rPr>
          <w:sz w:val="20"/>
          <w:szCs w:val="20"/>
          <w:color w:val="auto"/>
        </w:rPr>
      </w:pPr>
      <w:r>
        <w:rPr>
          <w:rFonts w:ascii="Times New Roman" w:cs="Times New Roman" w:eastAsia="Times New Roman" w:hAnsi="Times New Roman"/>
          <w:sz w:val="14"/>
          <w:szCs w:val="14"/>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118" w:name="page119"/>
    <w:bookmarkEnd w:id="118"/>
    <w:p>
      <w:pPr>
        <w:ind w:left="5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Section 2.12. </w:t>
      </w:r>
      <w:r>
        <w:rPr>
          <w:rFonts w:ascii="Times New Roman" w:cs="Times New Roman" w:eastAsia="Times New Roman" w:hAnsi="Times New Roman"/>
          <w:sz w:val="14"/>
          <w:szCs w:val="14"/>
          <w:u w:val="single" w:color="auto"/>
          <w:color w:val="auto"/>
        </w:rPr>
        <w:t>Cancellation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359" w:firstLine="768"/>
        <w:spacing w:after="0" w:line="257" w:lineRule="auto"/>
        <w:rPr>
          <w:sz w:val="20"/>
          <w:szCs w:val="20"/>
          <w:color w:val="auto"/>
        </w:rPr>
      </w:pPr>
      <w:r>
        <w:rPr>
          <w:rFonts w:ascii="Times New Roman" w:cs="Times New Roman" w:eastAsia="Times New Roman" w:hAnsi="Times New Roman"/>
          <w:sz w:val="14"/>
          <w:szCs w:val="14"/>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requirements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2.13. </w:t>
      </w:r>
      <w:r>
        <w:rPr>
          <w:rFonts w:ascii="Times New Roman" w:cs="Times New Roman" w:eastAsia="Times New Roman" w:hAnsi="Times New Roman"/>
          <w:sz w:val="14"/>
          <w:szCs w:val="14"/>
          <w:u w:val="single" w:color="auto"/>
          <w:color w:val="auto"/>
        </w:rPr>
        <w:t>Defaulted Interest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79" w:firstLine="768"/>
        <w:spacing w:after="0" w:line="257" w:lineRule="auto"/>
        <w:rPr>
          <w:sz w:val="20"/>
          <w:szCs w:val="20"/>
          <w:color w:val="auto"/>
        </w:rPr>
      </w:pPr>
      <w:r>
        <w:rPr>
          <w:rFonts w:ascii="Times New Roman" w:cs="Times New Roman" w:eastAsia="Times New Roman" w:hAnsi="Times New Roman"/>
          <w:sz w:val="14"/>
          <w:szCs w:val="14"/>
          <w:color w:val="auto"/>
        </w:rPr>
        <w:t>If the Company defaults in a payment of interest on a Series of Securities, it shall pay the defaulted interest, plus, to the extent permitted by law, any interest payable on the defaulted interest, to the persons who are Holders of the Series on a subsequent special record date. The Company shall fix the record date and payment date. At least ten days before the special record date, the Company shall send to the Trustee and to each Holder of the Series a notice that states the special record date, the payment date and the amount of interest to be paid. The Company may pay defaulted interest in any other lawful manner.</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2.14. </w:t>
      </w:r>
      <w:r>
        <w:rPr>
          <w:rFonts w:ascii="Times New Roman" w:cs="Times New Roman" w:eastAsia="Times New Roman" w:hAnsi="Times New Roman"/>
          <w:sz w:val="14"/>
          <w:szCs w:val="14"/>
          <w:u w:val="single" w:color="auto"/>
          <w:color w:val="auto"/>
        </w:rPr>
        <w:t>Global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left="240" w:right="499" w:firstLine="768"/>
        <w:spacing w:after="0" w:line="265" w:lineRule="auto"/>
        <w:rPr>
          <w:sz w:val="20"/>
          <w:szCs w:val="20"/>
          <w:color w:val="auto"/>
        </w:rPr>
      </w:pPr>
      <w:r>
        <w:rPr>
          <w:rFonts w:ascii="Times New Roman" w:cs="Times New Roman" w:eastAsia="Times New Roman" w:hAnsi="Times New Roman"/>
          <w:sz w:val="14"/>
          <w:szCs w:val="14"/>
          <w:color w:val="auto"/>
        </w:rPr>
        <w:t xml:space="preserve">2.14.1. </w:t>
      </w:r>
      <w:r>
        <w:rPr>
          <w:rFonts w:ascii="Times New Roman" w:cs="Times New Roman" w:eastAsia="Times New Roman" w:hAnsi="Times New Roman"/>
          <w:sz w:val="14"/>
          <w:szCs w:val="14"/>
          <w:u w:val="single" w:color="auto"/>
          <w:color w:val="auto"/>
        </w:rPr>
        <w:t>Terms of Securities</w:t>
      </w:r>
      <w:r>
        <w:rPr>
          <w:rFonts w:ascii="Times New Roman" w:cs="Times New Roman" w:eastAsia="Times New Roman" w:hAnsi="Times New Roman"/>
          <w:sz w:val="14"/>
          <w:szCs w:val="14"/>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36" w:lineRule="exact"/>
        <w:rPr>
          <w:sz w:val="20"/>
          <w:szCs w:val="20"/>
          <w:color w:val="auto"/>
        </w:rPr>
      </w:pPr>
    </w:p>
    <w:p>
      <w:pPr>
        <w:ind w:left="240" w:right="339" w:firstLine="768"/>
        <w:spacing w:after="0" w:line="253" w:lineRule="auto"/>
        <w:rPr>
          <w:sz w:val="20"/>
          <w:szCs w:val="20"/>
          <w:color w:val="auto"/>
        </w:rPr>
      </w:pPr>
      <w:r>
        <w:rPr>
          <w:rFonts w:ascii="Times New Roman" w:cs="Times New Roman" w:eastAsia="Times New Roman" w:hAnsi="Times New Roman"/>
          <w:sz w:val="14"/>
          <w:szCs w:val="14"/>
          <w:color w:val="auto"/>
        </w:rPr>
        <w:t xml:space="preserve">2.14.2. </w:t>
      </w:r>
      <w:r>
        <w:rPr>
          <w:rFonts w:ascii="Times New Roman" w:cs="Times New Roman" w:eastAsia="Times New Roman" w:hAnsi="Times New Roman"/>
          <w:sz w:val="14"/>
          <w:szCs w:val="14"/>
          <w:u w:val="single" w:color="auto"/>
          <w:color w:val="auto"/>
        </w:rPr>
        <w:t>Transfer and Exchange</w:t>
      </w:r>
      <w:r>
        <w:rPr>
          <w:rFonts w:ascii="Times New Roman" w:cs="Times New Roman" w:eastAsia="Times New Roman" w:hAnsi="Times New Roman"/>
          <w:sz w:val="14"/>
          <w:szCs w:val="14"/>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48" w:lineRule="exact"/>
        <w:rPr>
          <w:sz w:val="20"/>
          <w:szCs w:val="20"/>
          <w:color w:val="auto"/>
        </w:rPr>
      </w:pPr>
    </w:p>
    <w:p>
      <w:pPr>
        <w:ind w:left="240" w:right="259" w:firstLine="768"/>
        <w:spacing w:after="0" w:line="265" w:lineRule="auto"/>
        <w:rPr>
          <w:sz w:val="20"/>
          <w:szCs w:val="20"/>
          <w:color w:val="auto"/>
        </w:rPr>
      </w:pPr>
      <w:r>
        <w:rPr>
          <w:rFonts w:ascii="Times New Roman" w:cs="Times New Roman" w:eastAsia="Times New Roman" w:hAnsi="Times New Roman"/>
          <w:sz w:val="14"/>
          <w:szCs w:val="14"/>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40" w:right="1440" w:bottom="1440" w:gutter="0" w:footer="0" w:header="0"/>
        </w:sectPr>
      </w:pPr>
    </w:p>
    <w:bookmarkStart w:id="119" w:name="page120"/>
    <w:bookmarkEnd w:id="119"/>
    <w:p>
      <w:pPr>
        <w:ind w:left="240" w:right="319" w:firstLine="768"/>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None of the Trustee or any Agent shall have any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members or beneficial owners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42" w:lineRule="exact"/>
        <w:rPr>
          <w:sz w:val="20"/>
          <w:szCs w:val="20"/>
          <w:color w:val="auto"/>
        </w:rPr>
      </w:pPr>
    </w:p>
    <w:p>
      <w:pPr>
        <w:ind w:left="240" w:right="319" w:firstLine="768"/>
        <w:spacing w:after="0" w:line="257" w:lineRule="auto"/>
        <w:rPr>
          <w:sz w:val="20"/>
          <w:szCs w:val="20"/>
          <w:color w:val="auto"/>
        </w:rPr>
      </w:pPr>
      <w:r>
        <w:rPr>
          <w:rFonts w:ascii="Times New Roman" w:cs="Times New Roman" w:eastAsia="Times New Roman" w:hAnsi="Times New Roman"/>
          <w:sz w:val="14"/>
          <w:szCs w:val="14"/>
          <w:color w:val="auto"/>
        </w:rPr>
        <w:t>None of the Trustee or any Agent shall have any responsibility or obligation to any beneficial owner of a Global Security, a member of, or a participant in the Depositary or other Person with respect to the accuracy of the records of the Depositary or its nominee or of any participant or member thereof, with respect to any ownership interest in any Security or with respect to the delivery to any participant, member, beneficial owner or other Person (other than the Depositary) of any notice (including any notice of optional redemption) or the payment of any amount, under or with respect to such Security.</w:t>
      </w:r>
    </w:p>
    <w:p>
      <w:pPr>
        <w:spacing w:after="0" w:line="14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 xml:space="preserve">2.14.3. </w:t>
      </w:r>
      <w:r>
        <w:rPr>
          <w:rFonts w:ascii="Times New Roman" w:cs="Times New Roman" w:eastAsia="Times New Roman" w:hAnsi="Times New Roman"/>
          <w:sz w:val="14"/>
          <w:szCs w:val="14"/>
          <w:u w:val="single" w:color="auto"/>
          <w:color w:val="auto"/>
        </w:rPr>
        <w:t>Legends</w:t>
      </w:r>
      <w:r>
        <w:rPr>
          <w:rFonts w:ascii="Times New Roman" w:cs="Times New Roman" w:eastAsia="Times New Roman" w:hAnsi="Times New Roman"/>
          <w:sz w:val="14"/>
          <w:szCs w:val="14"/>
          <w:color w:val="auto"/>
        </w:rPr>
        <w:t>. Any Global Security issued hereunder shall bear a legend in substantially the following form:</w:t>
      </w:r>
    </w:p>
    <w:p>
      <w:pPr>
        <w:spacing w:after="0" w:line="174" w:lineRule="exact"/>
        <w:rPr>
          <w:sz w:val="20"/>
          <w:szCs w:val="20"/>
          <w:color w:val="auto"/>
        </w:rPr>
      </w:pPr>
    </w:p>
    <w:p>
      <w:pPr>
        <w:ind w:left="240" w:right="259" w:firstLine="768"/>
        <w:spacing w:after="0" w:line="254" w:lineRule="auto"/>
        <w:rPr>
          <w:sz w:val="20"/>
          <w:szCs w:val="20"/>
          <w:color w:val="auto"/>
        </w:rPr>
      </w:pPr>
      <w:r>
        <w:rPr>
          <w:rFonts w:ascii="Times New Roman" w:cs="Times New Roman" w:eastAsia="Times New Roman" w:hAnsi="Times New Roman"/>
          <w:sz w:val="14"/>
          <w:szCs w:val="14"/>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46" w:lineRule="exact"/>
        <w:rPr>
          <w:sz w:val="20"/>
          <w:szCs w:val="20"/>
          <w:color w:val="auto"/>
        </w:rPr>
      </w:pPr>
    </w:p>
    <w:p>
      <w:pPr>
        <w:ind w:left="240" w:right="399" w:firstLine="768"/>
        <w:spacing w:after="0" w:line="280" w:lineRule="auto"/>
        <w:rPr>
          <w:sz w:val="20"/>
          <w:szCs w:val="20"/>
          <w:color w:val="auto"/>
        </w:rPr>
      </w:pPr>
      <w:r>
        <w:rPr>
          <w:rFonts w:ascii="Times New Roman" w:cs="Times New Roman" w:eastAsia="Times New Roman" w:hAnsi="Times New Roman"/>
          <w:sz w:val="14"/>
          <w:szCs w:val="14"/>
          <w:color w:val="auto"/>
        </w:rPr>
        <w:t>In addition, so long as the Depository Trust Company (“DTC”) is the Depositary, each Global Security registered in the name of DTC or its nominee shall bear a legend in substantially the following form:</w:t>
      </w:r>
    </w:p>
    <w:p>
      <w:pPr>
        <w:spacing w:after="0" w:line="126" w:lineRule="exact"/>
        <w:rPr>
          <w:sz w:val="20"/>
          <w:szCs w:val="20"/>
          <w:color w:val="auto"/>
        </w:rPr>
      </w:pPr>
    </w:p>
    <w:p>
      <w:pPr>
        <w:ind w:left="240" w:right="259" w:firstLine="768"/>
        <w:spacing w:after="0" w:line="254" w:lineRule="auto"/>
        <w:rPr>
          <w:sz w:val="20"/>
          <w:szCs w:val="20"/>
          <w:color w:val="auto"/>
        </w:rPr>
      </w:pPr>
      <w:r>
        <w:rPr>
          <w:rFonts w:ascii="Times New Roman" w:cs="Times New Roman" w:eastAsia="Times New Roman" w:hAnsi="Times New Roman"/>
          <w:sz w:val="14"/>
          <w:szCs w:val="14"/>
          <w:color w:val="auto"/>
        </w:rPr>
        <w:t>“UNLESS THIS GLOBAL SECURITY IS PRESENTED BY AN AUTHORIZED REPRESENTATIVE OF THE DEPOSITORY TRUST COMPANY, A NEW YORK CORPORATION (“DTC”), TO THE COMPANY OR ITS AGENT FOR REGISTRATION OF TRANSFER, EXCHANGE OR PAYMENT, AND ANY GLOBAL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40" w:right="1440" w:bottom="1440" w:gutter="0" w:footer="0" w:header="0"/>
        </w:sectPr>
      </w:pPr>
    </w:p>
    <w:bookmarkStart w:id="120" w:name="page121"/>
    <w:bookmarkEnd w:id="120"/>
    <w:p>
      <w:pPr>
        <w:ind w:left="240" w:right="339" w:firstLine="768"/>
        <w:spacing w:after="0" w:line="28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2.14.4. </w:t>
      </w:r>
      <w:r>
        <w:rPr>
          <w:rFonts w:ascii="Times New Roman" w:cs="Times New Roman" w:eastAsia="Times New Roman" w:hAnsi="Times New Roman"/>
          <w:sz w:val="14"/>
          <w:szCs w:val="14"/>
          <w:u w:val="single" w:color="auto"/>
          <w:color w:val="auto"/>
        </w:rPr>
        <w:t>Acts of Holders</w:t>
      </w:r>
      <w:r>
        <w:rPr>
          <w:rFonts w:ascii="Times New Roman" w:cs="Times New Roman" w:eastAsia="Times New Roman" w:hAnsi="Times New Roman"/>
          <w:sz w:val="14"/>
          <w:szCs w:val="14"/>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26" w:lineRule="exact"/>
        <w:rPr>
          <w:sz w:val="20"/>
          <w:szCs w:val="20"/>
          <w:color w:val="auto"/>
        </w:rPr>
      </w:pPr>
    </w:p>
    <w:p>
      <w:pPr>
        <w:ind w:left="240" w:right="619" w:firstLine="768"/>
        <w:spacing w:after="0" w:line="280" w:lineRule="auto"/>
        <w:rPr>
          <w:sz w:val="20"/>
          <w:szCs w:val="20"/>
          <w:color w:val="auto"/>
        </w:rPr>
      </w:pPr>
      <w:r>
        <w:rPr>
          <w:rFonts w:ascii="Times New Roman" w:cs="Times New Roman" w:eastAsia="Times New Roman" w:hAnsi="Times New Roman"/>
          <w:sz w:val="14"/>
          <w:szCs w:val="14"/>
          <w:color w:val="auto"/>
        </w:rPr>
        <w:t xml:space="preserve">2.14.5. </w:t>
      </w:r>
      <w:r>
        <w:rPr>
          <w:rFonts w:ascii="Times New Roman" w:cs="Times New Roman" w:eastAsia="Times New Roman" w:hAnsi="Times New Roman"/>
          <w:sz w:val="14"/>
          <w:szCs w:val="14"/>
          <w:u w:val="single" w:color="auto"/>
          <w:color w:val="auto"/>
        </w:rPr>
        <w:t>Payments</w:t>
      </w:r>
      <w:r>
        <w:rPr>
          <w:rFonts w:ascii="Times New Roman" w:cs="Times New Roman" w:eastAsia="Times New Roman" w:hAnsi="Times New Roman"/>
          <w:sz w:val="14"/>
          <w:szCs w:val="14"/>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26" w:lineRule="exact"/>
        <w:rPr>
          <w:sz w:val="20"/>
          <w:szCs w:val="20"/>
          <w:color w:val="auto"/>
        </w:rPr>
      </w:pPr>
    </w:p>
    <w:p>
      <w:pPr>
        <w:ind w:left="240" w:right="259" w:firstLine="768"/>
        <w:spacing w:after="0" w:line="253" w:lineRule="auto"/>
        <w:rPr>
          <w:sz w:val="20"/>
          <w:szCs w:val="20"/>
          <w:color w:val="auto"/>
        </w:rPr>
      </w:pPr>
      <w:r>
        <w:rPr>
          <w:rFonts w:ascii="Times New Roman" w:cs="Times New Roman" w:eastAsia="Times New Roman" w:hAnsi="Times New Roman"/>
          <w:sz w:val="14"/>
          <w:szCs w:val="14"/>
          <w:color w:val="auto"/>
        </w:rPr>
        <w:t xml:space="preserve">2.14.6. </w:t>
      </w:r>
      <w:r>
        <w:rPr>
          <w:rFonts w:ascii="Times New Roman" w:cs="Times New Roman" w:eastAsia="Times New Roman" w:hAnsi="Times New Roman"/>
          <w:sz w:val="14"/>
          <w:szCs w:val="14"/>
          <w:u w:val="single" w:color="auto"/>
          <w:color w:val="auto"/>
        </w:rPr>
        <w:t>Agent Members</w:t>
      </w:r>
      <w:r>
        <w:rPr>
          <w:rFonts w:ascii="Times New Roman" w:cs="Times New Roman" w:eastAsia="Times New Roman" w:hAnsi="Times New Roman"/>
          <w:sz w:val="14"/>
          <w:szCs w:val="14"/>
          <w:color w:val="auto"/>
        </w:rPr>
        <w:t>. The registered Holder of a Security will be treated as the owner of such Security for all purposes and only registered Holders shall have rights under this Indenture and the Securities. Members of, or participants in, the Depositary (“</w:t>
      </w:r>
      <w:r>
        <w:rPr>
          <w:rFonts w:ascii="Times New Roman" w:cs="Times New Roman" w:eastAsia="Times New Roman" w:hAnsi="Times New Roman"/>
          <w:sz w:val="14"/>
          <w:szCs w:val="14"/>
          <w:i w:val="1"/>
          <w:iCs w:val="1"/>
          <w:color w:val="auto"/>
        </w:rPr>
        <w:t>Agent Members</w:t>
      </w:r>
      <w:r>
        <w:rPr>
          <w:rFonts w:ascii="Times New Roman" w:cs="Times New Roman" w:eastAsia="Times New Roman" w:hAnsi="Times New Roman"/>
          <w:sz w:val="14"/>
          <w:szCs w:val="14"/>
          <w:color w:val="auto"/>
        </w:rPr>
        <w:t>”) and persons who hold beneficial interests in a Global Security through an Agent Member shall have no rights under this Indenture with respect to any Global Security held on their behalf by the Depositary. The Depositary may be treated by the Company, the Trustee, the Paying Agent, the Registrar and any agent of the foregoing as the absolute owner of the Global Securities for all purposes whatsoever. Notwithstanding the foregoing, nothing herein shall prevent the Company, the Trustee, the Paying Agent, the Registrar or any agent of the foregoing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Security.</w:t>
      </w:r>
    </w:p>
    <w:p>
      <w:pPr>
        <w:spacing w:after="0" w:line="1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2.15. </w:t>
      </w:r>
      <w:r>
        <w:rPr>
          <w:rFonts w:ascii="Times New Roman" w:cs="Times New Roman" w:eastAsia="Times New Roman" w:hAnsi="Times New Roman"/>
          <w:sz w:val="14"/>
          <w:szCs w:val="14"/>
          <w:u w:val="single" w:color="auto"/>
          <w:color w:val="auto"/>
        </w:rPr>
        <w:t>CUSIP Numbers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99" w:firstLine="768"/>
        <w:spacing w:after="0" w:line="286" w:lineRule="auto"/>
        <w:rPr>
          <w:sz w:val="20"/>
          <w:szCs w:val="20"/>
          <w:color w:val="auto"/>
        </w:rPr>
      </w:pPr>
      <w:r>
        <w:rPr>
          <w:rFonts w:ascii="Times New Roman" w:cs="Times New Roman" w:eastAsia="Times New Roman" w:hAnsi="Times New Roman"/>
          <w:sz w:val="13"/>
          <w:szCs w:val="13"/>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III.</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REDEMPTION</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3.1. </w:t>
      </w:r>
      <w:r>
        <w:rPr>
          <w:rFonts w:ascii="Times New Roman" w:cs="Times New Roman" w:eastAsia="Times New Roman" w:hAnsi="Times New Roman"/>
          <w:sz w:val="14"/>
          <w:szCs w:val="14"/>
          <w:u w:val="single" w:color="auto"/>
          <w:color w:val="auto"/>
        </w:rPr>
        <w:t>Notice to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59" w:firstLine="768"/>
        <w:spacing w:after="0" w:line="255" w:lineRule="auto"/>
        <w:rPr>
          <w:sz w:val="20"/>
          <w:szCs w:val="20"/>
          <w:color w:val="auto"/>
        </w:rPr>
      </w:pPr>
      <w:r>
        <w:rPr>
          <w:rFonts w:ascii="Times New Roman" w:cs="Times New Roman" w:eastAsia="Times New Roman" w:hAnsi="Times New Roman"/>
          <w:sz w:val="14"/>
          <w:szCs w:val="14"/>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the Series of Securities to be redeemed. The Company shall give the notice at least 15 days before the redemption date (or such shorter period as may be acceptable to the Trustee).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0" w:right="1440" w:bottom="1440" w:gutter="0" w:footer="0" w:header="0"/>
        </w:sectPr>
      </w:pPr>
    </w:p>
    <w:bookmarkStart w:id="121" w:name="page122"/>
    <w:bookmarkEnd w:id="121"/>
    <w:p>
      <w:pPr>
        <w:ind w:left="5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Section 3.2. </w:t>
      </w:r>
      <w:r>
        <w:rPr>
          <w:rFonts w:ascii="Times New Roman" w:cs="Times New Roman" w:eastAsia="Times New Roman" w:hAnsi="Times New Roman"/>
          <w:sz w:val="14"/>
          <w:szCs w:val="14"/>
          <w:u w:val="single" w:color="auto"/>
          <w:color w:val="auto"/>
        </w:rPr>
        <w:t>Selection of Securities to be Redeemed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59" w:firstLine="768"/>
        <w:spacing w:after="0" w:line="252" w:lineRule="auto"/>
        <w:rPr>
          <w:sz w:val="20"/>
          <w:szCs w:val="20"/>
          <w:color w:val="auto"/>
        </w:rPr>
      </w:pPr>
      <w:r>
        <w:rPr>
          <w:rFonts w:ascii="Times New Roman" w:cs="Times New Roman" w:eastAsia="Times New Roman" w:hAnsi="Times New Roman"/>
          <w:sz w:val="14"/>
          <w:szCs w:val="14"/>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 Neither the Trustee nor the Paying Agent shall be liable for any selection made by it in accordance with this paragraph (including the procedures of the Depositary).</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3.3. </w:t>
      </w:r>
      <w:r>
        <w:rPr>
          <w:rFonts w:ascii="Times New Roman" w:cs="Times New Roman" w:eastAsia="Times New Roman" w:hAnsi="Times New Roman"/>
          <w:sz w:val="14"/>
          <w:szCs w:val="14"/>
          <w:u w:val="single" w:color="auto"/>
          <w:color w:val="auto"/>
        </w:rPr>
        <w:t>Notice of Redemption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99" w:firstLine="768"/>
        <w:spacing w:after="0" w:line="265" w:lineRule="auto"/>
        <w:rPr>
          <w:sz w:val="20"/>
          <w:szCs w:val="20"/>
          <w:color w:val="auto"/>
        </w:rPr>
      </w:pPr>
      <w:r>
        <w:rPr>
          <w:rFonts w:ascii="Times New Roman" w:cs="Times New Roman" w:eastAsia="Times New Roman" w:hAnsi="Times New Roman"/>
          <w:sz w:val="14"/>
          <w:szCs w:val="14"/>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3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The notice shall identify the Securities of the Series to be redeemed and shall state:</w:t>
      </w:r>
    </w:p>
    <w:p>
      <w:pPr>
        <w:spacing w:after="0" w:line="90" w:lineRule="exact"/>
        <w:rPr>
          <w:sz w:val="20"/>
          <w:szCs w:val="20"/>
          <w:color w:val="auto"/>
        </w:rPr>
      </w:pPr>
    </w:p>
    <w:p>
      <w:pPr>
        <w:ind w:left="1100" w:hanging="193"/>
        <w:spacing w:after="0"/>
        <w:tabs>
          <w:tab w:leader="none" w:pos="11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date;</w:t>
      </w:r>
    </w:p>
    <w:p>
      <w:pPr>
        <w:spacing w:after="0" w:line="89"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price;</w:t>
      </w:r>
    </w:p>
    <w:p>
      <w:pPr>
        <w:spacing w:after="0" w:line="89"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and address of the Paying Agent;</w:t>
      </w:r>
    </w:p>
    <w:p>
      <w:pPr>
        <w:spacing w:after="0" w:line="89" w:lineRule="exact"/>
        <w:rPr>
          <w:rFonts w:ascii="Times New Roman" w:cs="Times New Roman" w:eastAsia="Times New Roman" w:hAnsi="Times New Roman"/>
          <w:sz w:val="14"/>
          <w:szCs w:val="14"/>
          <w:color w:val="auto"/>
        </w:rPr>
      </w:pPr>
    </w:p>
    <w:p>
      <w:pPr>
        <w:jc w:val="both"/>
        <w:ind w:left="580" w:right="539" w:firstLine="327"/>
        <w:spacing w:after="0" w:line="265" w:lineRule="auto"/>
        <w:tabs>
          <w:tab w:leader="none" w:pos="1105"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0" w:right="1440" w:bottom="1440" w:gutter="0" w:footer="0" w:header="0"/>
        </w:sectPr>
      </w:pPr>
    </w:p>
    <w:bookmarkStart w:id="122" w:name="page123"/>
    <w:bookmarkEnd w:id="122"/>
    <w:p>
      <w:pPr>
        <w:ind w:left="1100" w:hanging="193"/>
        <w:spacing w:after="0"/>
        <w:tabs>
          <w:tab w:leader="none" w:pos="11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that Securities of the Series called for redemption must be surrendered to the Paying Agent to collect the redemption price;</w:t>
      </w:r>
    </w:p>
    <w:p>
      <w:pPr>
        <w:spacing w:after="0" w:line="89" w:lineRule="exact"/>
        <w:rPr>
          <w:rFonts w:ascii="Times New Roman" w:cs="Times New Roman" w:eastAsia="Times New Roman" w:hAnsi="Times New Roman"/>
          <w:sz w:val="14"/>
          <w:szCs w:val="14"/>
          <w:color w:val="auto"/>
        </w:rPr>
      </w:pPr>
    </w:p>
    <w:p>
      <w:pPr>
        <w:ind w:left="580" w:right="619" w:firstLine="327"/>
        <w:spacing w:after="0" w:line="280" w:lineRule="auto"/>
        <w:tabs>
          <w:tab w:leader="none" w:pos="1082"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interest on Securities of the Series called for redemption ceases to accrue on and after the redemption date unless the Company defaults in the deposit of the redemption price;</w:t>
      </w:r>
    </w:p>
    <w:p>
      <w:pPr>
        <w:spacing w:after="0" w:line="42"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“CUSIP” number, if any; and</w:t>
      </w:r>
    </w:p>
    <w:p>
      <w:pPr>
        <w:spacing w:after="0" w:line="89"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information as may be required by the terms of the particular Series or the Securities of a Series being redeemed.</w:t>
      </w:r>
    </w:p>
    <w:p>
      <w:pPr>
        <w:spacing w:after="0" w:line="174" w:lineRule="exact"/>
        <w:rPr>
          <w:sz w:val="20"/>
          <w:szCs w:val="20"/>
          <w:color w:val="auto"/>
        </w:rPr>
      </w:pPr>
    </w:p>
    <w:p>
      <w:pPr>
        <w:ind w:left="240" w:right="279" w:firstLine="768"/>
        <w:spacing w:after="0" w:line="294" w:lineRule="auto"/>
        <w:rPr>
          <w:sz w:val="20"/>
          <w:szCs w:val="20"/>
          <w:color w:val="auto"/>
        </w:rPr>
      </w:pPr>
      <w:r>
        <w:rPr>
          <w:rFonts w:ascii="Times New Roman" w:cs="Times New Roman" w:eastAsia="Times New Roman" w:hAnsi="Times New Roman"/>
          <w:sz w:val="13"/>
          <w:szCs w:val="13"/>
          <w:color w:val="auto"/>
        </w:rPr>
        <w:t>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 and the form of such notice.</w:t>
      </w:r>
    </w:p>
    <w:p>
      <w:pPr>
        <w:spacing w:after="0" w:line="1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3.4. </w:t>
      </w:r>
      <w:r>
        <w:rPr>
          <w:rFonts w:ascii="Times New Roman" w:cs="Times New Roman" w:eastAsia="Times New Roman" w:hAnsi="Times New Roman"/>
          <w:sz w:val="14"/>
          <w:szCs w:val="14"/>
          <w:u w:val="single" w:color="auto"/>
          <w:color w:val="auto"/>
        </w:rPr>
        <w:t>Effect of Notice of Redemption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79" w:firstLine="768"/>
        <w:spacing w:after="0" w:line="259" w:lineRule="auto"/>
        <w:rPr>
          <w:sz w:val="20"/>
          <w:szCs w:val="20"/>
          <w:color w:val="auto"/>
        </w:rPr>
      </w:pPr>
      <w:r>
        <w:rPr>
          <w:rFonts w:ascii="Times New Roman" w:cs="Times New Roman" w:eastAsia="Times New Roman" w:hAnsi="Times New Roman"/>
          <w:sz w:val="14"/>
          <w:szCs w:val="14"/>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3.5. </w:t>
      </w:r>
      <w:r>
        <w:rPr>
          <w:rFonts w:ascii="Times New Roman" w:cs="Times New Roman" w:eastAsia="Times New Roman" w:hAnsi="Times New Roman"/>
          <w:sz w:val="14"/>
          <w:szCs w:val="14"/>
          <w:u w:val="single" w:color="auto"/>
          <w:color w:val="auto"/>
        </w:rPr>
        <w:t>Deposit of Redemption Price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339" w:firstLine="768"/>
        <w:spacing w:after="0" w:line="280" w:lineRule="auto"/>
        <w:rPr>
          <w:sz w:val="20"/>
          <w:szCs w:val="20"/>
          <w:color w:val="auto"/>
        </w:rPr>
      </w:pPr>
      <w:r>
        <w:rPr>
          <w:rFonts w:ascii="Times New Roman" w:cs="Times New Roman" w:eastAsia="Times New Roman" w:hAnsi="Times New Roman"/>
          <w:sz w:val="14"/>
          <w:szCs w:val="14"/>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3.6. </w:t>
      </w:r>
      <w:r>
        <w:rPr>
          <w:rFonts w:ascii="Times New Roman" w:cs="Times New Roman" w:eastAsia="Times New Roman" w:hAnsi="Times New Roman"/>
          <w:sz w:val="14"/>
          <w:szCs w:val="14"/>
          <w:u w:val="single" w:color="auto"/>
          <w:color w:val="auto"/>
        </w:rPr>
        <w:t>Securities Redeemed in Part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379" w:firstLine="768"/>
        <w:spacing w:after="0" w:line="280" w:lineRule="auto"/>
        <w:rPr>
          <w:sz w:val="20"/>
          <w:szCs w:val="20"/>
          <w:color w:val="auto"/>
        </w:rPr>
      </w:pPr>
      <w:r>
        <w:rPr>
          <w:rFonts w:ascii="Times New Roman" w:cs="Times New Roman" w:eastAsia="Times New Roman" w:hAnsi="Times New Roman"/>
          <w:sz w:val="14"/>
          <w:szCs w:val="14"/>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29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ARTICLE IV.</w:t>
      </w:r>
    </w:p>
    <w:p>
      <w:pPr>
        <w:spacing w:after="0" w:line="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COVENANTS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4.1. </w:t>
      </w:r>
      <w:r>
        <w:rPr>
          <w:rFonts w:ascii="Times New Roman" w:cs="Times New Roman" w:eastAsia="Times New Roman" w:hAnsi="Times New Roman"/>
          <w:sz w:val="14"/>
          <w:szCs w:val="14"/>
          <w:u w:val="single" w:color="auto"/>
          <w:color w:val="auto"/>
        </w:rPr>
        <w:t>Payment of Principal and Interest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459" w:firstLine="768"/>
        <w:spacing w:after="0" w:line="259" w:lineRule="auto"/>
        <w:rPr>
          <w:sz w:val="20"/>
          <w:szCs w:val="20"/>
          <w:color w:val="auto"/>
        </w:rPr>
      </w:pPr>
      <w:r>
        <w:rPr>
          <w:rFonts w:ascii="Times New Roman" w:cs="Times New Roman" w:eastAsia="Times New Roman" w:hAnsi="Times New Roman"/>
          <w:sz w:val="14"/>
          <w:szCs w:val="14"/>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40" w:right="1440" w:bottom="1440" w:gutter="0" w:footer="0" w:header="0"/>
        </w:sectPr>
      </w:pPr>
    </w:p>
    <w:bookmarkStart w:id="123" w:name="page124"/>
    <w:bookmarkEnd w:id="123"/>
    <w:p>
      <w:pPr>
        <w:ind w:left="5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Section 4.2. </w:t>
      </w:r>
      <w:r>
        <w:rPr>
          <w:rFonts w:ascii="Times New Roman" w:cs="Times New Roman" w:eastAsia="Times New Roman" w:hAnsi="Times New Roman"/>
          <w:sz w:val="14"/>
          <w:szCs w:val="14"/>
          <w:u w:val="single" w:color="auto"/>
          <w:color w:val="auto"/>
        </w:rPr>
        <w:t>SEC Reports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59" w:firstLine="768"/>
        <w:spacing w:after="0" w:line="257" w:lineRule="auto"/>
        <w:rPr>
          <w:sz w:val="20"/>
          <w:szCs w:val="20"/>
          <w:color w:val="auto"/>
        </w:rPr>
      </w:pPr>
      <w:r>
        <w:rPr>
          <w:rFonts w:ascii="Times New Roman" w:cs="Times New Roman" w:eastAsia="Times New Roman" w:hAnsi="Times New Roman"/>
          <w:sz w:val="14"/>
          <w:szCs w:val="14"/>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142" w:lineRule="exact"/>
        <w:rPr>
          <w:sz w:val="20"/>
          <w:szCs w:val="20"/>
          <w:color w:val="auto"/>
        </w:rPr>
      </w:pPr>
    </w:p>
    <w:p>
      <w:pPr>
        <w:ind w:left="240" w:right="339" w:firstLine="768"/>
        <w:spacing w:after="0" w:line="255" w:lineRule="auto"/>
        <w:rPr>
          <w:sz w:val="20"/>
          <w:szCs w:val="20"/>
          <w:color w:val="auto"/>
        </w:rPr>
      </w:pPr>
      <w:r>
        <w:rPr>
          <w:rFonts w:ascii="Times New Roman" w:cs="Times New Roman" w:eastAsia="Times New Roman" w:hAnsi="Times New Roman"/>
          <w:sz w:val="14"/>
          <w:szCs w:val="14"/>
          <w:color w:val="auto"/>
        </w:rPr>
        <w:t>Delivery of reports, information and documents to the Trustee under this Section 4.2 is for informational purposes only and the Trustee’s receipt of the foregoing shall not constitute constructive or actual notice of any information contained therein or determinable from information contained therein, including the Company’s compliance with any of the covenants hereunder (as to which the Trustee is entitled to rely exclusively on Officer’s Certificates). All such reports, information or documents referred to in this Section 4.2 that the Company files with the SEC via the SEC’s EDGAR system shall be deemed to be filed with the Trustee and transmitted to Holders at the time such reports, information or documents are filed via the EDGAR system (or any successor system).</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4.3. </w:t>
      </w:r>
      <w:r>
        <w:rPr>
          <w:rFonts w:ascii="Times New Roman" w:cs="Times New Roman" w:eastAsia="Times New Roman" w:hAnsi="Times New Roman"/>
          <w:sz w:val="14"/>
          <w:szCs w:val="14"/>
          <w:u w:val="single" w:color="auto"/>
          <w:color w:val="auto"/>
        </w:rPr>
        <w:t>Compliance Certificate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79" w:firstLine="768"/>
        <w:spacing w:after="0" w:line="254" w:lineRule="auto"/>
        <w:rPr>
          <w:sz w:val="20"/>
          <w:szCs w:val="20"/>
          <w:color w:val="auto"/>
        </w:rPr>
      </w:pPr>
      <w:r>
        <w:rPr>
          <w:rFonts w:ascii="Times New Roman" w:cs="Times New Roman" w:eastAsia="Times New Roman" w:hAnsi="Times New Roman"/>
          <w:sz w:val="14"/>
          <w:szCs w:val="14"/>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4.4. </w:t>
      </w:r>
      <w:r>
        <w:rPr>
          <w:rFonts w:ascii="Times New Roman" w:cs="Times New Roman" w:eastAsia="Times New Roman" w:hAnsi="Times New Roman"/>
          <w:sz w:val="14"/>
          <w:szCs w:val="14"/>
          <w:u w:val="single" w:color="auto"/>
          <w:color w:val="auto"/>
        </w:rPr>
        <w:t>Stay, Extension and Usury Laws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339" w:firstLine="768"/>
        <w:spacing w:after="0" w:line="281" w:lineRule="auto"/>
        <w:rPr>
          <w:sz w:val="20"/>
          <w:szCs w:val="20"/>
          <w:color w:val="auto"/>
        </w:rPr>
      </w:pPr>
      <w:r>
        <w:rPr>
          <w:rFonts w:ascii="Times New Roman" w:cs="Times New Roman" w:eastAsia="Times New Roman" w:hAnsi="Times New Roman"/>
          <w:sz w:val="13"/>
          <w:szCs w:val="13"/>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0" w:right="1440" w:bottom="1440" w:gutter="0" w:footer="0" w:header="0"/>
        </w:sectPr>
      </w:pPr>
    </w:p>
    <w:bookmarkStart w:id="124" w:name="page125"/>
    <w:bookmarkEnd w:id="124"/>
    <w:p>
      <w:pPr>
        <w:jc w:val="center"/>
        <w:ind w:right="1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V.</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SUCCESSORS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5.1. </w:t>
      </w:r>
      <w:r>
        <w:rPr>
          <w:rFonts w:ascii="Times New Roman" w:cs="Times New Roman" w:eastAsia="Times New Roman" w:hAnsi="Times New Roman"/>
          <w:sz w:val="14"/>
          <w:szCs w:val="14"/>
          <w:u w:val="single" w:color="auto"/>
          <w:color w:val="auto"/>
        </w:rPr>
        <w:t>When Company May Merge, Etc</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579" w:firstLine="768"/>
        <w:spacing w:after="0" w:line="280" w:lineRule="auto"/>
        <w:rPr>
          <w:sz w:val="20"/>
          <w:szCs w:val="20"/>
          <w:color w:val="auto"/>
        </w:rPr>
      </w:pPr>
      <w:r>
        <w:rPr>
          <w:rFonts w:ascii="Times New Roman" w:cs="Times New Roman" w:eastAsia="Times New Roman" w:hAnsi="Times New Roman"/>
          <w:sz w:val="14"/>
          <w:szCs w:val="14"/>
          <w:color w:val="auto"/>
        </w:rPr>
        <w:t>The Company shall not consolidate with or merge with or into, or convey, transfer or lease all or substantially all of its properties and assets to, any person (a “</w:t>
      </w:r>
      <w:r>
        <w:rPr>
          <w:rFonts w:ascii="Times New Roman" w:cs="Times New Roman" w:eastAsia="Times New Roman" w:hAnsi="Times New Roman"/>
          <w:sz w:val="14"/>
          <w:szCs w:val="14"/>
          <w:i w:val="1"/>
          <w:iCs w:val="1"/>
          <w:color w:val="auto"/>
        </w:rPr>
        <w:t>successor person</w:t>
      </w:r>
      <w:r>
        <w:rPr>
          <w:rFonts w:ascii="Times New Roman" w:cs="Times New Roman" w:eastAsia="Times New Roman" w:hAnsi="Times New Roman"/>
          <w:sz w:val="14"/>
          <w:szCs w:val="14"/>
          <w:color w:val="auto"/>
        </w:rPr>
        <w:t>”) unless:</w:t>
      </w:r>
    </w:p>
    <w:p>
      <w:pPr>
        <w:spacing w:after="0" w:line="43" w:lineRule="exact"/>
        <w:rPr>
          <w:sz w:val="20"/>
          <w:szCs w:val="20"/>
          <w:color w:val="auto"/>
        </w:rPr>
      </w:pPr>
    </w:p>
    <w:p>
      <w:pPr>
        <w:ind w:left="240" w:right="339" w:firstLine="766"/>
        <w:spacing w:after="0" w:line="265" w:lineRule="auto"/>
        <w:tabs>
          <w:tab w:leader="none" w:pos="1197"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the surviving entity or the successor person (if other than the Company) is a corporation, partnership, trust or other entity organized and validly existing under the laws of any U.S. domestic jurisdiction and expressly assumes by supplemental indenture the Company’s obligations on the Securities and under this Indenture; and</w:t>
      </w:r>
    </w:p>
    <w:p>
      <w:pPr>
        <w:spacing w:after="0" w:line="52" w:lineRule="exact"/>
        <w:rPr>
          <w:rFonts w:ascii="Times New Roman" w:cs="Times New Roman" w:eastAsia="Times New Roman" w:hAnsi="Times New Roman"/>
          <w:sz w:val="14"/>
          <w:szCs w:val="14"/>
          <w:color w:val="auto"/>
        </w:rPr>
      </w:pPr>
    </w:p>
    <w:p>
      <w:pPr>
        <w:ind w:left="1200" w:hanging="194"/>
        <w:spacing w:after="0"/>
        <w:tabs>
          <w:tab w:leader="none" w:pos="120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shall have occurred and be continuing.</w:t>
      </w:r>
    </w:p>
    <w:p>
      <w:pPr>
        <w:spacing w:after="0" w:line="174" w:lineRule="exact"/>
        <w:rPr>
          <w:sz w:val="20"/>
          <w:szCs w:val="20"/>
          <w:color w:val="auto"/>
        </w:rPr>
      </w:pPr>
    </w:p>
    <w:p>
      <w:pPr>
        <w:ind w:left="240" w:right="399" w:firstLine="768"/>
        <w:spacing w:after="0" w:line="280" w:lineRule="auto"/>
        <w:rPr>
          <w:sz w:val="20"/>
          <w:szCs w:val="20"/>
          <w:color w:val="auto"/>
        </w:rPr>
      </w:pPr>
      <w:r>
        <w:rPr>
          <w:rFonts w:ascii="Times New Roman" w:cs="Times New Roman" w:eastAsia="Times New Roman" w:hAnsi="Times New Roman"/>
          <w:sz w:val="14"/>
          <w:szCs w:val="14"/>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26" w:lineRule="exact"/>
        <w:rPr>
          <w:sz w:val="20"/>
          <w:szCs w:val="20"/>
          <w:color w:val="auto"/>
        </w:rPr>
      </w:pPr>
    </w:p>
    <w:p>
      <w:pPr>
        <w:ind w:left="240" w:right="339" w:firstLine="768"/>
        <w:spacing w:after="0" w:line="280" w:lineRule="auto"/>
        <w:rPr>
          <w:sz w:val="20"/>
          <w:szCs w:val="20"/>
          <w:color w:val="auto"/>
        </w:rPr>
      </w:pPr>
      <w:r>
        <w:rPr>
          <w:rFonts w:ascii="Times New Roman" w:cs="Times New Roman" w:eastAsia="Times New Roman" w:hAnsi="Times New Roman"/>
          <w:sz w:val="14"/>
          <w:szCs w:val="14"/>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5.2. </w:t>
      </w:r>
      <w:r>
        <w:rPr>
          <w:rFonts w:ascii="Times New Roman" w:cs="Times New Roman" w:eastAsia="Times New Roman" w:hAnsi="Times New Roman"/>
          <w:sz w:val="14"/>
          <w:szCs w:val="14"/>
          <w:u w:val="single" w:color="auto"/>
          <w:color w:val="auto"/>
        </w:rPr>
        <w:t>Successor Corporation Substituted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359" w:firstLine="768"/>
        <w:spacing w:after="0" w:line="255" w:lineRule="auto"/>
        <w:rPr>
          <w:sz w:val="20"/>
          <w:szCs w:val="20"/>
          <w:color w:val="auto"/>
        </w:rPr>
      </w:pPr>
      <w:r>
        <w:rPr>
          <w:rFonts w:ascii="Times New Roman" w:cs="Times New Roman" w:eastAsia="Times New Roman" w:hAnsi="Times New Roman"/>
          <w:sz w:val="14"/>
          <w:szCs w:val="14"/>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predecessor Company in the case of a sale, conveyance or other disposition (other than a lease) shall be released from all obligations and covenants under this Indenture and the Securities.</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VI.</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DEFAULTS AND REMEDIES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6.1. </w:t>
      </w:r>
      <w:r>
        <w:rPr>
          <w:rFonts w:ascii="Times New Roman" w:cs="Times New Roman" w:eastAsia="Times New Roman" w:hAnsi="Times New Roman"/>
          <w:sz w:val="14"/>
          <w:szCs w:val="14"/>
          <w:u w:val="single" w:color="auto"/>
          <w:color w:val="auto"/>
        </w:rPr>
        <w:t>Events of Default</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40" w:right="379" w:firstLine="768"/>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Event of Default</w:t>
      </w:r>
      <w:r>
        <w:rPr>
          <w:rFonts w:ascii="Times New Roman" w:cs="Times New Roman" w:eastAsia="Times New Roman" w:hAnsi="Times New Roman"/>
          <w:sz w:val="14"/>
          <w:szCs w:val="14"/>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40" w:right="1440" w:bottom="1440" w:gutter="0" w:footer="0" w:header="0"/>
        </w:sectPr>
      </w:pPr>
    </w:p>
    <w:bookmarkStart w:id="125" w:name="page126"/>
    <w:bookmarkEnd w:id="125"/>
    <w:p>
      <w:pPr>
        <w:jc w:val="both"/>
        <w:ind w:left="580" w:right="399" w:firstLine="327"/>
        <w:spacing w:after="0" w:line="261" w:lineRule="auto"/>
        <w:tabs>
          <w:tab w:leader="none" w:pos="1097"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4"/>
          <w:szCs w:val="14"/>
          <w:color w:val="auto"/>
        </w:rPr>
        <w:t xml:space="preserve"> day of such period);</w:t>
      </w:r>
    </w:p>
    <w:p>
      <w:pPr>
        <w:spacing w:after="0" w:line="1"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any Security of that Series at its Maturity;</w:t>
      </w:r>
    </w:p>
    <w:p>
      <w:pPr>
        <w:spacing w:after="0" w:line="73" w:lineRule="exact"/>
        <w:rPr>
          <w:rFonts w:ascii="Times New Roman" w:cs="Times New Roman" w:eastAsia="Times New Roman" w:hAnsi="Times New Roman"/>
          <w:sz w:val="14"/>
          <w:szCs w:val="14"/>
          <w:color w:val="auto"/>
        </w:rPr>
      </w:pPr>
    </w:p>
    <w:p>
      <w:pPr>
        <w:ind w:left="580" w:right="339" w:firstLine="327"/>
        <w:spacing w:after="0" w:line="255" w:lineRule="auto"/>
        <w:tabs>
          <w:tab w:leader="none" w:pos="1097"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covenant or warranty of the Company in this Indenture (other than defaults pursuant to paragraph (a) or (b) above or pursuant to a covenant or warranty that has been included in this Indenture solely for the benefit of a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w:t>
      </w:r>
    </w:p>
    <w:p>
      <w:pPr>
        <w:spacing w:after="0" w:line="61"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pursuant to or within the meaning of any Bankruptcy Law:</w:t>
      </w:r>
    </w:p>
    <w:p>
      <w:pPr>
        <w:spacing w:after="0" w:line="89" w:lineRule="exact"/>
        <w:rPr>
          <w:rFonts w:ascii="Times New Roman" w:cs="Times New Roman" w:eastAsia="Times New Roman" w:hAnsi="Times New Roman"/>
          <w:sz w:val="14"/>
          <w:szCs w:val="14"/>
          <w:color w:val="auto"/>
        </w:rPr>
      </w:pPr>
    </w:p>
    <w:p>
      <w:pPr>
        <w:ind w:left="1480" w:hanging="163"/>
        <w:spacing w:after="0"/>
        <w:tabs>
          <w:tab w:leader="none" w:pos="1480" w:val="left"/>
        </w:tabs>
        <w:numPr>
          <w:ilvl w:val="2"/>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commences a voluntary case,</w:t>
      </w:r>
    </w:p>
    <w:p>
      <w:pPr>
        <w:spacing w:after="0" w:line="89" w:lineRule="exact"/>
        <w:rPr>
          <w:rFonts w:ascii="Times New Roman" w:cs="Times New Roman" w:eastAsia="Times New Roman" w:hAnsi="Times New Roman"/>
          <w:sz w:val="14"/>
          <w:szCs w:val="14"/>
          <w:color w:val="auto"/>
        </w:rPr>
      </w:pPr>
    </w:p>
    <w:p>
      <w:pPr>
        <w:ind w:left="1520" w:hanging="203"/>
        <w:spacing w:after="0"/>
        <w:tabs>
          <w:tab w:leader="none" w:pos="1520" w:val="left"/>
        </w:tabs>
        <w:numPr>
          <w:ilvl w:val="2"/>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entry of an order for relief against it in an involuntary case,</w:t>
      </w:r>
    </w:p>
    <w:p>
      <w:pPr>
        <w:spacing w:after="0" w:line="89" w:lineRule="exact"/>
        <w:rPr>
          <w:rFonts w:ascii="Times New Roman" w:cs="Times New Roman" w:eastAsia="Times New Roman" w:hAnsi="Times New Roman"/>
          <w:sz w:val="14"/>
          <w:szCs w:val="14"/>
          <w:color w:val="auto"/>
        </w:rPr>
      </w:pPr>
    </w:p>
    <w:p>
      <w:pPr>
        <w:ind w:left="1560" w:hanging="243"/>
        <w:spacing w:after="0"/>
        <w:tabs>
          <w:tab w:leader="none" w:pos="1560" w:val="left"/>
        </w:tabs>
        <w:numPr>
          <w:ilvl w:val="2"/>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appointment of a Custodian of it or for all or substantially all of its property,</w:t>
      </w:r>
    </w:p>
    <w:p>
      <w:pPr>
        <w:spacing w:after="0" w:line="89" w:lineRule="exact"/>
        <w:rPr>
          <w:rFonts w:ascii="Times New Roman" w:cs="Times New Roman" w:eastAsia="Times New Roman" w:hAnsi="Times New Roman"/>
          <w:sz w:val="14"/>
          <w:szCs w:val="14"/>
          <w:color w:val="auto"/>
        </w:rPr>
      </w:pPr>
    </w:p>
    <w:p>
      <w:pPr>
        <w:ind w:left="1560" w:hanging="243"/>
        <w:spacing w:after="0"/>
        <w:tabs>
          <w:tab w:leader="none" w:pos="1560" w:val="left"/>
        </w:tabs>
        <w:numPr>
          <w:ilvl w:val="2"/>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a general assignment for the benefit of its creditors, or</w:t>
      </w:r>
    </w:p>
    <w:p>
      <w:pPr>
        <w:spacing w:after="0" w:line="89" w:lineRule="exact"/>
        <w:rPr>
          <w:rFonts w:ascii="Times New Roman" w:cs="Times New Roman" w:eastAsia="Times New Roman" w:hAnsi="Times New Roman"/>
          <w:sz w:val="14"/>
          <w:szCs w:val="14"/>
          <w:color w:val="auto"/>
        </w:rPr>
      </w:pPr>
    </w:p>
    <w:p>
      <w:pPr>
        <w:ind w:left="1520" w:hanging="203"/>
        <w:spacing w:after="0"/>
        <w:tabs>
          <w:tab w:leader="none" w:pos="1520" w:val="left"/>
        </w:tabs>
        <w:numPr>
          <w:ilvl w:val="2"/>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is unable to pay its debts as the same become due;</w:t>
      </w:r>
    </w:p>
    <w:p>
      <w:pPr>
        <w:spacing w:after="0" w:line="89" w:lineRule="exact"/>
        <w:rPr>
          <w:rFonts w:ascii="Times New Roman" w:cs="Times New Roman" w:eastAsia="Times New Roman" w:hAnsi="Times New Roman"/>
          <w:sz w:val="14"/>
          <w:szCs w:val="14"/>
          <w:color w:val="auto"/>
        </w:rPr>
      </w:pPr>
    </w:p>
    <w:p>
      <w:pPr>
        <w:ind w:left="1200" w:hanging="194"/>
        <w:spacing w:after="0"/>
        <w:tabs>
          <w:tab w:leader="none" w:pos="1200" w:val="left"/>
        </w:tabs>
        <w:numPr>
          <w:ilvl w:val="1"/>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of competent jurisdiction enters an order or decree under any Bankruptcy Law that:</w:t>
      </w:r>
    </w:p>
    <w:p>
      <w:pPr>
        <w:spacing w:after="0" w:line="89" w:lineRule="exact"/>
        <w:rPr>
          <w:rFonts w:ascii="Times New Roman" w:cs="Times New Roman" w:eastAsia="Times New Roman" w:hAnsi="Times New Roman"/>
          <w:sz w:val="14"/>
          <w:szCs w:val="14"/>
          <w:color w:val="auto"/>
        </w:rPr>
      </w:pPr>
    </w:p>
    <w:p>
      <w:pPr>
        <w:ind w:left="1480" w:hanging="163"/>
        <w:spacing w:after="0"/>
        <w:tabs>
          <w:tab w:leader="none" w:pos="1480" w:val="left"/>
        </w:tabs>
        <w:numPr>
          <w:ilvl w:val="2"/>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for relief against the Company in an involuntary case,</w:t>
      </w:r>
    </w:p>
    <w:p>
      <w:pPr>
        <w:spacing w:after="0" w:line="89" w:lineRule="exact"/>
        <w:rPr>
          <w:rFonts w:ascii="Times New Roman" w:cs="Times New Roman" w:eastAsia="Times New Roman" w:hAnsi="Times New Roman"/>
          <w:sz w:val="14"/>
          <w:szCs w:val="14"/>
          <w:color w:val="auto"/>
        </w:rPr>
      </w:pPr>
    </w:p>
    <w:p>
      <w:pPr>
        <w:ind w:left="1520" w:hanging="203"/>
        <w:spacing w:after="0"/>
        <w:tabs>
          <w:tab w:leader="none" w:pos="1520" w:val="left"/>
        </w:tabs>
        <w:numPr>
          <w:ilvl w:val="2"/>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appoints a Custodian of the Company or for all or substantially all of its property, or</w:t>
      </w:r>
    </w:p>
    <w:p>
      <w:pPr>
        <w:spacing w:after="0" w:line="89" w:lineRule="exact"/>
        <w:rPr>
          <w:rFonts w:ascii="Times New Roman" w:cs="Times New Roman" w:eastAsia="Times New Roman" w:hAnsi="Times New Roman"/>
          <w:sz w:val="14"/>
          <w:szCs w:val="14"/>
          <w:color w:val="auto"/>
        </w:rPr>
      </w:pPr>
    </w:p>
    <w:p>
      <w:pPr>
        <w:ind w:left="1560" w:hanging="243"/>
        <w:spacing w:after="0"/>
        <w:tabs>
          <w:tab w:leader="none" w:pos="1560" w:val="left"/>
        </w:tabs>
        <w:numPr>
          <w:ilvl w:val="2"/>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orders the liquidation of the Company,</w:t>
      </w:r>
    </w:p>
    <w:p>
      <w:pPr>
        <w:spacing w:after="0" w:line="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and the order or decree remains unstayed and in effect for 60 days;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0" w:right="1440" w:bottom="1440" w:gutter="0" w:footer="0" w:header="0"/>
        </w:sectPr>
      </w:pPr>
    </w:p>
    <w:bookmarkStart w:id="126" w:name="page127"/>
    <w:bookmarkEnd w:id="126"/>
    <w:p>
      <w:pPr>
        <w:ind w:left="580" w:right="479" w:firstLine="327"/>
        <w:spacing w:after="0" w:line="280" w:lineRule="auto"/>
        <w:tabs>
          <w:tab w:leader="none" w:pos="1082"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any other Event of Default provided with respect to Securities of that Series, which is specified in a Board Resolution, a supplemental indenture hereto or an Officer’s Certificate, in accordance with Section 2.2.18.</w:t>
      </w:r>
    </w:p>
    <w:p>
      <w:pPr>
        <w:spacing w:after="0" w:line="124" w:lineRule="exact"/>
        <w:rPr>
          <w:sz w:val="20"/>
          <w:szCs w:val="20"/>
          <w:color w:val="auto"/>
        </w:rPr>
      </w:pPr>
    </w:p>
    <w:p>
      <w:pPr>
        <w:ind w:left="240" w:right="379" w:firstLine="768"/>
        <w:spacing w:after="0" w:line="283"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i w:val="1"/>
          <w:iCs w:val="1"/>
          <w:color w:val="auto"/>
        </w:rPr>
        <w:t>Bankruptcy Law</w:t>
      </w:r>
      <w:r>
        <w:rPr>
          <w:rFonts w:ascii="Times New Roman" w:cs="Times New Roman" w:eastAsia="Times New Roman" w:hAnsi="Times New Roman"/>
          <w:sz w:val="14"/>
          <w:szCs w:val="14"/>
          <w:color w:val="auto"/>
        </w:rPr>
        <w:t>” means title 11, U.S. Code or any similar Federal or State law for the relief of debtors. The term “</w:t>
      </w:r>
      <w:r>
        <w:rPr>
          <w:rFonts w:ascii="Times New Roman" w:cs="Times New Roman" w:eastAsia="Times New Roman" w:hAnsi="Times New Roman"/>
          <w:sz w:val="14"/>
          <w:szCs w:val="14"/>
          <w:i w:val="1"/>
          <w:iCs w:val="1"/>
          <w:color w:val="auto"/>
        </w:rPr>
        <w:t>Custodian</w:t>
      </w:r>
      <w:r>
        <w:rPr>
          <w:rFonts w:ascii="Times New Roman" w:cs="Times New Roman" w:eastAsia="Times New Roman" w:hAnsi="Times New Roman"/>
          <w:sz w:val="14"/>
          <w:szCs w:val="14"/>
          <w:color w:val="auto"/>
        </w:rPr>
        <w:t>” means any receiver, trustee, assignee, liquidator or similar official under any Bankruptcy Law.</w:t>
      </w:r>
    </w:p>
    <w:p>
      <w:pPr>
        <w:spacing w:after="0" w:line="124" w:lineRule="exact"/>
        <w:rPr>
          <w:sz w:val="20"/>
          <w:szCs w:val="20"/>
          <w:color w:val="auto"/>
        </w:rPr>
      </w:pPr>
    </w:p>
    <w:p>
      <w:pPr>
        <w:ind w:left="240" w:right="399" w:firstLine="768"/>
        <w:spacing w:after="0" w:line="265" w:lineRule="auto"/>
        <w:rPr>
          <w:sz w:val="20"/>
          <w:szCs w:val="20"/>
          <w:color w:val="auto"/>
        </w:rPr>
      </w:pPr>
      <w:r>
        <w:rPr>
          <w:rFonts w:ascii="Times New Roman" w:cs="Times New Roman" w:eastAsia="Times New Roman" w:hAnsi="Times New Roman"/>
          <w:sz w:val="14"/>
          <w:szCs w:val="14"/>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6.2. </w:t>
      </w:r>
      <w:r>
        <w:rPr>
          <w:rFonts w:ascii="Times New Roman" w:cs="Times New Roman" w:eastAsia="Times New Roman" w:hAnsi="Times New Roman"/>
          <w:sz w:val="14"/>
          <w:szCs w:val="14"/>
          <w:u w:val="single" w:color="auto"/>
          <w:color w:val="auto"/>
        </w:rPr>
        <w:t>Acceleration of Maturity; Rescission and Annulment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379" w:firstLine="768"/>
        <w:spacing w:after="0" w:line="276" w:lineRule="auto"/>
        <w:rPr>
          <w:sz w:val="20"/>
          <w:szCs w:val="20"/>
          <w:color w:val="auto"/>
        </w:rPr>
      </w:pPr>
      <w:r>
        <w:rPr>
          <w:rFonts w:ascii="Times New Roman" w:cs="Times New Roman" w:eastAsia="Times New Roman" w:hAnsi="Times New Roman"/>
          <w:sz w:val="13"/>
          <w:szCs w:val="13"/>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cs="Times New Roman" w:eastAsia="Times New Roman" w:hAnsi="Times New Roman"/>
          <w:sz w:val="13"/>
          <w:szCs w:val="13"/>
          <w:i w:val="1"/>
          <w:iCs w:val="1"/>
          <w:color w:val="auto"/>
        </w:rPr>
        <w:t>ipso facto</w:t>
      </w:r>
      <w:r>
        <w:rPr>
          <w:rFonts w:ascii="Times New Roman" w:cs="Times New Roman" w:eastAsia="Times New Roman" w:hAnsi="Times New Roman"/>
          <w:sz w:val="13"/>
          <w:szCs w:val="13"/>
          <w:color w:val="auto"/>
        </w:rPr>
        <w:t xml:space="preserve"> become and be immediately due and payable without any declaration or other act on the part of the Trustee or any Holder.</w:t>
      </w:r>
    </w:p>
    <w:p>
      <w:pPr>
        <w:spacing w:after="0" w:line="130" w:lineRule="exact"/>
        <w:rPr>
          <w:sz w:val="20"/>
          <w:szCs w:val="20"/>
          <w:color w:val="auto"/>
        </w:rPr>
      </w:pPr>
    </w:p>
    <w:p>
      <w:pPr>
        <w:ind w:left="240" w:right="299" w:firstLine="768"/>
        <w:spacing w:after="0" w:line="257" w:lineRule="auto"/>
        <w:rPr>
          <w:sz w:val="20"/>
          <w:szCs w:val="20"/>
          <w:color w:val="auto"/>
        </w:rPr>
      </w:pPr>
      <w:r>
        <w:rPr>
          <w:rFonts w:ascii="Times New Roman" w:cs="Times New Roman" w:eastAsia="Times New Roman" w:hAnsi="Times New Roman"/>
          <w:sz w:val="14"/>
          <w:szCs w:val="14"/>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4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No such rescission shall affect any subsequent Default or impair any right consequent thereon.</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6.3. </w:t>
      </w:r>
      <w:r>
        <w:rPr>
          <w:rFonts w:ascii="Times New Roman" w:cs="Times New Roman" w:eastAsia="Times New Roman" w:hAnsi="Times New Roman"/>
          <w:sz w:val="14"/>
          <w:szCs w:val="14"/>
          <w:u w:val="single" w:color="auto"/>
          <w:color w:val="auto"/>
        </w:rPr>
        <w:t>Collection of Indebtedness and Suits for Enforcement by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The Company covenants that if:</w:t>
      </w:r>
    </w:p>
    <w:p>
      <w:pPr>
        <w:spacing w:after="0" w:line="90" w:lineRule="exact"/>
        <w:rPr>
          <w:sz w:val="20"/>
          <w:szCs w:val="20"/>
          <w:color w:val="auto"/>
        </w:rPr>
      </w:pPr>
    </w:p>
    <w:p>
      <w:pPr>
        <w:ind w:left="580" w:right="419" w:firstLine="327"/>
        <w:spacing w:after="0" w:line="280" w:lineRule="auto"/>
        <w:tabs>
          <w:tab w:leader="none" w:pos="1097"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is made in the payment of any interest on any Security when such interest becomes due and payable and such default continues for a period of 30 days,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40" w:right="1440" w:bottom="1440" w:gutter="0" w:footer="0" w:header="0"/>
        </w:sectPr>
      </w:pPr>
    </w:p>
    <w:bookmarkStart w:id="127" w:name="page128"/>
    <w:bookmarkEnd w:id="127"/>
    <w:p>
      <w:pPr>
        <w:ind w:left="1100" w:hanging="193"/>
        <w:spacing w:after="0"/>
        <w:tabs>
          <w:tab w:leader="none" w:pos="11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default is made in the payment of principal of any Security at the Maturity thereof, or</w:t>
      </w:r>
    </w:p>
    <w:p>
      <w:pPr>
        <w:spacing w:after="0" w:line="89"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is made in the deposit of any sinking fund payment, if any, when and as due by the terms of a Security,</w:t>
      </w:r>
    </w:p>
    <w:p>
      <w:pPr>
        <w:spacing w:after="0" w:line="172" w:lineRule="exact"/>
        <w:rPr>
          <w:sz w:val="20"/>
          <w:szCs w:val="20"/>
          <w:color w:val="auto"/>
        </w:rPr>
      </w:pPr>
    </w:p>
    <w:p>
      <w:pPr>
        <w:ind w:left="240" w:right="259"/>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then, </w:t>
      </w:r>
      <w:r>
        <w:rPr>
          <w:rFonts w:ascii="Times New Roman" w:cs="Times New Roman" w:eastAsia="Times New Roman" w:hAnsi="Times New Roman"/>
          <w:sz w:val="14"/>
          <w:szCs w:val="14"/>
          <w:color w:val="auto"/>
        </w:rPr>
        <w:t>the Company will, upon demand of the Trustee, pay to it, for the benefit of the Holders of such Securities, the whole amount then due and payable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40" w:lineRule="exact"/>
        <w:rPr>
          <w:sz w:val="20"/>
          <w:szCs w:val="20"/>
          <w:color w:val="auto"/>
        </w:rPr>
      </w:pPr>
    </w:p>
    <w:p>
      <w:pPr>
        <w:ind w:left="240" w:right="259" w:firstLine="768"/>
        <w:spacing w:after="0" w:line="259" w:lineRule="auto"/>
        <w:rPr>
          <w:sz w:val="20"/>
          <w:szCs w:val="20"/>
          <w:color w:val="auto"/>
        </w:rPr>
      </w:pPr>
      <w:r>
        <w:rPr>
          <w:rFonts w:ascii="Times New Roman" w:cs="Times New Roman" w:eastAsia="Times New Roman" w:hAnsi="Times New Roman"/>
          <w:sz w:val="14"/>
          <w:szCs w:val="14"/>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41" w:lineRule="exact"/>
        <w:rPr>
          <w:sz w:val="20"/>
          <w:szCs w:val="20"/>
          <w:color w:val="auto"/>
        </w:rPr>
      </w:pPr>
    </w:p>
    <w:p>
      <w:pPr>
        <w:ind w:left="240" w:right="319" w:firstLine="768"/>
        <w:spacing w:after="0" w:line="259" w:lineRule="auto"/>
        <w:rPr>
          <w:sz w:val="20"/>
          <w:szCs w:val="20"/>
          <w:color w:val="auto"/>
        </w:rPr>
      </w:pPr>
      <w:r>
        <w:rPr>
          <w:rFonts w:ascii="Times New Roman" w:cs="Times New Roman" w:eastAsia="Times New Roman" w:hAnsi="Times New Roman"/>
          <w:sz w:val="14"/>
          <w:szCs w:val="14"/>
          <w:color w:val="auto"/>
        </w:rPr>
        <w:t>If an Event of Default with respect to any Securities of any Series occurs and is continuing, the Trustee, subject to Article VII hereof,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6.4. </w:t>
      </w:r>
      <w:r>
        <w:rPr>
          <w:rFonts w:ascii="Times New Roman" w:cs="Times New Roman" w:eastAsia="Times New Roman" w:hAnsi="Times New Roman"/>
          <w:sz w:val="14"/>
          <w:szCs w:val="14"/>
          <w:u w:val="single" w:color="auto"/>
          <w:color w:val="auto"/>
        </w:rPr>
        <w:t>Trustee May File Proofs of Claim</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99" w:firstLine="768"/>
        <w:spacing w:after="0" w:line="257" w:lineRule="auto"/>
        <w:rPr>
          <w:sz w:val="20"/>
          <w:szCs w:val="20"/>
          <w:color w:val="auto"/>
        </w:rPr>
      </w:pPr>
      <w:r>
        <w:rPr>
          <w:rFonts w:ascii="Times New Roman" w:cs="Times New Roman" w:eastAsia="Times New Roman" w:hAnsi="Times New Roman"/>
          <w:sz w:val="14"/>
          <w:szCs w:val="14"/>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58" w:lineRule="exact"/>
        <w:rPr>
          <w:sz w:val="20"/>
          <w:szCs w:val="20"/>
          <w:color w:val="auto"/>
        </w:rPr>
      </w:pPr>
    </w:p>
    <w:p>
      <w:pPr>
        <w:ind w:left="580" w:right="339" w:firstLine="327"/>
        <w:spacing w:after="0" w:line="259" w:lineRule="auto"/>
        <w:tabs>
          <w:tab w:leader="none" w:pos="1097"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0" w:right="1440" w:bottom="1440" w:gutter="0" w:footer="0" w:header="0"/>
        </w:sectPr>
      </w:pPr>
    </w:p>
    <w:bookmarkStart w:id="128" w:name="page129"/>
    <w:bookmarkEnd w:id="128"/>
    <w:p>
      <w:pPr>
        <w:jc w:val="center"/>
        <w:ind w:right="259"/>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(b) to collect and receive any moneys or other property payable or deliverable on any such claims and to distribute the same,</w:t>
      </w:r>
    </w:p>
    <w:p>
      <w:pPr>
        <w:spacing w:after="0" w:line="21" w:lineRule="exact"/>
        <w:rPr>
          <w:sz w:val="20"/>
          <w:szCs w:val="20"/>
          <w:color w:val="auto"/>
        </w:rPr>
      </w:pPr>
    </w:p>
    <w:p>
      <w:pPr>
        <w:ind w:left="240" w:right="399"/>
        <w:spacing w:after="0" w:line="252" w:lineRule="auto"/>
        <w:rPr>
          <w:sz w:val="20"/>
          <w:szCs w:val="20"/>
          <w:color w:val="auto"/>
        </w:rPr>
      </w:pPr>
      <w:r>
        <w:rPr>
          <w:rFonts w:ascii="Times New Roman" w:cs="Times New Roman" w:eastAsia="Times New Roman" w:hAnsi="Times New Roman"/>
          <w:sz w:val="14"/>
          <w:szCs w:val="14"/>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45" w:lineRule="exact"/>
        <w:rPr>
          <w:sz w:val="20"/>
          <w:szCs w:val="20"/>
          <w:color w:val="auto"/>
        </w:rPr>
      </w:pPr>
    </w:p>
    <w:p>
      <w:pPr>
        <w:ind w:left="240" w:right="459" w:firstLine="768"/>
        <w:spacing w:after="0" w:line="265" w:lineRule="auto"/>
        <w:rPr>
          <w:sz w:val="20"/>
          <w:szCs w:val="20"/>
          <w:color w:val="auto"/>
        </w:rPr>
      </w:pPr>
      <w:r>
        <w:rPr>
          <w:rFonts w:ascii="Times New Roman" w:cs="Times New Roman" w:eastAsia="Times New Roman" w:hAnsi="Times New Roman"/>
          <w:sz w:val="14"/>
          <w:szCs w:val="14"/>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6.5. </w:t>
      </w:r>
      <w:r>
        <w:rPr>
          <w:rFonts w:ascii="Times New Roman" w:cs="Times New Roman" w:eastAsia="Times New Roman" w:hAnsi="Times New Roman"/>
          <w:sz w:val="14"/>
          <w:szCs w:val="14"/>
          <w:u w:val="single" w:color="auto"/>
          <w:color w:val="auto"/>
        </w:rPr>
        <w:t>Trustee May Enforce Claims Without Possession of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59" w:firstLine="768"/>
        <w:spacing w:after="0" w:line="257" w:lineRule="auto"/>
        <w:rPr>
          <w:sz w:val="20"/>
          <w:szCs w:val="20"/>
          <w:color w:val="auto"/>
        </w:rPr>
      </w:pPr>
      <w:r>
        <w:rPr>
          <w:rFonts w:ascii="Times New Roman" w:cs="Times New Roman" w:eastAsia="Times New Roman" w:hAnsi="Times New Roman"/>
          <w:sz w:val="14"/>
          <w:szCs w:val="14"/>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6.6. </w:t>
      </w:r>
      <w:r>
        <w:rPr>
          <w:rFonts w:ascii="Times New Roman" w:cs="Times New Roman" w:eastAsia="Times New Roman" w:hAnsi="Times New Roman"/>
          <w:sz w:val="14"/>
          <w:szCs w:val="14"/>
          <w:u w:val="single" w:color="auto"/>
          <w:color w:val="auto"/>
        </w:rPr>
        <w:t>Application of Money Collected.</w:t>
      </w:r>
    </w:p>
    <w:p>
      <w:pPr>
        <w:spacing w:after="0" w:line="174" w:lineRule="exact"/>
        <w:rPr>
          <w:sz w:val="20"/>
          <w:szCs w:val="20"/>
          <w:color w:val="auto"/>
        </w:rPr>
      </w:pPr>
    </w:p>
    <w:p>
      <w:pPr>
        <w:ind w:left="240" w:right="259" w:firstLine="768"/>
        <w:spacing w:after="0" w:line="265" w:lineRule="auto"/>
        <w:rPr>
          <w:sz w:val="20"/>
          <w:szCs w:val="20"/>
          <w:color w:val="auto"/>
        </w:rPr>
      </w:pPr>
      <w:r>
        <w:rPr>
          <w:rFonts w:ascii="Times New Roman" w:cs="Times New Roman" w:eastAsia="Times New Roman" w:hAnsi="Times New Roman"/>
          <w:sz w:val="14"/>
          <w:szCs w:val="14"/>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3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First: To the payment of all amounts due the Trustee under Section 7.7; and</w:t>
      </w:r>
    </w:p>
    <w:p>
      <w:pPr>
        <w:spacing w:after="0" w:line="174" w:lineRule="exact"/>
        <w:rPr>
          <w:sz w:val="20"/>
          <w:szCs w:val="20"/>
          <w:color w:val="auto"/>
        </w:rPr>
      </w:pPr>
    </w:p>
    <w:p>
      <w:pPr>
        <w:ind w:left="240" w:right="399" w:firstLine="768"/>
        <w:spacing w:after="0" w:line="265" w:lineRule="auto"/>
        <w:rPr>
          <w:sz w:val="20"/>
          <w:szCs w:val="20"/>
          <w:color w:val="auto"/>
        </w:rPr>
      </w:pPr>
      <w:r>
        <w:rPr>
          <w:rFonts w:ascii="Times New Roman" w:cs="Times New Roman" w:eastAsia="Times New Roman" w:hAnsi="Times New Roman"/>
          <w:sz w:val="14"/>
          <w:szCs w:val="14"/>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3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Third: To the Company.</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6.7. </w:t>
      </w:r>
      <w:r>
        <w:rPr>
          <w:rFonts w:ascii="Times New Roman" w:cs="Times New Roman" w:eastAsia="Times New Roman" w:hAnsi="Times New Roman"/>
          <w:sz w:val="14"/>
          <w:szCs w:val="14"/>
          <w:u w:val="single" w:color="auto"/>
          <w:color w:val="auto"/>
        </w:rPr>
        <w:t>Limitation on Suits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779" w:firstLine="768"/>
        <w:spacing w:after="0" w:line="280" w:lineRule="auto"/>
        <w:rPr>
          <w:sz w:val="20"/>
          <w:szCs w:val="20"/>
          <w:color w:val="auto"/>
        </w:rPr>
      </w:pPr>
      <w:r>
        <w:rPr>
          <w:rFonts w:ascii="Times New Roman" w:cs="Times New Roman" w:eastAsia="Times New Roman" w:hAnsi="Times New Roman"/>
          <w:sz w:val="14"/>
          <w:szCs w:val="14"/>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43" w:lineRule="exact"/>
        <w:rPr>
          <w:sz w:val="20"/>
          <w:szCs w:val="20"/>
          <w:color w:val="auto"/>
        </w:rPr>
      </w:pPr>
    </w:p>
    <w:p>
      <w:pPr>
        <w:ind w:left="1100" w:hanging="193"/>
        <w:spacing w:after="0"/>
        <w:tabs>
          <w:tab w:leader="none" w:pos="11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has previously given written notice to the Trustee of a continuing Event of Default with respect to the Securities of that</w:t>
      </w:r>
    </w:p>
    <w:p>
      <w:pPr>
        <w:spacing w:after="0" w:line="21" w:lineRule="exact"/>
        <w:rPr>
          <w:rFonts w:ascii="Times New Roman" w:cs="Times New Roman" w:eastAsia="Times New Roman" w:hAnsi="Times New Roman"/>
          <w:sz w:val="14"/>
          <w:szCs w:val="14"/>
          <w:color w:val="auto"/>
        </w:rPr>
      </w:pPr>
    </w:p>
    <w:p>
      <w:pPr>
        <w:ind w:left="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Series;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0" w:right="1440" w:bottom="1440" w:gutter="0" w:footer="0" w:header="0"/>
        </w:sectPr>
      </w:pPr>
    </w:p>
    <w:bookmarkStart w:id="129" w:name="page130"/>
    <w:bookmarkEnd w:id="129"/>
    <w:p>
      <w:pPr>
        <w:ind w:left="580" w:right="419" w:firstLine="327"/>
        <w:spacing w:after="0" w:line="280" w:lineRule="auto"/>
        <w:tabs>
          <w:tab w:leader="none" w:pos="1105"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42" w:lineRule="exact"/>
        <w:rPr>
          <w:rFonts w:ascii="Times New Roman" w:cs="Times New Roman" w:eastAsia="Times New Roman" w:hAnsi="Times New Roman"/>
          <w:sz w:val="14"/>
          <w:szCs w:val="14"/>
          <w:color w:val="auto"/>
        </w:rPr>
      </w:pPr>
    </w:p>
    <w:p>
      <w:pPr>
        <w:ind w:left="580" w:right="639" w:firstLine="327"/>
        <w:spacing w:after="0" w:line="280" w:lineRule="auto"/>
        <w:tabs>
          <w:tab w:leader="none" w:pos="1097"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or Holders have offered to the Trustee indemnity or security satisfactory to the Trustee against the costs, expenses and liabilities which might be incurred by the Trustee in compliance with such request;</w:t>
      </w:r>
    </w:p>
    <w:p>
      <w:pPr>
        <w:spacing w:after="0" w:line="42"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for 60 days after its receipt of such notice, request and offer of indemnity has failed to institute any such proceeding; and</w:t>
      </w:r>
    </w:p>
    <w:p>
      <w:pPr>
        <w:spacing w:after="0" w:line="89" w:lineRule="exact"/>
        <w:rPr>
          <w:rFonts w:ascii="Times New Roman" w:cs="Times New Roman" w:eastAsia="Times New Roman" w:hAnsi="Times New Roman"/>
          <w:sz w:val="14"/>
          <w:szCs w:val="14"/>
          <w:color w:val="auto"/>
        </w:rPr>
      </w:pPr>
    </w:p>
    <w:p>
      <w:pPr>
        <w:ind w:left="580" w:right="339" w:firstLine="327"/>
        <w:spacing w:after="0" w:line="280" w:lineRule="auto"/>
        <w:tabs>
          <w:tab w:leader="none" w:pos="1097"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direction inconsistent with such written request has been given to the Trustee during such 60-day period by the Holders of a majority in principal amount of the outstanding Securities of that Series;</w:t>
      </w:r>
    </w:p>
    <w:p>
      <w:pPr>
        <w:spacing w:after="0" w:line="126" w:lineRule="exact"/>
        <w:rPr>
          <w:sz w:val="20"/>
          <w:szCs w:val="20"/>
          <w:color w:val="auto"/>
        </w:rPr>
      </w:pPr>
    </w:p>
    <w:p>
      <w:pPr>
        <w:ind w:left="240" w:right="359"/>
        <w:spacing w:after="0" w:line="259" w:lineRule="auto"/>
        <w:rPr>
          <w:sz w:val="20"/>
          <w:szCs w:val="20"/>
          <w:color w:val="auto"/>
        </w:rPr>
      </w:pPr>
      <w:r>
        <w:rPr>
          <w:rFonts w:ascii="Times New Roman" w:cs="Times New Roman" w:eastAsia="Times New Roman" w:hAnsi="Times New Roman"/>
          <w:sz w:val="14"/>
          <w:szCs w:val="14"/>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6.8. </w:t>
      </w:r>
      <w:r>
        <w:rPr>
          <w:rFonts w:ascii="Times New Roman" w:cs="Times New Roman" w:eastAsia="Times New Roman" w:hAnsi="Times New Roman"/>
          <w:sz w:val="14"/>
          <w:szCs w:val="14"/>
          <w:u w:val="single" w:color="auto"/>
          <w:color w:val="auto"/>
        </w:rPr>
        <w:t>Unconditional Right of Holders to Receive Principal and Interest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59" w:firstLine="768"/>
        <w:spacing w:after="0" w:line="259" w:lineRule="auto"/>
        <w:rPr>
          <w:sz w:val="20"/>
          <w:szCs w:val="20"/>
          <w:color w:val="auto"/>
        </w:rPr>
      </w:pPr>
      <w:r>
        <w:rPr>
          <w:rFonts w:ascii="Times New Roman" w:cs="Times New Roman" w:eastAsia="Times New Roman" w:hAnsi="Times New Roman"/>
          <w:sz w:val="14"/>
          <w:szCs w:val="14"/>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6.9. </w:t>
      </w:r>
      <w:r>
        <w:rPr>
          <w:rFonts w:ascii="Times New Roman" w:cs="Times New Roman" w:eastAsia="Times New Roman" w:hAnsi="Times New Roman"/>
          <w:sz w:val="14"/>
          <w:szCs w:val="14"/>
          <w:u w:val="single" w:color="auto"/>
          <w:color w:val="auto"/>
        </w:rPr>
        <w:t>Restoration of Rights and Remedies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319" w:firstLine="768"/>
        <w:spacing w:after="0" w:line="286" w:lineRule="auto"/>
        <w:rPr>
          <w:sz w:val="20"/>
          <w:szCs w:val="20"/>
          <w:color w:val="auto"/>
        </w:rPr>
      </w:pPr>
      <w:r>
        <w:rPr>
          <w:rFonts w:ascii="Times New Roman" w:cs="Times New Roman" w:eastAsia="Times New Roman" w:hAnsi="Times New Roman"/>
          <w:sz w:val="13"/>
          <w:szCs w:val="13"/>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6.10. </w:t>
      </w:r>
      <w:r>
        <w:rPr>
          <w:rFonts w:ascii="Times New Roman" w:cs="Times New Roman" w:eastAsia="Times New Roman" w:hAnsi="Times New Roman"/>
          <w:sz w:val="14"/>
          <w:szCs w:val="14"/>
          <w:u w:val="single" w:color="auto"/>
          <w:color w:val="auto"/>
        </w:rPr>
        <w:t>Rights and Remedies Cumulative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left="240" w:right="319" w:firstLine="768"/>
        <w:spacing w:after="0" w:line="265" w:lineRule="auto"/>
        <w:rPr>
          <w:sz w:val="20"/>
          <w:szCs w:val="20"/>
          <w:color w:val="auto"/>
        </w:rPr>
      </w:pPr>
      <w:r>
        <w:rPr>
          <w:rFonts w:ascii="Times New Roman" w:cs="Times New Roman" w:eastAsia="Times New Roman" w:hAnsi="Times New Roman"/>
          <w:sz w:val="14"/>
          <w:szCs w:val="14"/>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0" w:right="1440" w:bottom="1440" w:gutter="0" w:footer="0" w:header="0"/>
        </w:sectPr>
      </w:pPr>
    </w:p>
    <w:bookmarkStart w:id="130" w:name="page131"/>
    <w:bookmarkEnd w:id="130"/>
    <w:p>
      <w:pPr>
        <w:ind w:left="240" w:right="399"/>
        <w:spacing w:after="0" w:line="280"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6.11. </w:t>
      </w:r>
      <w:r>
        <w:rPr>
          <w:rFonts w:ascii="Times New Roman" w:cs="Times New Roman" w:eastAsia="Times New Roman" w:hAnsi="Times New Roman"/>
          <w:sz w:val="14"/>
          <w:szCs w:val="14"/>
          <w:u w:val="single" w:color="auto"/>
          <w:color w:val="auto"/>
        </w:rPr>
        <w:t>Delay or Omission Not Waiver</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79" w:firstLine="768"/>
        <w:spacing w:after="0" w:line="259" w:lineRule="auto"/>
        <w:rPr>
          <w:sz w:val="20"/>
          <w:szCs w:val="20"/>
          <w:color w:val="auto"/>
        </w:rPr>
      </w:pPr>
      <w:r>
        <w:rPr>
          <w:rFonts w:ascii="Times New Roman" w:cs="Times New Roman" w:eastAsia="Times New Roman" w:hAnsi="Times New Roman"/>
          <w:sz w:val="14"/>
          <w:szCs w:val="14"/>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6.12. </w:t>
      </w:r>
      <w:r>
        <w:rPr>
          <w:rFonts w:ascii="Times New Roman" w:cs="Times New Roman" w:eastAsia="Times New Roman" w:hAnsi="Times New Roman"/>
          <w:sz w:val="14"/>
          <w:szCs w:val="14"/>
          <w:u w:val="single" w:color="auto"/>
          <w:color w:val="auto"/>
        </w:rPr>
        <w:t>Control by 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339" w:firstLine="768"/>
        <w:spacing w:after="0" w:line="265"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52" w:lineRule="exact"/>
        <w:rPr>
          <w:sz w:val="20"/>
          <w:szCs w:val="20"/>
          <w:color w:val="auto"/>
        </w:rPr>
      </w:pPr>
    </w:p>
    <w:p>
      <w:pPr>
        <w:ind w:left="1100" w:hanging="193"/>
        <w:spacing w:after="0"/>
        <w:tabs>
          <w:tab w:leader="none" w:pos="11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direction shall not be in conflict with any rule of law or with this Indenture,</w:t>
      </w:r>
    </w:p>
    <w:p>
      <w:pPr>
        <w:spacing w:after="0" w:line="89"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take any other action deemed proper by the Trustee which is not inconsistent with such direction,</w:t>
      </w:r>
    </w:p>
    <w:p>
      <w:pPr>
        <w:spacing w:after="0" w:line="89" w:lineRule="exact"/>
        <w:rPr>
          <w:rFonts w:ascii="Times New Roman" w:cs="Times New Roman" w:eastAsia="Times New Roman" w:hAnsi="Times New Roman"/>
          <w:sz w:val="14"/>
          <w:szCs w:val="14"/>
          <w:color w:val="auto"/>
        </w:rPr>
      </w:pPr>
    </w:p>
    <w:p>
      <w:pPr>
        <w:ind w:left="580" w:right="259" w:firstLine="327"/>
        <w:spacing w:after="0" w:line="280" w:lineRule="auto"/>
        <w:tabs>
          <w:tab w:leader="none" w:pos="1097"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42" w:lineRule="exact"/>
        <w:rPr>
          <w:rFonts w:ascii="Times New Roman" w:cs="Times New Roman" w:eastAsia="Times New Roman" w:hAnsi="Times New Roman"/>
          <w:sz w:val="14"/>
          <w:szCs w:val="14"/>
          <w:color w:val="auto"/>
        </w:rPr>
      </w:pPr>
    </w:p>
    <w:p>
      <w:pPr>
        <w:ind w:left="580" w:right="279" w:firstLine="327"/>
        <w:spacing w:after="0" w:line="280" w:lineRule="auto"/>
        <w:tabs>
          <w:tab w:leader="none" w:pos="1105"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6.13. </w:t>
      </w:r>
      <w:r>
        <w:rPr>
          <w:rFonts w:ascii="Times New Roman" w:cs="Times New Roman" w:eastAsia="Times New Roman" w:hAnsi="Times New Roman"/>
          <w:sz w:val="14"/>
          <w:szCs w:val="14"/>
          <w:u w:val="single" w:color="auto"/>
          <w:color w:val="auto"/>
        </w:rPr>
        <w:t>Waiver of Past Defaults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59" w:firstLine="768"/>
        <w:spacing w:after="0" w:line="254" w:lineRule="auto"/>
        <w:rPr>
          <w:sz w:val="20"/>
          <w:szCs w:val="20"/>
          <w:color w:val="auto"/>
        </w:rPr>
      </w:pPr>
      <w:r>
        <w:rPr>
          <w:rFonts w:ascii="Times New Roman" w:cs="Times New Roman" w:eastAsia="Times New Roman" w:hAnsi="Times New Roman"/>
          <w:sz w:val="14"/>
          <w:szCs w:val="14"/>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40" w:right="1440" w:bottom="1440" w:gutter="0" w:footer="0" w:header="0"/>
        </w:sectPr>
      </w:pPr>
    </w:p>
    <w:bookmarkStart w:id="131" w:name="page132"/>
    <w:bookmarkEnd w:id="131"/>
    <w:p>
      <w:pPr>
        <w:ind w:left="5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Section 6.14. </w:t>
      </w:r>
      <w:r>
        <w:rPr>
          <w:rFonts w:ascii="Times New Roman" w:cs="Times New Roman" w:eastAsia="Times New Roman" w:hAnsi="Times New Roman"/>
          <w:sz w:val="14"/>
          <w:szCs w:val="14"/>
          <w:u w:val="single" w:color="auto"/>
          <w:color w:val="auto"/>
        </w:rPr>
        <w:t>Undertaking for Costs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79" w:firstLine="768"/>
        <w:spacing w:after="0" w:line="253" w:lineRule="auto"/>
        <w:rPr>
          <w:sz w:val="20"/>
          <w:szCs w:val="20"/>
          <w:color w:val="auto"/>
        </w:rPr>
      </w:pPr>
      <w:r>
        <w:rPr>
          <w:rFonts w:ascii="Times New Roman" w:cs="Times New Roman" w:eastAsia="Times New Roman" w:hAnsi="Times New Roman"/>
          <w:sz w:val="14"/>
          <w:szCs w:val="14"/>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VII.</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TRUSTEE</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7.1. </w:t>
      </w:r>
      <w:r>
        <w:rPr>
          <w:rFonts w:ascii="Times New Roman" w:cs="Times New Roman" w:eastAsia="Times New Roman" w:hAnsi="Times New Roman"/>
          <w:sz w:val="14"/>
          <w:szCs w:val="14"/>
          <w:u w:val="single" w:color="auto"/>
          <w:color w:val="auto"/>
        </w:rPr>
        <w:t>Duties of Trustee</w:t>
      </w:r>
      <w:r>
        <w:rPr>
          <w:rFonts w:ascii="Times New Roman" w:cs="Times New Roman" w:eastAsia="Times New Roman" w:hAnsi="Times New Roman"/>
          <w:sz w:val="14"/>
          <w:szCs w:val="14"/>
          <w:color w:val="auto"/>
        </w:rPr>
        <w:t>.</w:t>
      </w:r>
    </w:p>
    <w:p>
      <w:pPr>
        <w:spacing w:after="0" w:line="90" w:lineRule="exact"/>
        <w:rPr>
          <w:sz w:val="20"/>
          <w:szCs w:val="20"/>
          <w:color w:val="auto"/>
        </w:rPr>
      </w:pPr>
    </w:p>
    <w:p>
      <w:pPr>
        <w:ind w:left="580" w:right="399" w:firstLine="327"/>
        <w:spacing w:after="0" w:line="265" w:lineRule="auto"/>
        <w:tabs>
          <w:tab w:leader="none" w:pos="1097"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52"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during the continuance of an Event of Default:</w:t>
      </w:r>
    </w:p>
    <w:p>
      <w:pPr>
        <w:spacing w:after="0" w:line="89" w:lineRule="exact"/>
        <w:rPr>
          <w:rFonts w:ascii="Times New Roman" w:cs="Times New Roman" w:eastAsia="Times New Roman" w:hAnsi="Times New Roman"/>
          <w:sz w:val="14"/>
          <w:szCs w:val="14"/>
          <w:color w:val="auto"/>
        </w:rPr>
      </w:pPr>
    </w:p>
    <w:p>
      <w:pPr>
        <w:ind w:left="1000" w:right="259" w:firstLine="317"/>
        <w:spacing w:after="0" w:line="280" w:lineRule="auto"/>
        <w:tabs>
          <w:tab w:leader="none" w:pos="1477" w:val="left"/>
        </w:tabs>
        <w:numPr>
          <w:ilvl w:val="1"/>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need perform only those duties that are specifically set forth in this Indenture and no others, and no implied covenants or obligations will be read into this Indenture against the Trustee.</w:t>
      </w:r>
    </w:p>
    <w:p>
      <w:pPr>
        <w:spacing w:after="0" w:line="42" w:lineRule="exact"/>
        <w:rPr>
          <w:rFonts w:ascii="Times New Roman" w:cs="Times New Roman" w:eastAsia="Times New Roman" w:hAnsi="Times New Roman"/>
          <w:sz w:val="14"/>
          <w:szCs w:val="14"/>
          <w:color w:val="auto"/>
        </w:rPr>
      </w:pPr>
    </w:p>
    <w:p>
      <w:pPr>
        <w:ind w:left="1000" w:right="419" w:firstLine="317"/>
        <w:spacing w:after="0" w:line="257" w:lineRule="auto"/>
        <w:tabs>
          <w:tab w:leader="none" w:pos="1515" w:val="left"/>
        </w:tabs>
        <w:numPr>
          <w:ilvl w:val="1"/>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58" w:lineRule="exact"/>
        <w:rPr>
          <w:rFonts w:ascii="Times New Roman" w:cs="Times New Roman" w:eastAsia="Times New Roman" w:hAnsi="Times New Roman"/>
          <w:sz w:val="14"/>
          <w:szCs w:val="14"/>
          <w:color w:val="auto"/>
        </w:rPr>
      </w:pPr>
    </w:p>
    <w:p>
      <w:pPr>
        <w:ind w:left="580" w:right="299" w:firstLine="327"/>
        <w:spacing w:after="0" w:line="280" w:lineRule="auto"/>
        <w:tabs>
          <w:tab w:leader="none" w:pos="1097"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not be relieved from liability for its own negligent action, its own negligent failure to act or its own willful misconduct, except that:</w:t>
      </w:r>
    </w:p>
    <w:p>
      <w:pPr>
        <w:spacing w:after="0" w:line="42" w:lineRule="exact"/>
        <w:rPr>
          <w:rFonts w:ascii="Times New Roman" w:cs="Times New Roman" w:eastAsia="Times New Roman" w:hAnsi="Times New Roman"/>
          <w:sz w:val="14"/>
          <w:szCs w:val="14"/>
          <w:color w:val="auto"/>
        </w:rPr>
      </w:pPr>
    </w:p>
    <w:p>
      <w:pPr>
        <w:ind w:left="1480" w:hanging="163"/>
        <w:spacing w:after="0"/>
        <w:tabs>
          <w:tab w:leader="none" w:pos="1480" w:val="left"/>
        </w:tabs>
        <w:numPr>
          <w:ilvl w:val="1"/>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paragraph does not limit the effect of paragraph (b) of this Section.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0" w:right="1440" w:bottom="1440" w:gutter="0" w:footer="0" w:header="0"/>
        </w:sectPr>
      </w:pPr>
    </w:p>
    <w:bookmarkStart w:id="132" w:name="page133"/>
    <w:bookmarkEnd w:id="132"/>
    <w:p>
      <w:pPr>
        <w:ind w:left="1000" w:right="339" w:firstLine="317"/>
        <w:spacing w:after="0" w:line="280" w:lineRule="auto"/>
        <w:tabs>
          <w:tab w:leader="none" w:pos="1515"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Trustee shall not be liable for any error of judgment made in good faith by a Responsible Officer, unless it is proved that the Trustee was negligent in ascertaining the pertinent facts.</w:t>
      </w:r>
    </w:p>
    <w:p>
      <w:pPr>
        <w:spacing w:after="0" w:line="42" w:lineRule="exact"/>
        <w:rPr>
          <w:rFonts w:ascii="Times New Roman" w:cs="Times New Roman" w:eastAsia="Times New Roman" w:hAnsi="Times New Roman"/>
          <w:sz w:val="14"/>
          <w:szCs w:val="14"/>
          <w:color w:val="auto"/>
        </w:rPr>
      </w:pPr>
    </w:p>
    <w:p>
      <w:pPr>
        <w:ind w:left="1000" w:right="299" w:firstLine="317"/>
        <w:spacing w:after="0" w:line="254" w:lineRule="auto"/>
        <w:tabs>
          <w:tab w:leader="none" w:pos="1554" w:val="left"/>
        </w:tabs>
        <w:numPr>
          <w:ilvl w:val="1"/>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w:t>
      </w:r>
    </w:p>
    <w:p>
      <w:pPr>
        <w:spacing w:after="0" w:line="2" w:lineRule="exact"/>
        <w:rPr>
          <w:rFonts w:ascii="Times New Roman" w:cs="Times New Roman" w:eastAsia="Times New Roman" w:hAnsi="Times New Roman"/>
          <w:sz w:val="14"/>
          <w:szCs w:val="14"/>
          <w:color w:val="auto"/>
        </w:rPr>
      </w:pPr>
    </w:p>
    <w:p>
      <w:pPr>
        <w:ind w:left="10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6.12.</w:t>
      </w:r>
    </w:p>
    <w:p>
      <w:pPr>
        <w:spacing w:after="0" w:line="75"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provision of this Indenture that in any way relates to the Trustee is subject to paragraph (a), (b) and (c) of this Section.</w:t>
      </w:r>
    </w:p>
    <w:p>
      <w:pPr>
        <w:spacing w:after="0" w:line="89" w:lineRule="exact"/>
        <w:rPr>
          <w:rFonts w:ascii="Times New Roman" w:cs="Times New Roman" w:eastAsia="Times New Roman" w:hAnsi="Times New Roman"/>
          <w:sz w:val="14"/>
          <w:szCs w:val="14"/>
          <w:color w:val="auto"/>
        </w:rPr>
      </w:pPr>
    </w:p>
    <w:p>
      <w:pPr>
        <w:ind w:left="580" w:right="259" w:firstLine="327"/>
        <w:spacing w:after="0" w:line="280" w:lineRule="auto"/>
        <w:tabs>
          <w:tab w:leader="none" w:pos="1097"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42" w:lineRule="exact"/>
        <w:rPr>
          <w:rFonts w:ascii="Times New Roman" w:cs="Times New Roman" w:eastAsia="Times New Roman" w:hAnsi="Times New Roman"/>
          <w:sz w:val="14"/>
          <w:szCs w:val="14"/>
          <w:color w:val="auto"/>
        </w:rPr>
      </w:pPr>
    </w:p>
    <w:p>
      <w:pPr>
        <w:ind w:left="580" w:right="499" w:firstLine="327"/>
        <w:spacing w:after="0" w:line="280" w:lineRule="auto"/>
        <w:tabs>
          <w:tab w:leader="none" w:pos="1082"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42" w:lineRule="exact"/>
        <w:rPr>
          <w:rFonts w:ascii="Times New Roman" w:cs="Times New Roman" w:eastAsia="Times New Roman" w:hAnsi="Times New Roman"/>
          <w:sz w:val="14"/>
          <w:szCs w:val="14"/>
          <w:color w:val="auto"/>
        </w:rPr>
      </w:pPr>
    </w:p>
    <w:p>
      <w:pPr>
        <w:ind w:left="580" w:right="319" w:firstLine="327"/>
        <w:spacing w:after="0" w:line="265" w:lineRule="auto"/>
        <w:tabs>
          <w:tab w:leader="none" w:pos="1105"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52" w:lineRule="exact"/>
        <w:rPr>
          <w:rFonts w:ascii="Times New Roman" w:cs="Times New Roman" w:eastAsia="Times New Roman" w:hAnsi="Times New Roman"/>
          <w:sz w:val="14"/>
          <w:szCs w:val="14"/>
          <w:color w:val="auto"/>
        </w:rPr>
      </w:pPr>
    </w:p>
    <w:p>
      <w:pPr>
        <w:ind w:left="580" w:right="279" w:firstLine="327"/>
        <w:spacing w:after="0" w:line="280" w:lineRule="auto"/>
        <w:tabs>
          <w:tab w:leader="none" w:pos="1105"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Paying Agent, the Notice Agent, the Registrar, any authenticating agent and the Trustee when acting in any other capacity hereunder shall be entitled to the protections and immunities as are set forth in this Article VII.</w:t>
      </w:r>
    </w:p>
    <w:p>
      <w:pPr>
        <w:spacing w:after="0" w:line="42" w:lineRule="exact"/>
        <w:rPr>
          <w:rFonts w:ascii="Times New Roman" w:cs="Times New Roman" w:eastAsia="Times New Roman" w:hAnsi="Times New Roman"/>
          <w:sz w:val="14"/>
          <w:szCs w:val="14"/>
          <w:color w:val="auto"/>
        </w:rPr>
      </w:pPr>
    </w:p>
    <w:p>
      <w:pPr>
        <w:ind w:left="580" w:right="259" w:firstLine="327"/>
        <w:spacing w:after="0" w:line="280" w:lineRule="auto"/>
        <w:tabs>
          <w:tab w:leader="none" w:pos="1074"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privileges, protections, immunities and benefits given to the Trustee, including its right to be indemnified, are extended to, and will be enforceable by, the Trustee in each of its capacities under this Indenture.</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7.2. </w:t>
      </w:r>
      <w:r>
        <w:rPr>
          <w:rFonts w:ascii="Times New Roman" w:cs="Times New Roman" w:eastAsia="Times New Roman" w:hAnsi="Times New Roman"/>
          <w:sz w:val="14"/>
          <w:szCs w:val="14"/>
          <w:u w:val="single" w:color="auto"/>
          <w:color w:val="auto"/>
        </w:rPr>
        <w:t>Rights of Trustee</w:t>
      </w:r>
      <w:r>
        <w:rPr>
          <w:rFonts w:ascii="Times New Roman" w:cs="Times New Roman" w:eastAsia="Times New Roman" w:hAnsi="Times New Roman"/>
          <w:sz w:val="14"/>
          <w:szCs w:val="14"/>
          <w:color w:val="auto"/>
        </w:rPr>
        <w:t>.</w:t>
      </w:r>
    </w:p>
    <w:p>
      <w:pPr>
        <w:spacing w:after="0" w:line="90" w:lineRule="exact"/>
        <w:rPr>
          <w:sz w:val="20"/>
          <w:szCs w:val="20"/>
          <w:color w:val="auto"/>
        </w:rPr>
      </w:pPr>
    </w:p>
    <w:p>
      <w:pPr>
        <w:ind w:left="580" w:right="359" w:firstLine="327"/>
        <w:spacing w:after="0" w:line="265" w:lineRule="auto"/>
        <w:tabs>
          <w:tab w:leader="none" w:pos="1097"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52" w:lineRule="exact"/>
        <w:rPr>
          <w:rFonts w:ascii="Times New Roman" w:cs="Times New Roman" w:eastAsia="Times New Roman" w:hAnsi="Times New Roman"/>
          <w:sz w:val="14"/>
          <w:szCs w:val="14"/>
          <w:color w:val="auto"/>
        </w:rPr>
      </w:pPr>
    </w:p>
    <w:p>
      <w:pPr>
        <w:ind w:left="580" w:right="539" w:firstLine="327"/>
        <w:spacing w:after="0" w:line="321" w:lineRule="auto"/>
        <w:tabs>
          <w:tab w:leader="none" w:pos="1105" w:val="left"/>
        </w:tabs>
        <w:numPr>
          <w:ilvl w:val="0"/>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0" w:right="1440" w:bottom="1440" w:gutter="0" w:footer="0" w:header="0"/>
        </w:sectPr>
      </w:pPr>
    </w:p>
    <w:bookmarkStart w:id="133" w:name="page134"/>
    <w:bookmarkEnd w:id="133"/>
    <w:p>
      <w:pPr>
        <w:ind w:left="580" w:right="339" w:firstLine="327"/>
        <w:spacing w:after="0" w:line="280" w:lineRule="auto"/>
        <w:tabs>
          <w:tab w:leader="none" w:pos="1097"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42" w:lineRule="exact"/>
        <w:rPr>
          <w:rFonts w:ascii="Times New Roman" w:cs="Times New Roman" w:eastAsia="Times New Roman" w:hAnsi="Times New Roman"/>
          <w:sz w:val="14"/>
          <w:szCs w:val="14"/>
          <w:color w:val="auto"/>
        </w:rPr>
      </w:pPr>
    </w:p>
    <w:p>
      <w:pPr>
        <w:ind w:left="580" w:right="359" w:firstLine="327"/>
        <w:spacing w:after="0" w:line="280" w:lineRule="auto"/>
        <w:tabs>
          <w:tab w:leader="none" w:pos="1105"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action it takes or omits to take in good faith which it believes to be authorized or within its rights or powers.</w:t>
      </w:r>
    </w:p>
    <w:p>
      <w:pPr>
        <w:spacing w:after="0" w:line="42" w:lineRule="exact"/>
        <w:rPr>
          <w:rFonts w:ascii="Times New Roman" w:cs="Times New Roman" w:eastAsia="Times New Roman" w:hAnsi="Times New Roman"/>
          <w:sz w:val="14"/>
          <w:szCs w:val="14"/>
          <w:color w:val="auto"/>
        </w:rPr>
      </w:pPr>
    </w:p>
    <w:p>
      <w:pPr>
        <w:ind w:left="580" w:right="299" w:firstLine="327"/>
        <w:spacing w:after="0" w:line="280" w:lineRule="auto"/>
        <w:tabs>
          <w:tab w:leader="none" w:pos="1097"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42" w:lineRule="exact"/>
        <w:rPr>
          <w:rFonts w:ascii="Times New Roman" w:cs="Times New Roman" w:eastAsia="Times New Roman" w:hAnsi="Times New Roman"/>
          <w:sz w:val="14"/>
          <w:szCs w:val="14"/>
          <w:color w:val="auto"/>
        </w:rPr>
      </w:pPr>
    </w:p>
    <w:p>
      <w:pPr>
        <w:ind w:left="580" w:right="279" w:firstLine="327"/>
        <w:spacing w:after="0" w:line="265" w:lineRule="auto"/>
        <w:tabs>
          <w:tab w:leader="none" w:pos="1082"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52" w:lineRule="exact"/>
        <w:rPr>
          <w:rFonts w:ascii="Times New Roman" w:cs="Times New Roman" w:eastAsia="Times New Roman" w:hAnsi="Times New Roman"/>
          <w:sz w:val="14"/>
          <w:szCs w:val="14"/>
          <w:color w:val="auto"/>
        </w:rPr>
      </w:pPr>
    </w:p>
    <w:p>
      <w:pPr>
        <w:ind w:left="580" w:right="619" w:firstLine="327"/>
        <w:spacing w:after="0" w:line="265" w:lineRule="auto"/>
        <w:tabs>
          <w:tab w:leader="none" w:pos="1105"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52" w:lineRule="exact"/>
        <w:rPr>
          <w:rFonts w:ascii="Times New Roman" w:cs="Times New Roman" w:eastAsia="Times New Roman" w:hAnsi="Times New Roman"/>
          <w:sz w:val="14"/>
          <w:szCs w:val="14"/>
          <w:color w:val="auto"/>
        </w:rPr>
      </w:pPr>
    </w:p>
    <w:p>
      <w:pPr>
        <w:jc w:val="both"/>
        <w:ind w:left="580" w:right="319" w:firstLine="327"/>
        <w:spacing w:after="0" w:line="294" w:lineRule="auto"/>
        <w:tabs>
          <w:tab w:leader="none" w:pos="1105"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deemed to have notice of any Default or Event of Default unless a Responsible Officer of the Trustee has actual knowledge thereof or unless written notice of any event which is in fact such a default is received by a Responsible Officer at the Corporate Trust Office of the Trustee, and such notice references the Securities generally or the Securities of a particular Series and this Indenture.</w:t>
      </w:r>
    </w:p>
    <w:p>
      <w:pPr>
        <w:spacing w:after="0" w:line="36" w:lineRule="exact"/>
        <w:rPr>
          <w:rFonts w:ascii="Times New Roman" w:cs="Times New Roman" w:eastAsia="Times New Roman" w:hAnsi="Times New Roman"/>
          <w:sz w:val="13"/>
          <w:szCs w:val="13"/>
          <w:color w:val="auto"/>
        </w:rPr>
      </w:pPr>
    </w:p>
    <w:p>
      <w:pPr>
        <w:ind w:left="580" w:right="319" w:firstLine="327"/>
        <w:spacing w:after="0" w:line="280" w:lineRule="auto"/>
        <w:tabs>
          <w:tab w:leader="none" w:pos="1074"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42" w:lineRule="exact"/>
        <w:rPr>
          <w:rFonts w:ascii="Times New Roman" w:cs="Times New Roman" w:eastAsia="Times New Roman" w:hAnsi="Times New Roman"/>
          <w:sz w:val="14"/>
          <w:szCs w:val="14"/>
          <w:color w:val="auto"/>
        </w:rPr>
      </w:pPr>
    </w:p>
    <w:p>
      <w:pPr>
        <w:ind w:left="1080" w:hanging="173"/>
        <w:spacing w:after="0"/>
        <w:tabs>
          <w:tab w:leader="none" w:pos="1080"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permissive right of the Trustee to take the actions permitted by this Indenture shall not be construed as an obligation or duty to do so.</w:t>
      </w:r>
    </w:p>
    <w:p>
      <w:pPr>
        <w:spacing w:after="0" w:line="101" w:lineRule="exact"/>
        <w:rPr>
          <w:rFonts w:ascii="Times New Roman" w:cs="Times New Roman" w:eastAsia="Times New Roman" w:hAnsi="Times New Roman"/>
          <w:sz w:val="13"/>
          <w:szCs w:val="13"/>
          <w:color w:val="auto"/>
        </w:rPr>
      </w:pPr>
    </w:p>
    <w:p>
      <w:pPr>
        <w:ind w:left="1100" w:hanging="193"/>
        <w:spacing w:after="0"/>
        <w:tabs>
          <w:tab w:leader="none" w:pos="110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will not be required to give any bond or surety in respect of the execution of this Indenture or otherwise.</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7.3. </w:t>
      </w:r>
      <w:r>
        <w:rPr>
          <w:rFonts w:ascii="Times New Roman" w:cs="Times New Roman" w:eastAsia="Times New Roman" w:hAnsi="Times New Roman"/>
          <w:sz w:val="14"/>
          <w:szCs w:val="14"/>
          <w:u w:val="single" w:color="auto"/>
          <w:color w:val="auto"/>
        </w:rPr>
        <w:t>Individual Rights of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499" w:firstLine="768"/>
        <w:spacing w:after="0" w:line="265" w:lineRule="auto"/>
        <w:rPr>
          <w:sz w:val="20"/>
          <w:szCs w:val="20"/>
          <w:color w:val="auto"/>
        </w:rPr>
      </w:pPr>
      <w:r>
        <w:rPr>
          <w:rFonts w:ascii="Times New Roman" w:cs="Times New Roman" w:eastAsia="Times New Roman" w:hAnsi="Times New Roman"/>
          <w:sz w:val="14"/>
          <w:szCs w:val="14"/>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40" w:right="1440" w:bottom="1440" w:gutter="0" w:footer="0" w:header="0"/>
        </w:sectPr>
      </w:pPr>
    </w:p>
    <w:bookmarkStart w:id="134" w:name="page135"/>
    <w:bookmarkEnd w:id="134"/>
    <w:p>
      <w:pPr>
        <w:ind w:left="5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Section 7.4. </w:t>
      </w:r>
      <w:r>
        <w:rPr>
          <w:rFonts w:ascii="Times New Roman" w:cs="Times New Roman" w:eastAsia="Times New Roman" w:hAnsi="Times New Roman"/>
          <w:sz w:val="14"/>
          <w:szCs w:val="14"/>
          <w:u w:val="single" w:color="auto"/>
          <w:color w:val="auto"/>
        </w:rPr>
        <w:t>Trustee’s Disclaimer</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79" w:firstLine="768"/>
        <w:spacing w:after="0" w:line="265" w:lineRule="auto"/>
        <w:rPr>
          <w:sz w:val="20"/>
          <w:szCs w:val="20"/>
          <w:color w:val="auto"/>
        </w:rPr>
      </w:pPr>
      <w:r>
        <w:rPr>
          <w:rFonts w:ascii="Times New Roman" w:cs="Times New Roman" w:eastAsia="Times New Roman" w:hAnsi="Times New Roman"/>
          <w:sz w:val="14"/>
          <w:szCs w:val="14"/>
          <w:color w:val="auto"/>
        </w:rPr>
        <w:t>The Trustee makes no representation as to the validity or adequacy of this Indenture or the Securities. The Trustee shall not be accountable for the Company’s use of the proceeds from the Securities and shall not be responsible for any statement in the Securities other than its certificate of authentication.</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7.5. </w:t>
      </w:r>
      <w:r>
        <w:rPr>
          <w:rFonts w:ascii="Times New Roman" w:cs="Times New Roman" w:eastAsia="Times New Roman" w:hAnsi="Times New Roman"/>
          <w:sz w:val="14"/>
          <w:szCs w:val="14"/>
          <w:u w:val="single" w:color="auto"/>
          <w:color w:val="auto"/>
        </w:rPr>
        <w:t>Notice of Defaults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59" w:firstLine="768"/>
        <w:spacing w:after="0" w:line="253" w:lineRule="auto"/>
        <w:rPr>
          <w:sz w:val="20"/>
          <w:szCs w:val="20"/>
          <w:color w:val="auto"/>
        </w:rPr>
      </w:pPr>
      <w:r>
        <w:rPr>
          <w:rFonts w:ascii="Times New Roman" w:cs="Times New Roman" w:eastAsia="Times New Roman" w:hAnsi="Times New Roman"/>
          <w:sz w:val="14"/>
          <w:szCs w:val="14"/>
          <w:color w:val="auto"/>
        </w:rPr>
        <w:t>If a Default or Event of Default occurs and is continuing with respect to the Securities of any Series and if it is known to a Responsible Officer of the Trustee, the Trustee shall send to each 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Holders of that Series. The Trustee will not be deemed to have notice or be charged with knowledge of any Default or Event of Default unless written notice thereof has been received by a Responsible Officer, and such notice references the applicable Series of Securities and this Indenture and states on its face that a Default or Event of Default has occurred.</w:t>
      </w:r>
    </w:p>
    <w:p>
      <w:pPr>
        <w:spacing w:after="0" w:line="1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7.6. </w:t>
      </w:r>
      <w:r>
        <w:rPr>
          <w:rFonts w:ascii="Times New Roman" w:cs="Times New Roman" w:eastAsia="Times New Roman" w:hAnsi="Times New Roman"/>
          <w:sz w:val="14"/>
          <w:szCs w:val="14"/>
          <w:u w:val="single" w:color="auto"/>
          <w:color w:val="auto"/>
        </w:rPr>
        <w:t>Reports by Trustee to 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left="240" w:right="499" w:firstLine="768"/>
        <w:spacing w:after="0" w:line="265" w:lineRule="auto"/>
        <w:rPr>
          <w:sz w:val="20"/>
          <w:szCs w:val="20"/>
          <w:color w:val="auto"/>
        </w:rPr>
      </w:pPr>
      <w:r>
        <w:rPr>
          <w:rFonts w:ascii="Times New Roman" w:cs="Times New Roman" w:eastAsia="Times New Roman" w:hAnsi="Times New Roman"/>
          <w:sz w:val="14"/>
          <w:szCs w:val="14"/>
          <w:color w:val="auto"/>
        </w:rPr>
        <w:t>Within 60 days after each anniversary of the date of this Indenture, the Trustee shall transmit by mail to all Holders, as their names and addresses appear on the register kept by the Registrar, a brief report dated as of such anniversary date, in accordance with, and to the extent required under, TIA § 313.</w:t>
      </w:r>
    </w:p>
    <w:p>
      <w:pPr>
        <w:spacing w:after="0" w:line="136" w:lineRule="exact"/>
        <w:rPr>
          <w:sz w:val="20"/>
          <w:szCs w:val="20"/>
          <w:color w:val="auto"/>
        </w:rPr>
      </w:pPr>
    </w:p>
    <w:p>
      <w:pPr>
        <w:ind w:left="240" w:right="359" w:firstLine="768"/>
        <w:spacing w:after="0" w:line="265" w:lineRule="auto"/>
        <w:rPr>
          <w:sz w:val="20"/>
          <w:szCs w:val="20"/>
          <w:color w:val="auto"/>
        </w:rPr>
      </w:pPr>
      <w:r>
        <w:rPr>
          <w:rFonts w:ascii="Times New Roman" w:cs="Times New Roman" w:eastAsia="Times New Roman" w:hAnsi="Times New Roman"/>
          <w:sz w:val="14"/>
          <w:szCs w:val="14"/>
          <w:color w:val="auto"/>
        </w:rPr>
        <w:t>A copy of each report at the time of its mailing to 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7.7. </w:t>
      </w:r>
      <w:r>
        <w:rPr>
          <w:rFonts w:ascii="Times New Roman" w:cs="Times New Roman" w:eastAsia="Times New Roman" w:hAnsi="Times New Roman"/>
          <w:sz w:val="14"/>
          <w:szCs w:val="14"/>
          <w:u w:val="single" w:color="auto"/>
          <w:color w:val="auto"/>
        </w:rPr>
        <w:t>Compensation and Indemnity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359" w:firstLine="768"/>
        <w:spacing w:after="0" w:line="259" w:lineRule="auto"/>
        <w:rPr>
          <w:sz w:val="20"/>
          <w:szCs w:val="20"/>
          <w:color w:val="auto"/>
        </w:rPr>
      </w:pPr>
      <w:r>
        <w:rPr>
          <w:rFonts w:ascii="Times New Roman" w:cs="Times New Roman" w:eastAsia="Times New Roman" w:hAnsi="Times New Roman"/>
          <w:sz w:val="14"/>
          <w:szCs w:val="14"/>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spacing w:after="0" w:line="141" w:lineRule="exact"/>
        <w:rPr>
          <w:sz w:val="20"/>
          <w:szCs w:val="20"/>
          <w:color w:val="auto"/>
        </w:rPr>
      </w:pPr>
    </w:p>
    <w:p>
      <w:pPr>
        <w:ind w:left="240" w:right="279" w:firstLine="768"/>
        <w:spacing w:after="0" w:line="294" w:lineRule="auto"/>
        <w:rPr>
          <w:sz w:val="20"/>
          <w:szCs w:val="20"/>
          <w:color w:val="auto"/>
        </w:rPr>
      </w:pPr>
      <w:r>
        <w:rPr>
          <w:rFonts w:ascii="Times New Roman" w:cs="Times New Roman" w:eastAsia="Times New Roman" w:hAnsi="Times New Roman"/>
          <w:sz w:val="13"/>
          <w:szCs w:val="13"/>
          <w:color w:val="auto"/>
        </w:rPr>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0" w:right="1440" w:bottom="1440" w:gutter="0" w:footer="0" w:header="0"/>
        </w:sectPr>
      </w:pPr>
    </w:p>
    <w:bookmarkStart w:id="135" w:name="page136"/>
    <w:bookmarkEnd w:id="135"/>
    <w:p>
      <w:pPr>
        <w:ind w:left="240" w:right="359"/>
        <w:spacing w:after="0" w:line="25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42" w:lineRule="exact"/>
        <w:rPr>
          <w:sz w:val="20"/>
          <w:szCs w:val="20"/>
          <w:color w:val="auto"/>
        </w:rPr>
      </w:pPr>
    </w:p>
    <w:p>
      <w:pPr>
        <w:ind w:left="240" w:right="279" w:firstLine="768"/>
        <w:spacing w:after="0" w:line="265" w:lineRule="auto"/>
        <w:rPr>
          <w:sz w:val="20"/>
          <w:szCs w:val="20"/>
          <w:color w:val="auto"/>
        </w:rPr>
      </w:pPr>
      <w:r>
        <w:rPr>
          <w:rFonts w:ascii="Times New Roman" w:cs="Times New Roman" w:eastAsia="Times New Roman" w:hAnsi="Times New Roman"/>
          <w:sz w:val="14"/>
          <w:szCs w:val="14"/>
          <w:color w:val="auto"/>
        </w:rPr>
        <w:t>The Company need not reimburse any expense or indemnify against any loss or liability incurred by the Trustee or by any officer, director, employee, shareholder or agent of the Trustee through willful misconduct or negligence, as determined by a final decision of a court of competent jurisdiction.</w:t>
      </w:r>
    </w:p>
    <w:p>
      <w:pPr>
        <w:spacing w:after="0" w:line="136" w:lineRule="exact"/>
        <w:rPr>
          <w:sz w:val="20"/>
          <w:szCs w:val="20"/>
          <w:color w:val="auto"/>
        </w:rPr>
      </w:pPr>
    </w:p>
    <w:p>
      <w:pPr>
        <w:ind w:left="240" w:right="499" w:firstLine="768"/>
        <w:spacing w:after="0" w:line="321" w:lineRule="auto"/>
        <w:rPr>
          <w:sz w:val="20"/>
          <w:szCs w:val="20"/>
          <w:color w:val="auto"/>
        </w:rPr>
      </w:pPr>
      <w:r>
        <w:rPr>
          <w:rFonts w:ascii="Times New Roman" w:cs="Times New Roman" w:eastAsia="Times New Roman" w:hAnsi="Times New Roman"/>
          <w:sz w:val="13"/>
          <w:szCs w:val="13"/>
          <w:color w:val="auto"/>
        </w:rPr>
        <w:t>To secure the Company’s payment obligations in this Section, the Trustee shall have a lien prior to the Securities of any Series on all money or property held or collected by the Trustee, except that held in trust to pay the principal of and interest on particular Securities of that Series.</w:t>
      </w:r>
    </w:p>
    <w:p>
      <w:pPr>
        <w:spacing w:after="0" w:line="102" w:lineRule="exact"/>
        <w:rPr>
          <w:sz w:val="20"/>
          <w:szCs w:val="20"/>
          <w:color w:val="auto"/>
        </w:rPr>
      </w:pPr>
    </w:p>
    <w:p>
      <w:pPr>
        <w:ind w:left="240" w:right="359" w:firstLine="768"/>
        <w:spacing w:after="0" w:line="280" w:lineRule="auto"/>
        <w:rPr>
          <w:sz w:val="20"/>
          <w:szCs w:val="20"/>
          <w:color w:val="auto"/>
        </w:rPr>
      </w:pPr>
      <w:r>
        <w:rPr>
          <w:rFonts w:ascii="Times New Roman" w:cs="Times New Roman" w:eastAsia="Times New Roman" w:hAnsi="Times New Roman"/>
          <w:sz w:val="14"/>
          <w:szCs w:val="14"/>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The provisions of this Section shall survive the termination of this Indenture and the resignation or removal of the Trustee.</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7.8. </w:t>
      </w:r>
      <w:r>
        <w:rPr>
          <w:rFonts w:ascii="Times New Roman" w:cs="Times New Roman" w:eastAsia="Times New Roman" w:hAnsi="Times New Roman"/>
          <w:sz w:val="14"/>
          <w:szCs w:val="14"/>
          <w:u w:val="single" w:color="auto"/>
          <w:color w:val="auto"/>
        </w:rPr>
        <w:t>Replacement of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379" w:firstLine="768"/>
        <w:spacing w:after="0" w:line="280" w:lineRule="auto"/>
        <w:rPr>
          <w:sz w:val="20"/>
          <w:szCs w:val="20"/>
          <w:color w:val="auto"/>
        </w:rPr>
      </w:pPr>
      <w:r>
        <w:rPr>
          <w:rFonts w:ascii="Times New Roman" w:cs="Times New Roman" w:eastAsia="Times New Roman" w:hAnsi="Times New Roman"/>
          <w:sz w:val="14"/>
          <w:szCs w:val="14"/>
          <w:color w:val="auto"/>
        </w:rPr>
        <w:t>A resignation or removal of the Trustee and appointment of a successor Trustee shall become effective only upon the successor Trustee’s acceptance of appointment as provided in this Section.</w:t>
      </w:r>
    </w:p>
    <w:p>
      <w:pPr>
        <w:spacing w:after="0" w:line="126" w:lineRule="exact"/>
        <w:rPr>
          <w:sz w:val="20"/>
          <w:szCs w:val="20"/>
          <w:color w:val="auto"/>
        </w:rPr>
      </w:pPr>
    </w:p>
    <w:p>
      <w:pPr>
        <w:ind w:left="240" w:right="339" w:firstLine="768"/>
        <w:spacing w:after="0" w:line="265" w:lineRule="auto"/>
        <w:rPr>
          <w:sz w:val="20"/>
          <w:szCs w:val="20"/>
          <w:color w:val="auto"/>
        </w:rPr>
      </w:pPr>
      <w:r>
        <w:rPr>
          <w:rFonts w:ascii="Times New Roman" w:cs="Times New Roman" w:eastAsia="Times New Roman" w:hAnsi="Times New Roman"/>
          <w:sz w:val="14"/>
          <w:szCs w:val="14"/>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52" w:lineRule="exact"/>
        <w:rPr>
          <w:sz w:val="20"/>
          <w:szCs w:val="20"/>
          <w:color w:val="auto"/>
        </w:rPr>
      </w:pPr>
    </w:p>
    <w:p>
      <w:pPr>
        <w:ind w:left="1100" w:hanging="193"/>
        <w:spacing w:after="0"/>
        <w:tabs>
          <w:tab w:leader="none" w:pos="110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fails to comply with Section 7.10;</w:t>
      </w:r>
    </w:p>
    <w:p>
      <w:pPr>
        <w:spacing w:after="0" w:line="89"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is adjudged a bankrupt or an insolvent or an order for relief is entered with respect to the Trustee under any Bankruptcy Law;</w:t>
      </w:r>
    </w:p>
    <w:p>
      <w:pPr>
        <w:spacing w:after="0" w:line="101" w:lineRule="exact"/>
        <w:rPr>
          <w:rFonts w:ascii="Times New Roman" w:cs="Times New Roman" w:eastAsia="Times New Roman" w:hAnsi="Times New Roman"/>
          <w:sz w:val="13"/>
          <w:szCs w:val="13"/>
          <w:color w:val="auto"/>
        </w:rPr>
      </w:pPr>
    </w:p>
    <w:p>
      <w:pPr>
        <w:ind w:left="1100" w:hanging="193"/>
        <w:spacing w:after="0"/>
        <w:tabs>
          <w:tab w:leader="none" w:pos="110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Custodian or public officer takes charge of the Trustee or its property; or</w:t>
      </w:r>
    </w:p>
    <w:p>
      <w:pPr>
        <w:spacing w:after="0" w:line="89"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becomes incapable of acting.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40" w:right="1440" w:bottom="1440" w:gutter="0" w:footer="0" w:header="0"/>
        </w:sectPr>
      </w:pPr>
    </w:p>
    <w:bookmarkStart w:id="136" w:name="page137"/>
    <w:bookmarkEnd w:id="136"/>
    <w:p>
      <w:pPr>
        <w:ind w:left="240" w:right="479" w:firstLine="768"/>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36" w:lineRule="exact"/>
        <w:rPr>
          <w:sz w:val="20"/>
          <w:szCs w:val="20"/>
          <w:color w:val="auto"/>
        </w:rPr>
      </w:pPr>
    </w:p>
    <w:p>
      <w:pPr>
        <w:ind w:left="240" w:right="319" w:firstLine="768"/>
        <w:spacing w:after="0" w:line="265" w:lineRule="auto"/>
        <w:rPr>
          <w:sz w:val="20"/>
          <w:szCs w:val="20"/>
          <w:color w:val="auto"/>
        </w:rPr>
      </w:pPr>
      <w:r>
        <w:rPr>
          <w:rFonts w:ascii="Times New Roman" w:cs="Times New Roman" w:eastAsia="Times New Roman" w:hAnsi="Times New Roman"/>
          <w:sz w:val="14"/>
          <w:szCs w:val="14"/>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36" w:lineRule="exact"/>
        <w:rPr>
          <w:sz w:val="20"/>
          <w:szCs w:val="20"/>
          <w:color w:val="auto"/>
        </w:rPr>
      </w:pPr>
    </w:p>
    <w:p>
      <w:pPr>
        <w:ind w:left="240" w:right="279" w:firstLine="768"/>
        <w:spacing w:after="0" w:line="254" w:lineRule="auto"/>
        <w:rPr>
          <w:sz w:val="20"/>
          <w:szCs w:val="20"/>
          <w:color w:val="auto"/>
        </w:rPr>
      </w:pPr>
      <w:r>
        <w:rPr>
          <w:rFonts w:ascii="Times New Roman" w:cs="Times New Roman" w:eastAsia="Times New Roman" w:hAnsi="Times New Roman"/>
          <w:sz w:val="14"/>
          <w:szCs w:val="14"/>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4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7.9. </w:t>
      </w:r>
      <w:r>
        <w:rPr>
          <w:rFonts w:ascii="Times New Roman" w:cs="Times New Roman" w:eastAsia="Times New Roman" w:hAnsi="Times New Roman"/>
          <w:sz w:val="14"/>
          <w:szCs w:val="14"/>
          <w:u w:val="single" w:color="auto"/>
          <w:color w:val="auto"/>
        </w:rPr>
        <w:t>Successor Trustee by Merger, Etc</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339" w:firstLine="768"/>
        <w:spacing w:after="0" w:line="257" w:lineRule="auto"/>
        <w:rPr>
          <w:sz w:val="20"/>
          <w:szCs w:val="20"/>
          <w:color w:val="auto"/>
        </w:rPr>
      </w:pPr>
      <w:r>
        <w:rPr>
          <w:rFonts w:ascii="Times New Roman" w:cs="Times New Roman" w:eastAsia="Times New Roman" w:hAnsi="Times New Roman"/>
          <w:sz w:val="14"/>
          <w:szCs w:val="14"/>
          <w:color w:val="auto"/>
        </w:rPr>
        <w:t>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provided such organization or entity shall be otherwise qualified and eligible under Section 7.10, without the execution or filing of any paper or any further act on the part of any of the parties hereto.</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7.10. </w:t>
      </w:r>
      <w:r>
        <w:rPr>
          <w:rFonts w:ascii="Times New Roman" w:cs="Times New Roman" w:eastAsia="Times New Roman" w:hAnsi="Times New Roman"/>
          <w:sz w:val="14"/>
          <w:szCs w:val="14"/>
          <w:u w:val="single" w:color="auto"/>
          <w:color w:val="auto"/>
        </w:rPr>
        <w:t>Eligibility; Disqualification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left="240" w:right="319" w:firstLine="768"/>
        <w:spacing w:after="0" w:line="265" w:lineRule="auto"/>
        <w:rPr>
          <w:sz w:val="20"/>
          <w:szCs w:val="20"/>
          <w:color w:val="auto"/>
        </w:rPr>
      </w:pPr>
      <w:r>
        <w:rPr>
          <w:rFonts w:ascii="Times New Roman" w:cs="Times New Roman" w:eastAsia="Times New Roman" w:hAnsi="Times New Roman"/>
          <w:sz w:val="14"/>
          <w:szCs w:val="14"/>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7.11. </w:t>
      </w:r>
      <w:r>
        <w:rPr>
          <w:rFonts w:ascii="Times New Roman" w:cs="Times New Roman" w:eastAsia="Times New Roman" w:hAnsi="Times New Roman"/>
          <w:sz w:val="14"/>
          <w:szCs w:val="14"/>
          <w:u w:val="single" w:color="auto"/>
          <w:color w:val="auto"/>
        </w:rPr>
        <w:t>Preferential Collection of Claims Against Company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539" w:firstLine="768"/>
        <w:spacing w:after="0" w:line="280" w:lineRule="auto"/>
        <w:rPr>
          <w:sz w:val="20"/>
          <w:szCs w:val="20"/>
          <w:color w:val="auto"/>
        </w:rPr>
      </w:pPr>
      <w:r>
        <w:rPr>
          <w:rFonts w:ascii="Times New Roman" w:cs="Times New Roman" w:eastAsia="Times New Roman" w:hAnsi="Times New Roman"/>
          <w:sz w:val="14"/>
          <w:szCs w:val="14"/>
          <w:color w:val="auto"/>
        </w:rPr>
        <w:t>The Trustee is subject to TIA § 311(a), excluding any creditor relationship listed in TIA § 311(b). A Trustee who has resigned or been removed shall be subject to TIA § 311(a) to the extent indicated.</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40" w:right="1440"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ARTICLE VIII.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SATISFACTION AND DISCHARGE; DEFEASANCE</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8.1. </w:t>
      </w:r>
      <w:r>
        <w:rPr>
          <w:rFonts w:ascii="Times New Roman" w:cs="Times New Roman" w:eastAsia="Times New Roman" w:hAnsi="Times New Roman"/>
          <w:sz w:val="14"/>
          <w:szCs w:val="14"/>
          <w:u w:val="single" w:color="auto"/>
          <w:color w:val="auto"/>
        </w:rPr>
        <w:t>Satisfaction and Discharge of Indenture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339" w:firstLine="768"/>
        <w:spacing w:after="0" w:line="265" w:lineRule="auto"/>
        <w:rPr>
          <w:sz w:val="20"/>
          <w:szCs w:val="20"/>
          <w:color w:val="auto"/>
        </w:rPr>
      </w:pPr>
      <w:r>
        <w:rPr>
          <w:rFonts w:ascii="Times New Roman" w:cs="Times New Roman" w:eastAsia="Times New Roman" w:hAnsi="Times New Roman"/>
          <w:sz w:val="14"/>
          <w:szCs w:val="14"/>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52" w:lineRule="exact"/>
        <w:rPr>
          <w:sz w:val="20"/>
          <w:szCs w:val="20"/>
          <w:color w:val="auto"/>
        </w:rPr>
      </w:pPr>
    </w:p>
    <w:p>
      <w:pPr>
        <w:ind w:left="1100" w:hanging="193"/>
        <w:spacing w:after="0"/>
        <w:tabs>
          <w:tab w:leader="none" w:pos="11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89" w:lineRule="exact"/>
        <w:rPr>
          <w:rFonts w:ascii="Times New Roman" w:cs="Times New Roman" w:eastAsia="Times New Roman" w:hAnsi="Times New Roman"/>
          <w:sz w:val="14"/>
          <w:szCs w:val="14"/>
          <w:color w:val="auto"/>
        </w:rPr>
      </w:pPr>
    </w:p>
    <w:p>
      <w:pPr>
        <w:ind w:left="1000" w:right="359" w:firstLine="317"/>
        <w:spacing w:after="0" w:line="280" w:lineRule="auto"/>
        <w:tabs>
          <w:tab w:leader="none" w:pos="1477"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42" w:lineRule="exact"/>
        <w:rPr>
          <w:rFonts w:ascii="Times New Roman" w:cs="Times New Roman" w:eastAsia="Times New Roman" w:hAnsi="Times New Roman"/>
          <w:sz w:val="14"/>
          <w:szCs w:val="14"/>
          <w:color w:val="auto"/>
        </w:rPr>
      </w:pPr>
    </w:p>
    <w:p>
      <w:pPr>
        <w:ind w:left="1520" w:hanging="203"/>
        <w:spacing w:after="0"/>
        <w:tabs>
          <w:tab w:leader="none" w:pos="1520" w:val="left"/>
        </w:tabs>
        <w:numPr>
          <w:ilvl w:val="1"/>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such Securities of such Series not theretofore delivered to the Trustee for cancellation:</w:t>
      </w:r>
    </w:p>
    <w:p>
      <w:pPr>
        <w:spacing w:after="0" w:line="89" w:lineRule="exact"/>
        <w:rPr>
          <w:rFonts w:ascii="Times New Roman" w:cs="Times New Roman" w:eastAsia="Times New Roman" w:hAnsi="Times New Roman"/>
          <w:sz w:val="14"/>
          <w:szCs w:val="14"/>
          <w:color w:val="auto"/>
        </w:rPr>
      </w:pPr>
    </w:p>
    <w:p>
      <w:pPr>
        <w:ind w:left="1840" w:hanging="196"/>
        <w:spacing w:after="0"/>
        <w:tabs>
          <w:tab w:leader="none" w:pos="1840" w:val="left"/>
        </w:tabs>
        <w:numPr>
          <w:ilvl w:val="2"/>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become due and payable by reason of sending a notice of redemption or otherwise,</w:t>
      </w:r>
    </w:p>
    <w:p>
      <w:pPr>
        <w:spacing w:after="0" w:line="89" w:lineRule="exact"/>
        <w:rPr>
          <w:rFonts w:ascii="Times New Roman" w:cs="Times New Roman" w:eastAsia="Times New Roman" w:hAnsi="Times New Roman"/>
          <w:sz w:val="14"/>
          <w:szCs w:val="14"/>
          <w:color w:val="auto"/>
        </w:rPr>
      </w:pPr>
    </w:p>
    <w:p>
      <w:pPr>
        <w:ind w:left="1840" w:hanging="196"/>
        <w:spacing w:after="0"/>
        <w:tabs>
          <w:tab w:leader="none" w:pos="1840" w:val="left"/>
        </w:tabs>
        <w:numPr>
          <w:ilvl w:val="2"/>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become due and payable at their Stated Maturity within one year,</w:t>
      </w:r>
    </w:p>
    <w:p>
      <w:pPr>
        <w:spacing w:after="0" w:line="89" w:lineRule="exact"/>
        <w:rPr>
          <w:rFonts w:ascii="Times New Roman" w:cs="Times New Roman" w:eastAsia="Times New Roman" w:hAnsi="Times New Roman"/>
          <w:sz w:val="14"/>
          <w:szCs w:val="14"/>
          <w:color w:val="auto"/>
        </w:rPr>
      </w:pPr>
    </w:p>
    <w:p>
      <w:pPr>
        <w:ind w:left="1340" w:right="419" w:firstLine="304"/>
        <w:spacing w:after="0" w:line="280" w:lineRule="auto"/>
        <w:tabs>
          <w:tab w:leader="none" w:pos="1834" w:val="left"/>
        </w:tabs>
        <w:numPr>
          <w:ilvl w:val="2"/>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42" w:lineRule="exact"/>
        <w:rPr>
          <w:rFonts w:ascii="Times New Roman" w:cs="Times New Roman" w:eastAsia="Times New Roman" w:hAnsi="Times New Roman"/>
          <w:sz w:val="14"/>
          <w:szCs w:val="14"/>
          <w:color w:val="auto"/>
        </w:rPr>
      </w:pPr>
    </w:p>
    <w:p>
      <w:pPr>
        <w:ind w:left="1840" w:hanging="196"/>
        <w:spacing w:after="0"/>
        <w:tabs>
          <w:tab w:leader="none" w:pos="1840" w:val="left"/>
        </w:tabs>
        <w:numPr>
          <w:ilvl w:val="2"/>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deemed paid and discharged pursuant to Section 8.3, as applicable;</w:t>
      </w:r>
    </w:p>
    <w:p>
      <w:pPr>
        <w:spacing w:after="0" w:line="174" w:lineRule="exact"/>
        <w:rPr>
          <w:sz w:val="20"/>
          <w:szCs w:val="20"/>
          <w:color w:val="auto"/>
        </w:rPr>
      </w:pPr>
    </w:p>
    <w:p>
      <w:pPr>
        <w:jc w:val="both"/>
        <w:ind w:left="240" w:right="599"/>
        <w:spacing w:after="0" w:line="259" w:lineRule="auto"/>
        <w:rPr>
          <w:sz w:val="20"/>
          <w:szCs w:val="20"/>
          <w:color w:val="auto"/>
        </w:rPr>
      </w:pPr>
      <w:r>
        <w:rPr>
          <w:rFonts w:ascii="Times New Roman" w:cs="Times New Roman" w:eastAsia="Times New Roman" w:hAnsi="Times New Roman"/>
          <w:sz w:val="14"/>
          <w:szCs w:val="14"/>
          <w:color w:val="auto"/>
        </w:rPr>
        <w:t>and the Company, in the case of (1), (2) or (3) above, has irrevocably deposited or caused to be deposited with the Trustee as trust funds in trust an amount of money or U.S. Government Obligations, which amount shall be sufficient for the purpose of paying and discharging each installment of principal (including mandatory sinking fund payments or analogous payments) of and interest on all the Securities of such Series on the dates such installments of principal or interest are due;</w:t>
      </w:r>
    </w:p>
    <w:p>
      <w:pPr>
        <w:spacing w:after="0" w:line="58" w:lineRule="exact"/>
        <w:rPr>
          <w:sz w:val="20"/>
          <w:szCs w:val="20"/>
          <w:color w:val="auto"/>
        </w:rPr>
      </w:pPr>
    </w:p>
    <w:p>
      <w:pPr>
        <w:ind w:left="1100" w:hanging="193"/>
        <w:spacing w:after="0"/>
        <w:tabs>
          <w:tab w:leader="none" w:pos="110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paid or caused to be paid all other sums payable hereunder by the Company; and</w:t>
      </w:r>
    </w:p>
    <w:p>
      <w:pPr>
        <w:spacing w:after="0" w:line="89" w:lineRule="exact"/>
        <w:rPr>
          <w:rFonts w:ascii="Times New Roman" w:cs="Times New Roman" w:eastAsia="Times New Roman" w:hAnsi="Times New Roman"/>
          <w:sz w:val="14"/>
          <w:szCs w:val="14"/>
          <w:color w:val="auto"/>
        </w:rPr>
      </w:pPr>
    </w:p>
    <w:p>
      <w:pPr>
        <w:ind w:left="580" w:right="399" w:firstLine="327"/>
        <w:spacing w:after="0" w:line="280" w:lineRule="auto"/>
        <w:tabs>
          <w:tab w:leader="none" w:pos="1097"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delivered to the Trustee an Officer’s Certificate and an Opinion of Counsel, each stating that all conditions precedent provided for relating to the satisfaction and discharge contemplated by this Section have been complied with.</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40" w:right="1440" w:bottom="1440" w:gutter="0" w:footer="0" w:header="0"/>
        </w:sectPr>
      </w:pPr>
    </w:p>
    <w:bookmarkStart w:id="138" w:name="page139"/>
    <w:bookmarkEnd w:id="138"/>
    <w:p>
      <w:pPr>
        <w:ind w:left="240" w:right="259" w:firstLine="768"/>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Notwithstanding the satisfaction and discharge of this Indenture, (x) the obligations of the Company to the Trustee under Section 7.7, (y) if money shall have been deposited with the Trustee pursuant to clause (a) of this Section, the provisions of Sections 2.4, 2.7, 2.8, 8.2 and 8.5, and (z) the rights, powers, trusts and immunities of the Trustee hereunder and the Company’s obligations in connection therewith shall survive.</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8.2. </w:t>
      </w:r>
      <w:r>
        <w:rPr>
          <w:rFonts w:ascii="Times New Roman" w:cs="Times New Roman" w:eastAsia="Times New Roman" w:hAnsi="Times New Roman"/>
          <w:sz w:val="14"/>
          <w:szCs w:val="14"/>
          <w:u w:val="single" w:color="auto"/>
          <w:color w:val="auto"/>
        </w:rPr>
        <w:t>Application of Trust Funds; Indemnification</w:t>
      </w:r>
      <w:r>
        <w:rPr>
          <w:rFonts w:ascii="Times New Roman" w:cs="Times New Roman" w:eastAsia="Times New Roman" w:hAnsi="Times New Roman"/>
          <w:sz w:val="14"/>
          <w:szCs w:val="14"/>
          <w:color w:val="auto"/>
        </w:rPr>
        <w:t>.</w:t>
      </w:r>
    </w:p>
    <w:p>
      <w:pPr>
        <w:spacing w:after="0" w:line="90" w:lineRule="exact"/>
        <w:rPr>
          <w:sz w:val="20"/>
          <w:szCs w:val="20"/>
          <w:color w:val="auto"/>
        </w:rPr>
      </w:pPr>
    </w:p>
    <w:p>
      <w:pPr>
        <w:ind w:left="580" w:right="279" w:firstLine="327"/>
        <w:spacing w:after="0" w:line="254" w:lineRule="auto"/>
        <w:tabs>
          <w:tab w:leader="none" w:pos="1097"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61" w:lineRule="exact"/>
        <w:rPr>
          <w:rFonts w:ascii="Times New Roman" w:cs="Times New Roman" w:eastAsia="Times New Roman" w:hAnsi="Times New Roman"/>
          <w:sz w:val="14"/>
          <w:szCs w:val="14"/>
          <w:color w:val="auto"/>
        </w:rPr>
      </w:pPr>
    </w:p>
    <w:p>
      <w:pPr>
        <w:ind w:left="580" w:right="439" w:firstLine="327"/>
        <w:spacing w:after="0" w:line="294" w:lineRule="auto"/>
        <w:tabs>
          <w:tab w:leader="none" w:pos="1105"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pay and shall indemnify the Trustee (which indemnity shall survive termination of this Indenture)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36" w:lineRule="exact"/>
        <w:rPr>
          <w:rFonts w:ascii="Times New Roman" w:cs="Times New Roman" w:eastAsia="Times New Roman" w:hAnsi="Times New Roman"/>
          <w:sz w:val="13"/>
          <w:szCs w:val="13"/>
          <w:color w:val="auto"/>
        </w:rPr>
      </w:pPr>
    </w:p>
    <w:p>
      <w:pPr>
        <w:ind w:left="580" w:right="279" w:firstLine="327"/>
        <w:spacing w:after="0" w:line="255" w:lineRule="auto"/>
        <w:tabs>
          <w:tab w:leader="none" w:pos="1097"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8.3. </w:t>
      </w:r>
      <w:r>
        <w:rPr>
          <w:rFonts w:ascii="Times New Roman" w:cs="Times New Roman" w:eastAsia="Times New Roman" w:hAnsi="Times New Roman"/>
          <w:sz w:val="14"/>
          <w:szCs w:val="14"/>
          <w:u w:val="single" w:color="auto"/>
          <w:color w:val="auto"/>
        </w:rPr>
        <w:t>Legal Defeasance of Securities of any Series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59" w:firstLine="768"/>
        <w:spacing w:after="0" w:line="257" w:lineRule="auto"/>
        <w:rPr>
          <w:sz w:val="20"/>
          <w:szCs w:val="20"/>
          <w:color w:val="auto"/>
        </w:rPr>
      </w:pPr>
      <w:r>
        <w:rPr>
          <w:rFonts w:ascii="Times New Roman" w:cs="Times New Roman" w:eastAsia="Times New Roman" w:hAnsi="Times New Roman"/>
          <w:sz w:val="14"/>
          <w:szCs w:val="14"/>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40" w:right="1440" w:bottom="1440" w:gutter="0" w:footer="0" w:header="0"/>
        </w:sectPr>
      </w:pPr>
    </w:p>
    <w:bookmarkStart w:id="139" w:name="page140"/>
    <w:bookmarkEnd w:id="139"/>
    <w:p>
      <w:pPr>
        <w:ind w:left="580" w:right="319" w:firstLine="327"/>
        <w:spacing w:after="0" w:line="259" w:lineRule="auto"/>
        <w:tabs>
          <w:tab w:leader="none" w:pos="1097"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57"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Sections 2.4, 2.5, 2.7, 2.8, 7.7, 8.2, 8.3, 8.5 and 8.6; and</w:t>
      </w:r>
    </w:p>
    <w:p>
      <w:pPr>
        <w:spacing w:after="0" w:line="89"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powers, trusts and immunities of the Trustee hereunder and the Company’s obligations in connection therewith;</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provided that, the following conditions shall have been satisfied:</w:t>
      </w:r>
    </w:p>
    <w:p>
      <w:pPr>
        <w:spacing w:after="0" w:line="90" w:lineRule="exact"/>
        <w:rPr>
          <w:sz w:val="20"/>
          <w:szCs w:val="20"/>
          <w:color w:val="auto"/>
        </w:rPr>
      </w:pPr>
    </w:p>
    <w:p>
      <w:pPr>
        <w:ind w:left="580" w:right="279" w:firstLine="327"/>
        <w:spacing w:after="0" w:line="253" w:lineRule="auto"/>
        <w:tabs>
          <w:tab w:leader="none" w:pos="1105"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61" w:lineRule="exact"/>
        <w:rPr>
          <w:rFonts w:ascii="Times New Roman" w:cs="Times New Roman" w:eastAsia="Times New Roman" w:hAnsi="Times New Roman"/>
          <w:sz w:val="14"/>
          <w:szCs w:val="14"/>
          <w:color w:val="auto"/>
        </w:rPr>
      </w:pPr>
    </w:p>
    <w:p>
      <w:pPr>
        <w:ind w:left="580" w:right="379" w:firstLine="327"/>
        <w:spacing w:after="0" w:line="280" w:lineRule="auto"/>
        <w:tabs>
          <w:tab w:leader="none" w:pos="1097"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deposit will not result in a breach or violation of, or constitute a default under, this Indenture or any other agreement or instrument to which the Company is a party or by which it is bound;</w:t>
      </w:r>
    </w:p>
    <w:p>
      <w:pPr>
        <w:spacing w:after="0" w:line="42" w:lineRule="exact"/>
        <w:rPr>
          <w:rFonts w:ascii="Times New Roman" w:cs="Times New Roman" w:eastAsia="Times New Roman" w:hAnsi="Times New Roman"/>
          <w:sz w:val="14"/>
          <w:szCs w:val="14"/>
          <w:color w:val="auto"/>
        </w:rPr>
      </w:pPr>
    </w:p>
    <w:p>
      <w:pPr>
        <w:ind w:left="580" w:right="539" w:firstLine="327"/>
        <w:spacing w:after="0" w:line="280" w:lineRule="auto"/>
        <w:tabs>
          <w:tab w:leader="none" w:pos="1082"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with respect to the Securities of such Series shall have occurred and be continuing on the date of such deposit or during the period ending on the 91st day after such date;</w:t>
      </w:r>
    </w:p>
    <w:p>
      <w:pPr>
        <w:spacing w:after="0" w:line="42" w:lineRule="exact"/>
        <w:rPr>
          <w:rFonts w:ascii="Times New Roman" w:cs="Times New Roman" w:eastAsia="Times New Roman" w:hAnsi="Times New Roman"/>
          <w:sz w:val="14"/>
          <w:szCs w:val="14"/>
          <w:color w:val="auto"/>
        </w:rPr>
      </w:pPr>
    </w:p>
    <w:p>
      <w:pPr>
        <w:ind w:left="580" w:right="259" w:firstLine="327"/>
        <w:spacing w:after="0" w:line="255" w:lineRule="auto"/>
        <w:tabs>
          <w:tab w:leader="none" w:pos="1105"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40" w:right="1440" w:bottom="1440" w:gutter="0" w:footer="0" w:header="0"/>
        </w:sectPr>
      </w:pPr>
    </w:p>
    <w:bookmarkStart w:id="140" w:name="page141"/>
    <w:bookmarkEnd w:id="140"/>
    <w:p>
      <w:pPr>
        <w:ind w:left="580" w:right="359" w:firstLine="327"/>
        <w:spacing w:after="0" w:line="280" w:lineRule="auto"/>
        <w:tabs>
          <w:tab w:leader="none" w:pos="1105"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the Company shall have delivered to the Trustee an Officer’s Certificate stating that the deposit was not made by the Company with the intent of defeating, hindering, delaying or defrauding any other creditors of the Company; and</w:t>
      </w:r>
    </w:p>
    <w:p>
      <w:pPr>
        <w:spacing w:after="0" w:line="42" w:lineRule="exact"/>
        <w:rPr>
          <w:rFonts w:ascii="Times New Roman" w:cs="Times New Roman" w:eastAsia="Times New Roman" w:hAnsi="Times New Roman"/>
          <w:sz w:val="14"/>
          <w:szCs w:val="14"/>
          <w:color w:val="auto"/>
        </w:rPr>
      </w:pPr>
    </w:p>
    <w:p>
      <w:pPr>
        <w:ind w:left="580" w:right="639" w:firstLine="327"/>
        <w:spacing w:after="0" w:line="280" w:lineRule="auto"/>
        <w:tabs>
          <w:tab w:leader="none" w:pos="1074"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8.4. </w:t>
      </w:r>
      <w:r>
        <w:rPr>
          <w:rFonts w:ascii="Times New Roman" w:cs="Times New Roman" w:eastAsia="Times New Roman" w:hAnsi="Times New Roman"/>
          <w:sz w:val="14"/>
          <w:szCs w:val="14"/>
          <w:u w:val="single" w:color="auto"/>
          <w:color w:val="auto"/>
        </w:rPr>
        <w:t>Covenant Defeasance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59" w:firstLine="768"/>
        <w:spacing w:after="0" w:line="253" w:lineRule="auto"/>
        <w:rPr>
          <w:sz w:val="20"/>
          <w:szCs w:val="20"/>
          <w:color w:val="auto"/>
        </w:rPr>
      </w:pPr>
      <w:r>
        <w:rPr>
          <w:rFonts w:ascii="Times New Roman" w:cs="Times New Roman" w:eastAsia="Times New Roman" w:hAnsi="Times New Roman"/>
          <w:sz w:val="14"/>
          <w:szCs w:val="14"/>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64" w:lineRule="exact"/>
        <w:rPr>
          <w:sz w:val="20"/>
          <w:szCs w:val="20"/>
          <w:color w:val="auto"/>
        </w:rPr>
      </w:pPr>
    </w:p>
    <w:p>
      <w:pPr>
        <w:ind w:left="580" w:right="279" w:firstLine="327"/>
        <w:spacing w:after="0" w:line="252" w:lineRule="auto"/>
        <w:tabs>
          <w:tab w:leader="none" w:pos="1097"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payments or analogous payments) of and interest on all the Securities of such Series on the dates such installments of principal or interest are due;</w:t>
      </w:r>
    </w:p>
    <w:p>
      <w:pPr>
        <w:spacing w:after="0" w:line="66" w:lineRule="exact"/>
        <w:rPr>
          <w:rFonts w:ascii="Times New Roman" w:cs="Times New Roman" w:eastAsia="Times New Roman" w:hAnsi="Times New Roman"/>
          <w:sz w:val="14"/>
          <w:szCs w:val="14"/>
          <w:color w:val="auto"/>
        </w:rPr>
      </w:pPr>
    </w:p>
    <w:p>
      <w:pPr>
        <w:ind w:left="580" w:right="359" w:firstLine="327"/>
        <w:spacing w:after="0" w:line="280" w:lineRule="auto"/>
        <w:tabs>
          <w:tab w:leader="none" w:pos="1105"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deposit will not result in a breach or violation of, or constitute a default under, this Indenture or any other agreement or instrument to which the Company is a party or by which it is bound;</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40" w:right="1440" w:bottom="1440" w:gutter="0" w:footer="0" w:header="0"/>
        </w:sectPr>
      </w:pPr>
    </w:p>
    <w:bookmarkStart w:id="141" w:name="page142"/>
    <w:bookmarkEnd w:id="141"/>
    <w:p>
      <w:pPr>
        <w:ind w:left="1100" w:hanging="193"/>
        <w:spacing w:after="0"/>
        <w:tabs>
          <w:tab w:leader="none" w:pos="110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 Default or Event of Default with respect to the Securities of such Series shall have occurred and be continuing on the date of such</w:t>
      </w:r>
    </w:p>
    <w:p>
      <w:pPr>
        <w:spacing w:after="0" w:line="21" w:lineRule="exact"/>
        <w:rPr>
          <w:rFonts w:ascii="Times New Roman" w:cs="Times New Roman" w:eastAsia="Times New Roman" w:hAnsi="Times New Roman"/>
          <w:sz w:val="14"/>
          <w:szCs w:val="14"/>
          <w:color w:val="auto"/>
        </w:rPr>
      </w:pPr>
    </w:p>
    <w:p>
      <w:pPr>
        <w:ind w:left="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w:t>
      </w:r>
    </w:p>
    <w:p>
      <w:pPr>
        <w:spacing w:after="0" w:line="75" w:lineRule="exact"/>
        <w:rPr>
          <w:rFonts w:ascii="Times New Roman" w:cs="Times New Roman" w:eastAsia="Times New Roman" w:hAnsi="Times New Roman"/>
          <w:sz w:val="14"/>
          <w:szCs w:val="14"/>
          <w:color w:val="auto"/>
        </w:rPr>
      </w:pPr>
    </w:p>
    <w:p>
      <w:pPr>
        <w:ind w:left="580" w:right="379" w:firstLine="327"/>
        <w:spacing w:after="0" w:line="259" w:lineRule="auto"/>
        <w:tabs>
          <w:tab w:leader="none" w:pos="1105"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57" w:lineRule="exact"/>
        <w:rPr>
          <w:rFonts w:ascii="Times New Roman" w:cs="Times New Roman" w:eastAsia="Times New Roman" w:hAnsi="Times New Roman"/>
          <w:sz w:val="14"/>
          <w:szCs w:val="14"/>
          <w:color w:val="auto"/>
        </w:rPr>
      </w:pPr>
    </w:p>
    <w:p>
      <w:pPr>
        <w:ind w:left="580" w:right="559" w:firstLine="327"/>
        <w:spacing w:after="0" w:line="280" w:lineRule="auto"/>
        <w:tabs>
          <w:tab w:leader="none" w:pos="1097"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42" w:lineRule="exact"/>
        <w:rPr>
          <w:rFonts w:ascii="Times New Roman" w:cs="Times New Roman" w:eastAsia="Times New Roman" w:hAnsi="Times New Roman"/>
          <w:sz w:val="14"/>
          <w:szCs w:val="14"/>
          <w:color w:val="auto"/>
        </w:rPr>
      </w:pPr>
    </w:p>
    <w:p>
      <w:pPr>
        <w:ind w:left="580" w:right="579" w:firstLine="327"/>
        <w:spacing w:after="0" w:line="280" w:lineRule="auto"/>
        <w:tabs>
          <w:tab w:leader="none" w:pos="1082"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8.5. </w:t>
      </w:r>
      <w:r>
        <w:rPr>
          <w:rFonts w:ascii="Times New Roman" w:cs="Times New Roman" w:eastAsia="Times New Roman" w:hAnsi="Times New Roman"/>
          <w:sz w:val="14"/>
          <w:szCs w:val="14"/>
          <w:u w:val="single" w:color="auto"/>
          <w:color w:val="auto"/>
        </w:rPr>
        <w:t>Repayment to Company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419" w:firstLine="768"/>
        <w:spacing w:after="0" w:line="265" w:lineRule="auto"/>
        <w:rPr>
          <w:sz w:val="20"/>
          <w:szCs w:val="20"/>
          <w:color w:val="auto"/>
        </w:rPr>
      </w:pPr>
      <w:r>
        <w:rPr>
          <w:rFonts w:ascii="Times New Roman" w:cs="Times New Roman" w:eastAsia="Times New Roman" w:hAnsi="Times New Roman"/>
          <w:sz w:val="14"/>
          <w:szCs w:val="14"/>
          <w:color w:val="auto"/>
        </w:rPr>
        <w:t>Subject to applicable abandoned property law, the Trustee and the Paying Agent shall pay to the Company upon request any money held by them for the payment of principal and interest that remains unclaimed for two years. After that, Holders entitled to the money must look to the Company for payment as general creditors unless an applicable abandoned property law designates another person.</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8.6. </w:t>
      </w:r>
      <w:r>
        <w:rPr>
          <w:rFonts w:ascii="Times New Roman" w:cs="Times New Roman" w:eastAsia="Times New Roman" w:hAnsi="Times New Roman"/>
          <w:sz w:val="14"/>
          <w:szCs w:val="14"/>
          <w:u w:val="single" w:color="auto"/>
          <w:color w:val="auto"/>
        </w:rPr>
        <w:t>Reinstatement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59" w:firstLine="768"/>
        <w:spacing w:after="0" w:line="253" w:lineRule="auto"/>
        <w:rPr>
          <w:sz w:val="20"/>
          <w:szCs w:val="20"/>
          <w:color w:val="auto"/>
        </w:rPr>
      </w:pPr>
      <w:r>
        <w:rPr>
          <w:rFonts w:ascii="Times New Roman" w:cs="Times New Roman" w:eastAsia="Times New Roman" w:hAnsi="Times New Roman"/>
          <w:sz w:val="14"/>
          <w:szCs w:val="14"/>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IX.</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AMENDMENTS AND WAIVERS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9.1. </w:t>
      </w:r>
      <w:r>
        <w:rPr>
          <w:rFonts w:ascii="Times New Roman" w:cs="Times New Roman" w:eastAsia="Times New Roman" w:hAnsi="Times New Roman"/>
          <w:sz w:val="14"/>
          <w:szCs w:val="14"/>
          <w:u w:val="single" w:color="auto"/>
          <w:color w:val="auto"/>
        </w:rPr>
        <w:t>Without Consent of 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The Company and the Trustee may amend or supplement this Indenture or the Securities of one or more Series without the consent of any</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Holder: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9019"/>
          </w:cols>
          <w:pgMar w:left="1440" w:top="240" w:right="1440" w:bottom="1440" w:gutter="0" w:footer="0" w:header="0"/>
        </w:sectPr>
      </w:pPr>
    </w:p>
    <w:bookmarkStart w:id="142" w:name="page143"/>
    <w:bookmarkEnd w:id="142"/>
    <w:p>
      <w:pPr>
        <w:ind w:left="1100" w:hanging="193"/>
        <w:spacing w:after="0"/>
        <w:tabs>
          <w:tab w:leader="none" w:pos="11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to cure any ambiguity, defect or inconsistency;</w:t>
      </w:r>
    </w:p>
    <w:p>
      <w:pPr>
        <w:spacing w:after="0" w:line="89"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Article V;</w:t>
      </w:r>
    </w:p>
    <w:p>
      <w:pPr>
        <w:spacing w:after="0" w:line="89"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89"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guarantees with respect to Securities of any Series or secure Securities of any Series;</w:t>
      </w:r>
    </w:p>
    <w:p>
      <w:pPr>
        <w:spacing w:after="0" w:line="89"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surrender any of the Company’s rights or powers under this Indenture;</w:t>
      </w:r>
    </w:p>
    <w:p>
      <w:pPr>
        <w:spacing w:after="0" w:line="89" w:lineRule="exact"/>
        <w:rPr>
          <w:rFonts w:ascii="Times New Roman" w:cs="Times New Roman" w:eastAsia="Times New Roman" w:hAnsi="Times New Roman"/>
          <w:sz w:val="14"/>
          <w:szCs w:val="14"/>
          <w:color w:val="auto"/>
        </w:rPr>
      </w:pPr>
    </w:p>
    <w:p>
      <w:pPr>
        <w:ind w:left="1080" w:hanging="173"/>
        <w:spacing w:after="0"/>
        <w:tabs>
          <w:tab w:leader="none" w:pos="108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covenants or events of default for the benefit of the holders of Securities of any Series;</w:t>
      </w:r>
    </w:p>
    <w:p>
      <w:pPr>
        <w:spacing w:after="0" w:line="89"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applicable procedures of the applicable depositary;</w:t>
      </w:r>
    </w:p>
    <w:p>
      <w:pPr>
        <w:spacing w:after="0" w:line="89"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Holder;</w:t>
      </w:r>
    </w:p>
    <w:p>
      <w:pPr>
        <w:spacing w:after="0" w:line="89" w:lineRule="exact"/>
        <w:rPr>
          <w:rFonts w:ascii="Times New Roman" w:cs="Times New Roman" w:eastAsia="Times New Roman" w:hAnsi="Times New Roman"/>
          <w:sz w:val="14"/>
          <w:szCs w:val="14"/>
          <w:color w:val="auto"/>
        </w:rPr>
      </w:pPr>
    </w:p>
    <w:p>
      <w:pPr>
        <w:ind w:left="1080" w:hanging="173"/>
        <w:spacing w:after="0"/>
        <w:tabs>
          <w:tab w:leader="none" w:pos="108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Securities of any Series as permitted by this Indenture;</w:t>
      </w:r>
    </w:p>
    <w:p>
      <w:pPr>
        <w:spacing w:after="0" w:line="89" w:lineRule="exact"/>
        <w:rPr>
          <w:rFonts w:ascii="Times New Roman" w:cs="Times New Roman" w:eastAsia="Times New Roman" w:hAnsi="Times New Roman"/>
          <w:sz w:val="14"/>
          <w:szCs w:val="14"/>
          <w:color w:val="auto"/>
        </w:rPr>
      </w:pPr>
    </w:p>
    <w:p>
      <w:pPr>
        <w:ind w:left="580" w:right="299" w:firstLine="327"/>
        <w:spacing w:after="0" w:line="265" w:lineRule="auto"/>
        <w:tabs>
          <w:tab w:leader="none" w:pos="1074"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52"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this Indenture under the TIA.</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9.2. </w:t>
      </w:r>
      <w:r>
        <w:rPr>
          <w:rFonts w:ascii="Times New Roman" w:cs="Times New Roman" w:eastAsia="Times New Roman" w:hAnsi="Times New Roman"/>
          <w:sz w:val="14"/>
          <w:szCs w:val="14"/>
          <w:u w:val="single" w:color="auto"/>
          <w:color w:val="auto"/>
        </w:rPr>
        <w:t>With Consent of 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99" w:firstLine="768"/>
        <w:spacing w:after="0" w:line="254" w:lineRule="auto"/>
        <w:rPr>
          <w:sz w:val="20"/>
          <w:szCs w:val="20"/>
          <w:color w:val="auto"/>
        </w:rPr>
      </w:pPr>
      <w:r>
        <w:rPr>
          <w:rFonts w:ascii="Times New Roman" w:cs="Times New Roman" w:eastAsia="Times New Roman" w:hAnsi="Times New Roman"/>
          <w:sz w:val="14"/>
          <w:szCs w:val="14"/>
          <w:color w:val="auto"/>
        </w:rPr>
        <w:t>Subject to Section 9.3, 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Holders of each such Series. Except as provided in Section 6.13, and subject to Section 9.3,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46" w:lineRule="exact"/>
        <w:rPr>
          <w:sz w:val="20"/>
          <w:szCs w:val="20"/>
          <w:color w:val="auto"/>
        </w:rPr>
      </w:pPr>
    </w:p>
    <w:p>
      <w:pPr>
        <w:ind w:left="240" w:right="359" w:firstLine="768"/>
        <w:spacing w:after="0" w:line="257" w:lineRule="auto"/>
        <w:rPr>
          <w:sz w:val="20"/>
          <w:szCs w:val="20"/>
          <w:color w:val="auto"/>
        </w:rPr>
      </w:pPr>
      <w:r>
        <w:rPr>
          <w:rFonts w:ascii="Times New Roman" w:cs="Times New Roman" w:eastAsia="Times New Roman" w:hAnsi="Times New Roman"/>
          <w:sz w:val="14"/>
          <w:szCs w:val="14"/>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9019"/>
          </w:cols>
          <w:pgMar w:left="1440" w:top="240" w:right="1440" w:bottom="1440" w:gutter="0" w:footer="0" w:header="0"/>
        </w:sectPr>
      </w:pPr>
    </w:p>
    <w:bookmarkStart w:id="143" w:name="page144"/>
    <w:bookmarkEnd w:id="143"/>
    <w:p>
      <w:pPr>
        <w:ind w:left="5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Section 9.3. </w:t>
      </w:r>
      <w:r>
        <w:rPr>
          <w:rFonts w:ascii="Times New Roman" w:cs="Times New Roman" w:eastAsia="Times New Roman" w:hAnsi="Times New Roman"/>
          <w:sz w:val="14"/>
          <w:szCs w:val="14"/>
          <w:u w:val="single" w:color="auto"/>
          <w:color w:val="auto"/>
        </w:rPr>
        <w:t>Limitations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Without the consent of each Holder affected, an amendment or waiver may not:</w:t>
      </w:r>
    </w:p>
    <w:p>
      <w:pPr>
        <w:spacing w:after="0" w:line="90" w:lineRule="exact"/>
        <w:rPr>
          <w:sz w:val="20"/>
          <w:szCs w:val="20"/>
          <w:color w:val="auto"/>
        </w:rPr>
      </w:pPr>
    </w:p>
    <w:p>
      <w:pPr>
        <w:ind w:left="1100" w:hanging="193"/>
        <w:spacing w:after="0"/>
        <w:tabs>
          <w:tab w:leader="none" w:pos="110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Securities whose Holders must consent to an amendment, supplement or waiver;</w:t>
      </w:r>
    </w:p>
    <w:p>
      <w:pPr>
        <w:spacing w:after="0" w:line="89"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 interest) on any Security;</w:t>
      </w:r>
    </w:p>
    <w:p>
      <w:pPr>
        <w:spacing w:after="0" w:line="89" w:lineRule="exact"/>
        <w:rPr>
          <w:rFonts w:ascii="Times New Roman" w:cs="Times New Roman" w:eastAsia="Times New Roman" w:hAnsi="Times New Roman"/>
          <w:sz w:val="14"/>
          <w:szCs w:val="14"/>
          <w:color w:val="auto"/>
        </w:rPr>
      </w:pPr>
    </w:p>
    <w:p>
      <w:pPr>
        <w:ind w:left="580" w:right="259" w:firstLine="327"/>
        <w:spacing w:after="0" w:line="280" w:lineRule="auto"/>
        <w:tabs>
          <w:tab w:leader="none" w:pos="1097"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or change the Stated Maturity of any Security or reduce the amount of, or postpone the date fixed for, the payment of any sinking fund or analogous obligation;</w:t>
      </w:r>
    </w:p>
    <w:p>
      <w:pPr>
        <w:spacing w:after="0" w:line="42"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Discount Securities payable upon acceleration of the maturity thereof;</w:t>
      </w:r>
    </w:p>
    <w:p>
      <w:pPr>
        <w:spacing w:after="0" w:line="89" w:lineRule="exact"/>
        <w:rPr>
          <w:rFonts w:ascii="Times New Roman" w:cs="Times New Roman" w:eastAsia="Times New Roman" w:hAnsi="Times New Roman"/>
          <w:sz w:val="14"/>
          <w:szCs w:val="14"/>
          <w:color w:val="auto"/>
        </w:rPr>
      </w:pPr>
    </w:p>
    <w:p>
      <w:pPr>
        <w:ind w:left="580" w:right="459" w:firstLine="327"/>
        <w:spacing w:after="0" w:line="265" w:lineRule="auto"/>
        <w:tabs>
          <w:tab w:leader="none" w:pos="1097"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52" w:lineRule="exact"/>
        <w:rPr>
          <w:rFonts w:ascii="Times New Roman" w:cs="Times New Roman" w:eastAsia="Times New Roman" w:hAnsi="Times New Roman"/>
          <w:sz w:val="14"/>
          <w:szCs w:val="14"/>
          <w:color w:val="auto"/>
        </w:rPr>
      </w:pPr>
    </w:p>
    <w:p>
      <w:pPr>
        <w:ind w:left="1080" w:hanging="173"/>
        <w:spacing w:after="0"/>
        <w:tabs>
          <w:tab w:leader="none" w:pos="108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principal of or interest, if any, on any Security payable in any currency other than that stated in the Security;</w:t>
      </w:r>
    </w:p>
    <w:p>
      <w:pPr>
        <w:spacing w:after="0" w:line="89"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Sections 6.8, 6.13 or 9.3 (this sentence); or</w:t>
      </w:r>
    </w:p>
    <w:p>
      <w:pPr>
        <w:spacing w:after="0" w:line="89"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Security, provided that such redemption is made at the Company’s option.</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9.4. </w:t>
      </w:r>
      <w:r>
        <w:rPr>
          <w:rFonts w:ascii="Times New Roman" w:cs="Times New Roman" w:eastAsia="Times New Roman" w:hAnsi="Times New Roman"/>
          <w:sz w:val="14"/>
          <w:szCs w:val="14"/>
          <w:u w:val="single" w:color="auto"/>
          <w:color w:val="auto"/>
        </w:rPr>
        <w:t>Compliance with Trust Indenture Act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699" w:firstLine="768"/>
        <w:spacing w:after="0" w:line="280" w:lineRule="auto"/>
        <w:rPr>
          <w:sz w:val="20"/>
          <w:szCs w:val="20"/>
          <w:color w:val="auto"/>
        </w:rPr>
      </w:pPr>
      <w:r>
        <w:rPr>
          <w:rFonts w:ascii="Times New Roman" w:cs="Times New Roman" w:eastAsia="Times New Roman" w:hAnsi="Times New Roman"/>
          <w:sz w:val="14"/>
          <w:szCs w:val="14"/>
          <w:color w:val="auto"/>
        </w:rPr>
        <w:t>Every amendment to this Indenture or the Securities of one or more Series shall be set forth in a supplemental indenture hereto that complies with the TIA as then in effect.</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9.5. </w:t>
      </w:r>
      <w:r>
        <w:rPr>
          <w:rFonts w:ascii="Times New Roman" w:cs="Times New Roman" w:eastAsia="Times New Roman" w:hAnsi="Times New Roman"/>
          <w:sz w:val="14"/>
          <w:szCs w:val="14"/>
          <w:u w:val="single" w:color="auto"/>
          <w:color w:val="auto"/>
        </w:rPr>
        <w:t>Revocation and Effect of Consents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319" w:firstLine="768"/>
        <w:spacing w:after="0" w:line="257" w:lineRule="auto"/>
        <w:rPr>
          <w:sz w:val="20"/>
          <w:szCs w:val="20"/>
          <w:color w:val="auto"/>
        </w:rPr>
      </w:pPr>
      <w:r>
        <w:rPr>
          <w:rFonts w:ascii="Times New Roman" w:cs="Times New Roman" w:eastAsia="Times New Roman" w:hAnsi="Times New Roman"/>
          <w:sz w:val="14"/>
          <w:szCs w:val="14"/>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9019"/>
          </w:cols>
          <w:pgMar w:left="1440" w:top="240" w:right="1440" w:bottom="1440" w:gutter="0" w:footer="0" w:header="0"/>
        </w:sectPr>
      </w:pPr>
    </w:p>
    <w:bookmarkStart w:id="144" w:name="page145"/>
    <w:bookmarkEnd w:id="144"/>
    <w:p>
      <w:pPr>
        <w:ind w:left="240" w:right="359" w:firstLine="768"/>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7202170" cy="32385"/>
                    </a:xfrm>
                    <a:prstGeom prst="rect">
                      <a:avLst/>
                    </a:prstGeom>
                    <a:noFill/>
                  </pic:spPr>
                </pic:pic>
              </a:graphicData>
            </a:graphic>
          </wp:anchor>
        </w:drawing>
        <w:t>Any amendment or waiver once effective shall bind every 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36" w:lineRule="exact"/>
        <w:rPr>
          <w:sz w:val="20"/>
          <w:szCs w:val="20"/>
          <w:color w:val="auto"/>
        </w:rPr>
      </w:pPr>
    </w:p>
    <w:p>
      <w:pPr>
        <w:ind w:left="240" w:right="319" w:firstLine="768"/>
        <w:spacing w:after="0" w:line="257" w:lineRule="auto"/>
        <w:rPr>
          <w:sz w:val="20"/>
          <w:szCs w:val="20"/>
          <w:color w:val="auto"/>
        </w:rPr>
      </w:pPr>
      <w:r>
        <w:rPr>
          <w:rFonts w:ascii="Times New Roman" w:cs="Times New Roman" w:eastAsia="Times New Roman" w:hAnsi="Times New Roman"/>
          <w:sz w:val="14"/>
          <w:szCs w:val="14"/>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9.6. </w:t>
      </w:r>
      <w:r>
        <w:rPr>
          <w:rFonts w:ascii="Times New Roman" w:cs="Times New Roman" w:eastAsia="Times New Roman" w:hAnsi="Times New Roman"/>
          <w:sz w:val="14"/>
          <w:szCs w:val="14"/>
          <w:u w:val="single" w:color="auto"/>
          <w:color w:val="auto"/>
        </w:rPr>
        <w:t>Notation on or Exchange of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99" w:firstLine="768"/>
        <w:spacing w:after="0" w:line="265" w:lineRule="auto"/>
        <w:rPr>
          <w:sz w:val="20"/>
          <w:szCs w:val="20"/>
          <w:color w:val="auto"/>
        </w:rPr>
      </w:pPr>
      <w:r>
        <w:rPr>
          <w:rFonts w:ascii="Times New Roman" w:cs="Times New Roman" w:eastAsia="Times New Roman" w:hAnsi="Times New Roman"/>
          <w:sz w:val="14"/>
          <w:szCs w:val="14"/>
          <w:color w:val="auto"/>
        </w:rPr>
        <w:t>The Company or the Trustee may, but shall not be obligated to,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9.7. </w:t>
      </w:r>
      <w:r>
        <w:rPr>
          <w:rFonts w:ascii="Times New Roman" w:cs="Times New Roman" w:eastAsia="Times New Roman" w:hAnsi="Times New Roman"/>
          <w:sz w:val="14"/>
          <w:szCs w:val="14"/>
          <w:u w:val="single" w:color="auto"/>
          <w:color w:val="auto"/>
        </w:rPr>
        <w:t>Trustee Protected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439" w:firstLine="768"/>
        <w:spacing w:after="0" w:line="281" w:lineRule="auto"/>
        <w:rPr>
          <w:sz w:val="20"/>
          <w:szCs w:val="20"/>
          <w:color w:val="auto"/>
        </w:rPr>
      </w:pPr>
      <w:r>
        <w:rPr>
          <w:rFonts w:ascii="Times New Roman" w:cs="Times New Roman" w:eastAsia="Times New Roman" w:hAnsi="Times New Roman"/>
          <w:sz w:val="13"/>
          <w:szCs w:val="13"/>
          <w:color w:val="auto"/>
        </w:rPr>
        <w:t>In executing, or accepting the additional trusts created by, any supplemental indenture permitted by this Article or the modifications thereby of the trusts created by this Indenture, the Trustee shall be entitled to receive, upon request, an Officer’s Certificate and/or an Opinion of Counsel complying with Sections 10.4 and 10.5 and (subject to Section 7.1) shall be fully protected in relying upon such Officer’s Certificate and/or Opinion of Counsel.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X.</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MISCELLANEOUS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Trust Indenture Act Controls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479" w:firstLine="768"/>
        <w:spacing w:after="0" w:line="280" w:lineRule="auto"/>
        <w:rPr>
          <w:sz w:val="20"/>
          <w:szCs w:val="20"/>
          <w:color w:val="auto"/>
        </w:rPr>
      </w:pPr>
      <w:r>
        <w:rPr>
          <w:rFonts w:ascii="Times New Roman" w:cs="Times New Roman" w:eastAsia="Times New Roman" w:hAnsi="Times New Roman"/>
          <w:sz w:val="14"/>
          <w:szCs w:val="14"/>
          <w:color w:val="auto"/>
        </w:rPr>
        <w:t>If any provision of this Indenture limits, qualifies or conflicts with another provision which is required or deemed to be included in this Indenture by the TIA, such required or deemed provision shall control.</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9019"/>
          </w:cols>
          <w:pgMar w:left="1440" w:top="240" w:right="1440" w:bottom="1440" w:gutter="0" w:footer="0" w:header="0"/>
        </w:sectPr>
      </w:pPr>
    </w:p>
    <w:bookmarkStart w:id="145" w:name="page146"/>
    <w:bookmarkEnd w:id="145"/>
    <w:p>
      <w:pPr>
        <w:ind w:left="5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Section 10.2.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left="240" w:right="259" w:firstLine="768"/>
        <w:spacing w:after="0" w:line="265" w:lineRule="auto"/>
        <w:rPr>
          <w:sz w:val="20"/>
          <w:szCs w:val="20"/>
          <w:color w:val="auto"/>
        </w:rPr>
      </w:pPr>
      <w:r>
        <w:rPr>
          <w:rFonts w:ascii="Times New Roman" w:cs="Times New Roman" w:eastAsia="Times New Roman" w:hAnsi="Times New Roman"/>
          <w:sz w:val="14"/>
          <w:szCs w:val="14"/>
          <w:color w:val="auto"/>
        </w:rPr>
        <w:t>Any notice or communication by the Company or the Trustee to the other, or by a Holder to the Company or the Trustee, is duly given if in writing and delivered in person or mailed by first-class mail (registered or certified, return receipt requested), email or overnight air courier guaranteeing next day delivery, to the others’ address:</w:t>
      </w:r>
    </w:p>
    <w:p>
      <w:pPr>
        <w:spacing w:after="0" w:line="1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if to the Company:</w:t>
      </w:r>
    </w:p>
    <w:p>
      <w:pPr>
        <w:spacing w:after="0" w:line="17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Ardelyx, Inc.</w:t>
      </w:r>
    </w:p>
    <w:p>
      <w:pPr>
        <w:spacing w:after="0" w:line="2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400 Fifth Avenue, Suite 210</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Waltham, Massachusetts 02451</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Attention: Chief Executive Officer</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Telephone: (510) 745-1700</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with a copy to:</w:t>
      </w:r>
    </w:p>
    <w:p>
      <w:pPr>
        <w:spacing w:after="0" w:line="17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Latham &amp; Watkins LLP</w:t>
      </w:r>
    </w:p>
    <w:p>
      <w:pPr>
        <w:spacing w:after="0" w:line="2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140 Scott Drive</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Menlo Park, CA 94025</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Attention: Mark Roeder</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Telephone: (650) 463-2600</w:t>
      </w:r>
    </w:p>
    <w:p>
      <w:pPr>
        <w:spacing w:after="0" w:line="1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if to the Trustee:</w:t>
      </w:r>
    </w:p>
    <w:p>
      <w:pPr>
        <w:spacing w:after="0" w:line="17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[_____]</w:t>
      </w:r>
    </w:p>
    <w:p>
      <w:pPr>
        <w:spacing w:after="0" w:line="2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[_____]</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Attention: [____]</w:t>
      </w:r>
    </w:p>
    <w:p>
      <w:pPr>
        <w:spacing w:after="0" w:line="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color w:val="auto"/>
        </w:rPr>
        <w:t>Telephone: [____]</w:t>
      </w:r>
    </w:p>
    <w:p>
      <w:pPr>
        <w:spacing w:after="0" w:line="159" w:lineRule="exact"/>
        <w:rPr>
          <w:sz w:val="20"/>
          <w:szCs w:val="20"/>
          <w:color w:val="auto"/>
        </w:rPr>
      </w:pPr>
    </w:p>
    <w:p>
      <w:pPr>
        <w:ind w:left="240" w:right="1099" w:firstLine="768"/>
        <w:spacing w:after="0" w:line="280" w:lineRule="auto"/>
        <w:rPr>
          <w:sz w:val="20"/>
          <w:szCs w:val="20"/>
          <w:color w:val="auto"/>
        </w:rPr>
      </w:pPr>
      <w:r>
        <w:rPr>
          <w:rFonts w:ascii="Times New Roman" w:cs="Times New Roman" w:eastAsia="Times New Roman" w:hAnsi="Times New Roman"/>
          <w:sz w:val="14"/>
          <w:szCs w:val="14"/>
          <w:color w:val="auto"/>
        </w:rPr>
        <w:t>The Company or the Trustee by notice to the other may designate additional or different addresses for subsequent notices or communications.</w:t>
      </w:r>
    </w:p>
    <w:p>
      <w:pPr>
        <w:spacing w:after="0" w:line="126" w:lineRule="exact"/>
        <w:rPr>
          <w:sz w:val="20"/>
          <w:szCs w:val="20"/>
          <w:color w:val="auto"/>
        </w:rPr>
      </w:pPr>
    </w:p>
    <w:p>
      <w:pPr>
        <w:jc w:val="both"/>
        <w:ind w:left="240" w:right="299" w:firstLine="768"/>
        <w:spacing w:after="0" w:line="265" w:lineRule="auto"/>
        <w:rPr>
          <w:sz w:val="20"/>
          <w:szCs w:val="20"/>
          <w:color w:val="auto"/>
        </w:rPr>
      </w:pPr>
      <w:r>
        <w:rPr>
          <w:rFonts w:ascii="Times New Roman" w:cs="Times New Roman" w:eastAsia="Times New Roman" w:hAnsi="Times New Roman"/>
          <w:sz w:val="14"/>
          <w:szCs w:val="14"/>
          <w:color w:val="auto"/>
        </w:rPr>
        <w:t>Any notice or communication to a Holder shall be sent electronically or by first-class mail or overnight air courier to his, her or its address shown on the register kept by the Registrar, in accordance with the procedures of the Depositary. Failure to send a notice or communication to a Holder of any Series or any defect in it shall not affect its sufficiency with respect to other Holders of that or any other Series.</w:t>
      </w:r>
    </w:p>
    <w:p>
      <w:pPr>
        <w:spacing w:after="0" w:line="136" w:lineRule="exact"/>
        <w:rPr>
          <w:sz w:val="20"/>
          <w:szCs w:val="20"/>
          <w:color w:val="auto"/>
        </w:rPr>
      </w:pPr>
    </w:p>
    <w:p>
      <w:pPr>
        <w:ind w:left="240" w:right="279" w:firstLine="768"/>
        <w:spacing w:after="0" w:line="280" w:lineRule="auto"/>
        <w:rPr>
          <w:sz w:val="20"/>
          <w:szCs w:val="20"/>
          <w:color w:val="auto"/>
        </w:rPr>
      </w:pPr>
      <w:r>
        <w:rPr>
          <w:rFonts w:ascii="Times New Roman" w:cs="Times New Roman" w:eastAsia="Times New Roman" w:hAnsi="Times New Roman"/>
          <w:sz w:val="14"/>
          <w:szCs w:val="14"/>
          <w:color w:val="auto"/>
        </w:rPr>
        <w:t>If a notice or communication is sent or published in the manner provided above, within the time prescribed, it is duly given, whether or not the Holder receives it.</w:t>
      </w:r>
    </w:p>
    <w:p>
      <w:pPr>
        <w:spacing w:after="0" w:line="12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If the Company sends a notice or communication to Holders, it shall send a copy to the Trustee and each Agent at the same time.</w:t>
      </w:r>
    </w:p>
    <w:p>
      <w:pPr>
        <w:spacing w:after="0" w:line="174" w:lineRule="exact"/>
        <w:rPr>
          <w:sz w:val="20"/>
          <w:szCs w:val="20"/>
          <w:color w:val="auto"/>
        </w:rPr>
      </w:pPr>
    </w:p>
    <w:p>
      <w:pPr>
        <w:ind w:left="240" w:right="259" w:firstLine="768"/>
        <w:spacing w:after="0" w:line="254" w:lineRule="auto"/>
        <w:rPr>
          <w:sz w:val="20"/>
          <w:szCs w:val="20"/>
          <w:color w:val="auto"/>
        </w:rPr>
      </w:pPr>
      <w:r>
        <w:rPr>
          <w:rFonts w:ascii="Times New Roman" w:cs="Times New Roman" w:eastAsia="Times New Roman" w:hAnsi="Times New Roman"/>
          <w:sz w:val="14"/>
          <w:szCs w:val="14"/>
          <w:color w:val="auto"/>
        </w:rPr>
        <w:t>The Trustee shall not have any duty to confirm that the person sending any notice, instruction or other communication by electronic transmission (including by e-mail, facsimile transmission, web portal or other electronic methods) is, in fact, a person authorized to do so. Electronic signatures believed by the Trustee to comply with the ESIGN Act of 2000 or other applicable law (including electronic images of handwritten signatures and digital signatures provided by DocuSign, Orbit, Adobe Sign or any other digital signature provider acceptable to the Trustee) shall be deemed original signatures for all purposes. The Company assumes all risks arising out of the use of electronic signatures and electronic methods to send communications to the Trustee, including without limitation the risk of the Trustee acting on an unauthorized communication, and the risk of interception or misuse by third parties.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9019"/>
          </w:cols>
          <w:pgMar w:left="1440" w:top="239" w:right="1440" w:bottom="1440" w:gutter="0" w:footer="0" w:header="0"/>
        </w:sectPr>
      </w:pPr>
    </w:p>
    <w:bookmarkStart w:id="146" w:name="page147"/>
    <w:bookmarkEnd w:id="146"/>
    <w:p>
      <w:pPr>
        <w:ind w:left="240" w:right="279" w:firstLine="768"/>
        <w:spacing w:after="0" w:line="26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10.3. </w:t>
      </w:r>
      <w:r>
        <w:rPr>
          <w:rFonts w:ascii="Times New Roman" w:cs="Times New Roman" w:eastAsia="Times New Roman" w:hAnsi="Times New Roman"/>
          <w:sz w:val="14"/>
          <w:szCs w:val="14"/>
          <w:u w:val="single" w:color="auto"/>
          <w:color w:val="auto"/>
        </w:rPr>
        <w:t>Communication by Holders with Other 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left="240" w:right="519" w:firstLine="768"/>
        <w:spacing w:after="0" w:line="265" w:lineRule="auto"/>
        <w:rPr>
          <w:sz w:val="20"/>
          <w:szCs w:val="20"/>
          <w:color w:val="auto"/>
        </w:rPr>
      </w:pPr>
      <w:r>
        <w:rPr>
          <w:rFonts w:ascii="Times New Roman" w:cs="Times New Roman" w:eastAsia="Times New Roman" w:hAnsi="Times New Roman"/>
          <w:sz w:val="14"/>
          <w:szCs w:val="14"/>
          <w:color w:val="auto"/>
        </w:rPr>
        <w:t>Holders of any Series may communicate pursuant to TIA § 312(b) with other Holders of that Series or any other Series with respect to their rights under this Indenture or the Securities of that Series or all Series. The Company, the Trustee, the Registrar and anyone else shall have the protection of TIA § 312(c).</w:t>
      </w:r>
    </w:p>
    <w:p>
      <w:pPr>
        <w:spacing w:after="0" w:line="13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10.4. </w:t>
      </w:r>
      <w:r>
        <w:rPr>
          <w:rFonts w:ascii="Times New Roman" w:cs="Times New Roman" w:eastAsia="Times New Roman" w:hAnsi="Times New Roman"/>
          <w:sz w:val="14"/>
          <w:szCs w:val="14"/>
          <w:u w:val="single" w:color="auto"/>
          <w:color w:val="auto"/>
        </w:rPr>
        <w:t>Certificate and Opinion as to Conditions Precedent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Upon any request or application by the Company to the Trustee to take any action under this Indenture, the Company shall furnish to the</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Trustee:</w:t>
      </w:r>
    </w:p>
    <w:p>
      <w:pPr>
        <w:spacing w:after="0" w:line="75" w:lineRule="exact"/>
        <w:rPr>
          <w:sz w:val="20"/>
          <w:szCs w:val="20"/>
          <w:color w:val="auto"/>
        </w:rPr>
      </w:pPr>
    </w:p>
    <w:p>
      <w:pPr>
        <w:ind w:left="580" w:right="259" w:firstLine="327"/>
        <w:spacing w:after="0" w:line="280" w:lineRule="auto"/>
        <w:tabs>
          <w:tab w:leader="none" w:pos="1097"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Officer’s Certificate stating that, in the opinion of the signers, all conditions precedent, if any, provided for in this Indenture relating to the proposed action have been complied with; and</w:t>
      </w:r>
    </w:p>
    <w:p>
      <w:pPr>
        <w:spacing w:after="0" w:line="42" w:lineRule="exact"/>
        <w:rPr>
          <w:rFonts w:ascii="Times New Roman" w:cs="Times New Roman" w:eastAsia="Times New Roman" w:hAnsi="Times New Roman"/>
          <w:sz w:val="14"/>
          <w:szCs w:val="14"/>
          <w:color w:val="auto"/>
        </w:rPr>
      </w:pPr>
    </w:p>
    <w:p>
      <w:pPr>
        <w:ind w:left="1100" w:hanging="193"/>
        <w:spacing w:after="0"/>
        <w:tabs>
          <w:tab w:leader="none" w:pos="110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Opinion of Counsel stating that, in the opinion of such counsel, all such conditions precedent have been complied with.</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10.5. </w:t>
      </w:r>
      <w:r>
        <w:rPr>
          <w:rFonts w:ascii="Times New Roman" w:cs="Times New Roman" w:eastAsia="Times New Roman" w:hAnsi="Times New Roman"/>
          <w:sz w:val="14"/>
          <w:szCs w:val="14"/>
          <w:u w:val="single" w:color="auto"/>
          <w:color w:val="auto"/>
        </w:rPr>
        <w:t>Statements Required in Certificate or Opinion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359" w:firstLine="768"/>
        <w:spacing w:after="0" w:line="280" w:lineRule="auto"/>
        <w:rPr>
          <w:sz w:val="20"/>
          <w:szCs w:val="20"/>
          <w:color w:val="auto"/>
        </w:rPr>
      </w:pPr>
      <w:r>
        <w:rPr>
          <w:rFonts w:ascii="Times New Roman" w:cs="Times New Roman" w:eastAsia="Times New Roman" w:hAnsi="Times New Roman"/>
          <w:sz w:val="14"/>
          <w:szCs w:val="14"/>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43" w:lineRule="exact"/>
        <w:rPr>
          <w:sz w:val="20"/>
          <w:szCs w:val="20"/>
          <w:color w:val="auto"/>
        </w:rPr>
      </w:pPr>
    </w:p>
    <w:p>
      <w:pPr>
        <w:ind w:left="1100" w:hanging="193"/>
        <w:spacing w:after="0"/>
        <w:tabs>
          <w:tab w:leader="none" w:pos="110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the person making such certificate or opinion has read such covenant or condition;</w:t>
      </w:r>
    </w:p>
    <w:p>
      <w:pPr>
        <w:spacing w:after="0" w:line="89" w:lineRule="exact"/>
        <w:rPr>
          <w:rFonts w:ascii="Times New Roman" w:cs="Times New Roman" w:eastAsia="Times New Roman" w:hAnsi="Times New Roman"/>
          <w:sz w:val="14"/>
          <w:szCs w:val="14"/>
          <w:color w:val="auto"/>
        </w:rPr>
      </w:pPr>
    </w:p>
    <w:p>
      <w:pPr>
        <w:ind w:left="580" w:right="339" w:firstLine="327"/>
        <w:spacing w:after="0" w:line="280" w:lineRule="auto"/>
        <w:tabs>
          <w:tab w:leader="none" w:pos="1105"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brief statement as to the nature and scope of the examination or investigation upon which the statements or opinions contained in such certificate or opinion are based;</w:t>
      </w:r>
    </w:p>
    <w:p>
      <w:pPr>
        <w:spacing w:after="0" w:line="42" w:lineRule="exact"/>
        <w:rPr>
          <w:rFonts w:ascii="Times New Roman" w:cs="Times New Roman" w:eastAsia="Times New Roman" w:hAnsi="Times New Roman"/>
          <w:sz w:val="14"/>
          <w:szCs w:val="14"/>
          <w:color w:val="auto"/>
        </w:rPr>
      </w:pPr>
    </w:p>
    <w:p>
      <w:pPr>
        <w:ind w:left="580" w:right="459" w:firstLine="327"/>
        <w:spacing w:after="0" w:line="280" w:lineRule="auto"/>
        <w:tabs>
          <w:tab w:leader="none" w:pos="1097"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in the opinion of such person, such person has made such examination or investigation as is necessary to enable such person to express an informed opinion as to whether or not such covenant or condition has been complied with; and</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9019"/>
          </w:cols>
          <w:pgMar w:left="1440" w:top="240" w:right="1440" w:bottom="1440" w:gutter="0" w:footer="0" w:header="0"/>
        </w:sectPr>
      </w:pPr>
    </w:p>
    <w:bookmarkStart w:id="147" w:name="page148"/>
    <w:bookmarkEnd w:id="147"/>
    <w:p>
      <w:pPr>
        <w:ind w:left="580" w:right="1479" w:firstLine="327"/>
        <w:spacing w:after="0" w:line="498" w:lineRule="auto"/>
        <w:tabs>
          <w:tab w:leader="none" w:pos="1105"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a statement as to whether or not, in the opinion of such person, such condition or covenant has been complied with. Section 10.6. </w:t>
      </w:r>
      <w:r>
        <w:rPr>
          <w:rFonts w:ascii="Times New Roman" w:cs="Times New Roman" w:eastAsia="Times New Roman" w:hAnsi="Times New Roman"/>
          <w:sz w:val="14"/>
          <w:szCs w:val="14"/>
          <w:u w:val="single" w:color="auto"/>
          <w:color w:val="auto"/>
        </w:rPr>
        <w:t>Rules by Trustee and Agents</w:t>
      </w:r>
      <w:r>
        <w:rPr>
          <w:rFonts w:ascii="Times New Roman" w:cs="Times New Roman" w:eastAsia="Times New Roman" w:hAnsi="Times New Roman"/>
          <w:sz w:val="14"/>
          <w:szCs w:val="14"/>
          <w:color w:val="auto"/>
        </w:rPr>
        <w:t>.</w:t>
      </w:r>
    </w:p>
    <w:p>
      <w:pPr>
        <w:spacing w:after="0" w:line="1" w:lineRule="exact"/>
        <w:rPr>
          <w:sz w:val="20"/>
          <w:szCs w:val="20"/>
          <w:color w:val="auto"/>
        </w:rPr>
      </w:pPr>
    </w:p>
    <w:p>
      <w:pPr>
        <w:ind w:left="240" w:right="539" w:firstLine="768"/>
        <w:spacing w:after="0" w:line="280" w:lineRule="auto"/>
        <w:rPr>
          <w:sz w:val="20"/>
          <w:szCs w:val="20"/>
          <w:color w:val="auto"/>
        </w:rPr>
      </w:pPr>
      <w:r>
        <w:rPr>
          <w:rFonts w:ascii="Times New Roman" w:cs="Times New Roman" w:eastAsia="Times New Roman" w:hAnsi="Times New Roman"/>
          <w:sz w:val="14"/>
          <w:szCs w:val="14"/>
          <w:color w:val="auto"/>
        </w:rPr>
        <w:t>The Trustee may make reasonable rules for action by or a meeting of Holders of one or more Series. Any Agent may make reasonable rules and set reasonable requirements for its functions.</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10.7. </w:t>
      </w:r>
      <w:r>
        <w:rPr>
          <w:rFonts w:ascii="Times New Roman" w:cs="Times New Roman" w:eastAsia="Times New Roman" w:hAnsi="Times New Roman"/>
          <w:sz w:val="14"/>
          <w:szCs w:val="14"/>
          <w:u w:val="single" w:color="auto"/>
          <w:color w:val="auto"/>
        </w:rPr>
        <w:t>Legal Holidays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739" w:firstLine="768"/>
        <w:spacing w:after="0" w:line="280" w:lineRule="auto"/>
        <w:rPr>
          <w:sz w:val="20"/>
          <w:szCs w:val="20"/>
          <w:color w:val="auto"/>
        </w:rPr>
      </w:pPr>
      <w:r>
        <w:rPr>
          <w:rFonts w:ascii="Times New Roman" w:cs="Times New Roman" w:eastAsia="Times New Roman" w:hAnsi="Times New Roman"/>
          <w:sz w:val="14"/>
          <w:szCs w:val="14"/>
          <w:color w:val="auto"/>
        </w:rPr>
        <w:t>If a payment date for any payment made under this Indenture is not a Business Day, payment may be made on the next succeeding Business Day, and no interest shall accrue for the intervening period.</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10.8. </w:t>
      </w:r>
      <w:r>
        <w:rPr>
          <w:rFonts w:ascii="Times New Roman" w:cs="Times New Roman" w:eastAsia="Times New Roman" w:hAnsi="Times New Roman"/>
          <w:sz w:val="14"/>
          <w:szCs w:val="14"/>
          <w:u w:val="single" w:color="auto"/>
          <w:color w:val="auto"/>
        </w:rPr>
        <w:t>No Recourse Against Others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359" w:firstLine="768"/>
        <w:spacing w:after="0" w:line="294" w:lineRule="auto"/>
        <w:rPr>
          <w:sz w:val="20"/>
          <w:szCs w:val="20"/>
          <w:color w:val="auto"/>
        </w:rPr>
      </w:pPr>
      <w:r>
        <w:rPr>
          <w:rFonts w:ascii="Times New Roman" w:cs="Times New Roman" w:eastAsia="Times New Roman" w:hAnsi="Times New Roman"/>
          <w:sz w:val="13"/>
          <w:szCs w:val="13"/>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Holder by accepting a Security waives and releases all such liability. The waiver and release are part of the consideration for the issue of the Securities.</w:t>
      </w:r>
    </w:p>
    <w:p>
      <w:pPr>
        <w:spacing w:after="0" w:line="1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10.9. </w:t>
      </w:r>
      <w:r>
        <w:rPr>
          <w:rFonts w:ascii="Times New Roman" w:cs="Times New Roman" w:eastAsia="Times New Roman" w:hAnsi="Times New Roman"/>
          <w:sz w:val="14"/>
          <w:szCs w:val="14"/>
          <w:u w:val="single" w:color="auto"/>
          <w:color w:val="auto"/>
        </w:rPr>
        <w:t>Counterparts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99" w:firstLine="768"/>
        <w:spacing w:after="0" w:line="257" w:lineRule="auto"/>
        <w:rPr>
          <w:sz w:val="20"/>
          <w:szCs w:val="20"/>
          <w:color w:val="auto"/>
        </w:rPr>
      </w:pPr>
      <w:r>
        <w:rPr>
          <w:rFonts w:ascii="Times New Roman" w:cs="Times New Roman" w:eastAsia="Times New Roman" w:hAnsi="Times New Roman"/>
          <w:sz w:val="14"/>
          <w:szCs w:val="14"/>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electronic format (e.g., “.pdf” or “.tif”) transmission shall constitute effective execution and delivery of this Indenture as to the parties hereto and may be used in lieu of the original Indenture for all purposes. Signatures of the parties hereto transmitted by facsimile or electronic format (e.g., “.pdf” or “.tif”) shall be deemed to be their original signatures for all purposes.</w:t>
      </w:r>
    </w:p>
    <w:p>
      <w:pPr>
        <w:spacing w:after="0" w:line="142" w:lineRule="exact"/>
        <w:rPr>
          <w:sz w:val="20"/>
          <w:szCs w:val="20"/>
          <w:color w:val="auto"/>
        </w:rPr>
      </w:pPr>
    </w:p>
    <w:p>
      <w:pPr>
        <w:ind w:left="240" w:right="339" w:firstLine="768"/>
        <w:spacing w:after="0" w:line="254" w:lineRule="auto"/>
        <w:rPr>
          <w:sz w:val="20"/>
          <w:szCs w:val="20"/>
          <w:color w:val="auto"/>
        </w:rPr>
      </w:pPr>
      <w:r>
        <w:rPr>
          <w:rFonts w:ascii="Times New Roman" w:cs="Times New Roman" w:eastAsia="Times New Roman" w:hAnsi="Times New Roman"/>
          <w:sz w:val="14"/>
          <w:szCs w:val="14"/>
          <w:color w:val="auto"/>
        </w:rPr>
        <w:t>Unless otherwise provided herein or in any other Securities, the words “execute”, “execution”, “signed” and “signature” and words of similar import used in or related to any document to be signed in connection with this Indenture, any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9019"/>
          </w:cols>
          <w:pgMar w:left="1440" w:top="240" w:right="1440" w:bottom="1440" w:gutter="0" w:footer="0" w:header="0"/>
        </w:sectPr>
      </w:pPr>
    </w:p>
    <w:bookmarkStart w:id="148" w:name="page149"/>
    <w:bookmarkEnd w:id="148"/>
    <w:p>
      <w:pPr>
        <w:ind w:left="5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Section 10.10. </w:t>
      </w:r>
      <w:r>
        <w:rPr>
          <w:rFonts w:ascii="Times New Roman" w:cs="Times New Roman" w:eastAsia="Times New Roman" w:hAnsi="Times New Roman"/>
          <w:sz w:val="14"/>
          <w:szCs w:val="14"/>
          <w:u w:val="single" w:color="auto"/>
          <w:color w:val="auto"/>
        </w:rPr>
        <w:t>Governing Law; Waiver of Jury Trial; Consent to Jurisdiction</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240" w:right="459" w:firstLine="768"/>
        <w:spacing w:after="0" w:line="324" w:lineRule="auto"/>
        <w:rPr>
          <w:sz w:val="20"/>
          <w:szCs w:val="20"/>
          <w:color w:val="auto"/>
        </w:rPr>
      </w:pPr>
      <w:r>
        <w:rPr>
          <w:rFonts w:ascii="Times New Roman" w:cs="Times New Roman" w:eastAsia="Times New Roman" w:hAnsi="Times New Roman"/>
          <w:sz w:val="13"/>
          <w:szCs w:val="13"/>
          <w:b w:val="1"/>
          <w:bCs w:val="1"/>
          <w:color w:val="auto"/>
        </w:rPr>
        <w:t>THIS INDENTURE AND THE SECURITIES, INCLUDING ANY CLAIM OR CONTROVERSY ARISING OUT OF OR RELATING TO THE INDENTURE OR THE SECURITIES, SHALL BE GOVERNED BY THE LAWS OF THE STATE OF NEW YORK.</w:t>
      </w:r>
    </w:p>
    <w:p>
      <w:pPr>
        <w:spacing w:after="0" w:line="98" w:lineRule="exact"/>
        <w:rPr>
          <w:sz w:val="20"/>
          <w:szCs w:val="20"/>
          <w:color w:val="auto"/>
        </w:rPr>
      </w:pPr>
    </w:p>
    <w:p>
      <w:pPr>
        <w:ind w:left="240" w:right="259" w:firstLine="768"/>
        <w:spacing w:after="0" w:line="260" w:lineRule="auto"/>
        <w:rPr>
          <w:sz w:val="20"/>
          <w:szCs w:val="20"/>
          <w:color w:val="auto"/>
        </w:rPr>
      </w:pPr>
      <w:r>
        <w:rPr>
          <w:rFonts w:ascii="Times New Roman" w:cs="Times New Roman" w:eastAsia="Times New Roman" w:hAnsi="Times New Roman"/>
          <w:sz w:val="14"/>
          <w:szCs w:val="14"/>
          <w:b w:val="1"/>
          <w:bCs w:val="1"/>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spacing w:after="0" w:line="141" w:lineRule="exact"/>
        <w:rPr>
          <w:sz w:val="20"/>
          <w:szCs w:val="20"/>
          <w:color w:val="auto"/>
        </w:rPr>
      </w:pPr>
    </w:p>
    <w:p>
      <w:pPr>
        <w:ind w:left="240" w:right="259" w:firstLine="768"/>
        <w:spacing w:after="0" w:line="253" w:lineRule="auto"/>
        <w:rPr>
          <w:sz w:val="20"/>
          <w:szCs w:val="20"/>
          <w:color w:val="auto"/>
        </w:rPr>
      </w:pPr>
      <w:r>
        <w:rPr>
          <w:rFonts w:ascii="Times New Roman" w:cs="Times New Roman" w:eastAsia="Times New Roman" w:hAnsi="Times New Roman"/>
          <w:sz w:val="14"/>
          <w:szCs w:val="14"/>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 w:cs="Times New Roman" w:eastAsia="Times New Roman" w:hAnsi="Times New Roman"/>
          <w:sz w:val="14"/>
          <w:szCs w:val="14"/>
          <w:i w:val="1"/>
          <w:iCs w:val="1"/>
          <w:color w:val="auto"/>
        </w:rPr>
        <w:t>Specified Courts</w:t>
      </w:r>
      <w:r>
        <w:rPr>
          <w:rFonts w:ascii="Times New Roman" w:cs="Times New Roman" w:eastAsia="Times New Roman" w:hAnsi="Times New Roman"/>
          <w:sz w:val="14"/>
          <w:szCs w:val="14"/>
          <w:color w:val="auto"/>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10.11. </w:t>
      </w:r>
      <w:r>
        <w:rPr>
          <w:rFonts w:ascii="Times New Roman" w:cs="Times New Roman" w:eastAsia="Times New Roman" w:hAnsi="Times New Roman"/>
          <w:sz w:val="14"/>
          <w:szCs w:val="14"/>
          <w:u w:val="single" w:color="auto"/>
          <w:color w:val="auto"/>
        </w:rPr>
        <w:t>No Adverse Interpretation of Other Agreements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This Indenture may not be used to interpret another indenture, loan or debt agreement of the Company or a Subsidiary of the Company.</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Any such indenture, loan or debt agreement may not be used to interpret this Indenture.</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10.12. </w:t>
      </w:r>
      <w:r>
        <w:rPr>
          <w:rFonts w:ascii="Times New Roman" w:cs="Times New Roman" w:eastAsia="Times New Roman" w:hAnsi="Times New Roman"/>
          <w:sz w:val="14"/>
          <w:szCs w:val="14"/>
          <w:u w:val="single" w:color="auto"/>
          <w:color w:val="auto"/>
        </w:rPr>
        <w:t>Successors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79" w:firstLine="768"/>
        <w:spacing w:after="0" w:line="280" w:lineRule="auto"/>
        <w:rPr>
          <w:sz w:val="20"/>
          <w:szCs w:val="20"/>
          <w:color w:val="auto"/>
        </w:rPr>
      </w:pPr>
      <w:r>
        <w:rPr>
          <w:rFonts w:ascii="Times New Roman" w:cs="Times New Roman" w:eastAsia="Times New Roman" w:hAnsi="Times New Roman"/>
          <w:sz w:val="14"/>
          <w:szCs w:val="14"/>
          <w:color w:val="auto"/>
        </w:rPr>
        <w:t>All agreements of the Company in this Indenture and the Securities shall bind its successor. All agreements of the Trustee in this Indenture shall bind its successor.</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10.13.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99" w:firstLine="768"/>
        <w:spacing w:after="0" w:line="280" w:lineRule="auto"/>
        <w:rPr>
          <w:sz w:val="20"/>
          <w:szCs w:val="20"/>
          <w:color w:val="auto"/>
        </w:rPr>
      </w:pPr>
      <w:r>
        <w:rPr>
          <w:rFonts w:ascii="Times New Roman" w:cs="Times New Roman" w:eastAsia="Times New Roman" w:hAnsi="Times New Roman"/>
          <w:sz w:val="14"/>
          <w:szCs w:val="14"/>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10.14. </w:t>
      </w:r>
      <w:r>
        <w:rPr>
          <w:rFonts w:ascii="Times New Roman" w:cs="Times New Roman" w:eastAsia="Times New Roman" w:hAnsi="Times New Roman"/>
          <w:sz w:val="14"/>
          <w:szCs w:val="14"/>
          <w:u w:val="single" w:color="auto"/>
          <w:color w:val="auto"/>
        </w:rPr>
        <w:t>Table of Contents, Headings, Etc</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339" w:firstLine="768"/>
        <w:spacing w:after="0" w:line="280" w:lineRule="auto"/>
        <w:rPr>
          <w:sz w:val="20"/>
          <w:szCs w:val="20"/>
          <w:color w:val="auto"/>
        </w:rPr>
      </w:pPr>
      <w:r>
        <w:rPr>
          <w:rFonts w:ascii="Times New Roman" w:cs="Times New Roman" w:eastAsia="Times New Roman" w:hAnsi="Times New Roman"/>
          <w:sz w:val="14"/>
          <w:szCs w:val="14"/>
          <w:color w:val="auto"/>
        </w:rPr>
        <w:t>The Table of Contents, Cross Reference Table, headings of the Articles and Sections of this Indenture have been inserted for convenience of reference only, are not to be considered a part hereof and shall in no way modify or restrict any of the terms or provisions hereof.</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9019"/>
          </w:cols>
          <w:pgMar w:left="1440" w:top="240" w:right="1440" w:bottom="1440" w:gutter="0" w:footer="0" w:header="0"/>
        </w:sectPr>
      </w:pPr>
    </w:p>
    <w:bookmarkStart w:id="149" w:name="page150"/>
    <w:bookmarkEnd w:id="149"/>
    <w:p>
      <w:pPr>
        <w:ind w:left="5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Section 10.15. </w:t>
      </w:r>
      <w:r>
        <w:rPr>
          <w:rFonts w:ascii="Times New Roman" w:cs="Times New Roman" w:eastAsia="Times New Roman" w:hAnsi="Times New Roman"/>
          <w:sz w:val="14"/>
          <w:szCs w:val="14"/>
          <w:u w:val="single" w:color="auto"/>
          <w:color w:val="auto"/>
        </w:rPr>
        <w:t>Securities in a Foreign Currency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59" w:firstLine="768"/>
        <w:spacing w:after="0" w:line="252" w:lineRule="auto"/>
        <w:rPr>
          <w:sz w:val="20"/>
          <w:szCs w:val="20"/>
          <w:color w:val="auto"/>
        </w:rPr>
      </w:pPr>
      <w:r>
        <w:rPr>
          <w:rFonts w:ascii="Times New Roman" w:cs="Times New Roman" w:eastAsia="Times New Roman" w:hAnsi="Times New Roman"/>
          <w:sz w:val="14"/>
          <w:szCs w:val="14"/>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46" w:lineRule="exact"/>
        <w:rPr>
          <w:sz w:val="20"/>
          <w:szCs w:val="20"/>
          <w:color w:val="auto"/>
        </w:rPr>
      </w:pPr>
    </w:p>
    <w:p>
      <w:pPr>
        <w:ind w:left="240" w:right="299" w:firstLine="768"/>
        <w:spacing w:after="0" w:line="280" w:lineRule="auto"/>
        <w:rPr>
          <w:sz w:val="20"/>
          <w:szCs w:val="20"/>
          <w:color w:val="auto"/>
        </w:rPr>
      </w:pPr>
      <w:r>
        <w:rPr>
          <w:rFonts w:ascii="Times New Roman" w:cs="Times New Roman" w:eastAsia="Times New Roman" w:hAnsi="Times New Roman"/>
          <w:sz w:val="14"/>
          <w:szCs w:val="14"/>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10.16. </w:t>
      </w:r>
      <w:r>
        <w:rPr>
          <w:rFonts w:ascii="Times New Roman" w:cs="Times New Roman" w:eastAsia="Times New Roman" w:hAnsi="Times New Roman"/>
          <w:sz w:val="14"/>
          <w:szCs w:val="14"/>
          <w:u w:val="single" w:color="auto"/>
          <w:color w:val="auto"/>
        </w:rPr>
        <w:t>Judgment Currency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59" w:firstLine="768"/>
        <w:spacing w:after="0" w:line="252" w:lineRule="auto"/>
        <w:rPr>
          <w:sz w:val="20"/>
          <w:szCs w:val="20"/>
          <w:color w:val="auto"/>
        </w:rPr>
      </w:pPr>
      <w:r>
        <w:rPr>
          <w:rFonts w:ascii="Times New Roman" w:cs="Times New Roman" w:eastAsia="Times New Roman" w:hAnsi="Times New Roman"/>
          <w:sz w:val="14"/>
          <w:szCs w:val="14"/>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14"/>
          <w:szCs w:val="14"/>
          <w:i w:val="1"/>
          <w:iCs w:val="1"/>
          <w:color w:val="auto"/>
        </w:rPr>
        <w:t>Required Currency</w:t>
      </w:r>
      <w:r>
        <w:rPr>
          <w:rFonts w:ascii="Times New Roman" w:cs="Times New Roman" w:eastAsia="Times New Roman" w:hAnsi="Times New Roman"/>
          <w:sz w:val="14"/>
          <w:szCs w:val="14"/>
          <w:color w:val="auto"/>
        </w:rPr>
        <w:t>”) into a currency in which a judgment will be rendered (the “</w:t>
      </w:r>
      <w:r>
        <w:rPr>
          <w:rFonts w:ascii="Times New Roman" w:cs="Times New Roman" w:eastAsia="Times New Roman" w:hAnsi="Times New Roman"/>
          <w:sz w:val="14"/>
          <w:szCs w:val="14"/>
          <w:i w:val="1"/>
          <w:iCs w:val="1"/>
          <w:color w:val="auto"/>
        </w:rPr>
        <w:t>Judgment Currency</w:t>
      </w:r>
      <w:r>
        <w:rPr>
          <w:rFonts w:ascii="Times New Roman" w:cs="Times New Roman" w:eastAsia="Times New Roman" w:hAnsi="Times New Roman"/>
          <w:sz w:val="14"/>
          <w:szCs w:val="14"/>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9019"/>
          </w:cols>
          <w:pgMar w:left="1440" w:top="240" w:right="1440" w:bottom="1440" w:gutter="0" w:footer="0" w:header="0"/>
        </w:sectPr>
      </w:pPr>
    </w:p>
    <w:bookmarkStart w:id="150" w:name="page151"/>
    <w:bookmarkEnd w:id="150"/>
    <w:p>
      <w:pPr>
        <w:ind w:left="240" w:right="29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4"/>
          <w:szCs w:val="14"/>
          <w:i w:val="1"/>
          <w:iCs w:val="1"/>
          <w:color w:val="auto"/>
        </w:rPr>
        <w:t>New York Banking Day</w:t>
      </w:r>
      <w:r>
        <w:rPr>
          <w:rFonts w:ascii="Times New Roman" w:cs="Times New Roman" w:eastAsia="Times New Roman" w:hAnsi="Times New Roman"/>
          <w:sz w:val="14"/>
          <w:szCs w:val="14"/>
          <w:color w:val="auto"/>
        </w:rPr>
        <w:t>” means any day except a Saturday, Sunday or a legal holiday in the City of New York on which banking institutions are authorized or required by law, regulation or executive order to close.</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10.17. </w:t>
      </w:r>
      <w:r>
        <w:rPr>
          <w:rFonts w:ascii="Times New Roman" w:cs="Times New Roman" w:eastAsia="Times New Roman" w:hAnsi="Times New Roman"/>
          <w:sz w:val="14"/>
          <w:szCs w:val="14"/>
          <w:u w:val="single" w:color="auto"/>
          <w:color w:val="auto"/>
        </w:rPr>
        <w:t>Force Majeure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339" w:firstLine="768"/>
        <w:spacing w:after="0" w:line="255" w:lineRule="auto"/>
        <w:rPr>
          <w:sz w:val="20"/>
          <w:szCs w:val="20"/>
          <w:color w:val="auto"/>
        </w:rPr>
      </w:pPr>
      <w:r>
        <w:rPr>
          <w:rFonts w:ascii="Times New Roman" w:cs="Times New Roman" w:eastAsia="Times New Roman" w:hAnsi="Times New Roman"/>
          <w:sz w:val="14"/>
          <w:szCs w:val="14"/>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pandemics, epidemics or other public health emergencies,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10.18. </w:t>
      </w:r>
      <w:r>
        <w:rPr>
          <w:rFonts w:ascii="Times New Roman" w:cs="Times New Roman" w:eastAsia="Times New Roman" w:hAnsi="Times New Roman"/>
          <w:sz w:val="14"/>
          <w:szCs w:val="14"/>
          <w:u w:val="single" w:color="auto"/>
          <w:color w:val="auto"/>
        </w:rPr>
        <w:t>U.S.A. Patriot Act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319" w:firstLine="768"/>
        <w:spacing w:after="0" w:line="259" w:lineRule="auto"/>
        <w:rPr>
          <w:sz w:val="20"/>
          <w:szCs w:val="20"/>
          <w:color w:val="auto"/>
        </w:rPr>
      </w:pPr>
      <w:r>
        <w:rPr>
          <w:rFonts w:ascii="Times New Roman" w:cs="Times New Roman" w:eastAsia="Times New Roman" w:hAnsi="Times New Roman"/>
          <w:sz w:val="14"/>
          <w:szCs w:val="14"/>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XI.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SINKING FUNDS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11.1. </w:t>
      </w:r>
      <w:r>
        <w:rPr>
          <w:rFonts w:ascii="Times New Roman" w:cs="Times New Roman" w:eastAsia="Times New Roman" w:hAnsi="Times New Roman"/>
          <w:sz w:val="14"/>
          <w:szCs w:val="14"/>
          <w:u w:val="single" w:color="auto"/>
          <w:color w:val="auto"/>
        </w:rPr>
        <w:t>Applicability of Article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79" w:firstLine="768"/>
        <w:spacing w:after="0" w:line="265" w:lineRule="auto"/>
        <w:rPr>
          <w:sz w:val="20"/>
          <w:szCs w:val="20"/>
          <w:color w:val="auto"/>
        </w:rPr>
      </w:pPr>
      <w:r>
        <w:rPr>
          <w:rFonts w:ascii="Times New Roman" w:cs="Times New Roman" w:eastAsia="Times New Roman" w:hAnsi="Times New Roman"/>
          <w:sz w:val="14"/>
          <w:szCs w:val="14"/>
          <w:color w:val="auto"/>
        </w:rPr>
        <w:t>The provisions of this Article shall be applicable to any sinking fund for the retirement of the Securities of a Series if so provided by the terms of such Securities pursuant to Section 2.2, except as otherwise permitted or required by any form of Security of such Series issued pursuant to this Indenture.</w:t>
      </w:r>
    </w:p>
    <w:p>
      <w:pPr>
        <w:spacing w:after="0" w:line="136" w:lineRule="exact"/>
        <w:rPr>
          <w:sz w:val="20"/>
          <w:szCs w:val="20"/>
          <w:color w:val="auto"/>
        </w:rPr>
      </w:pPr>
    </w:p>
    <w:p>
      <w:pPr>
        <w:ind w:left="240" w:right="419" w:firstLine="768"/>
        <w:spacing w:after="0" w:line="257" w:lineRule="auto"/>
        <w:rPr>
          <w:sz w:val="20"/>
          <w:szCs w:val="20"/>
          <w:color w:val="auto"/>
        </w:rPr>
      </w:pPr>
      <w:r>
        <w:rPr>
          <w:rFonts w:ascii="Times New Roman" w:cs="Times New Roman" w:eastAsia="Times New Roman" w:hAnsi="Times New Roman"/>
          <w:sz w:val="14"/>
          <w:szCs w:val="14"/>
          <w:color w:val="auto"/>
        </w:rPr>
        <w:t>The minimum amount of any sinking fund payment provided for by the terms of the Securities of any Series is herein referred to as a “</w:t>
      </w:r>
      <w:r>
        <w:rPr>
          <w:rFonts w:ascii="Times New Roman" w:cs="Times New Roman" w:eastAsia="Times New Roman" w:hAnsi="Times New Roman"/>
          <w:sz w:val="14"/>
          <w:szCs w:val="14"/>
          <w:i w:val="1"/>
          <w:iCs w:val="1"/>
          <w:color w:val="auto"/>
        </w:rPr>
        <w:t>mandatory sinking fund payment</w:t>
      </w:r>
      <w:r>
        <w:rPr>
          <w:rFonts w:ascii="Times New Roman" w:cs="Times New Roman" w:eastAsia="Times New Roman" w:hAnsi="Times New Roman"/>
          <w:sz w:val="14"/>
          <w:szCs w:val="14"/>
          <w:color w:val="auto"/>
        </w:rPr>
        <w:t>” and any other amount provided for by the terms of Securities of such Series is herein referred to as an “</w:t>
      </w:r>
      <w:r>
        <w:rPr>
          <w:rFonts w:ascii="Times New Roman" w:cs="Times New Roman" w:eastAsia="Times New Roman" w:hAnsi="Times New Roman"/>
          <w:sz w:val="14"/>
          <w:szCs w:val="14"/>
          <w:i w:val="1"/>
          <w:iCs w:val="1"/>
          <w:color w:val="auto"/>
        </w:rPr>
        <w:t>optional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sinking fund payment</w:t>
      </w:r>
      <w:r>
        <w:rPr>
          <w:rFonts w:ascii="Times New Roman" w:cs="Times New Roman" w:eastAsia="Times New Roman" w:hAnsi="Times New Roman"/>
          <w:sz w:val="14"/>
          <w:szCs w:val="14"/>
          <w:color w:val="auto"/>
        </w:rPr>
        <w:t>.” If provided for by the terms of Securities of any Series, the cash amount of any sinking fund payment may be subject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reduction as provided in Section 11.2. Each sinking fund payment shall be applied to the redemption of Securities of any Series as provided for by the terms of the Securities of such Series.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9019"/>
          </w:cols>
          <w:pgMar w:left="1440" w:top="239" w:right="1440" w:bottom="1440" w:gutter="0" w:footer="0" w:header="0"/>
        </w:sectPr>
      </w:pPr>
    </w:p>
    <w:bookmarkStart w:id="151" w:name="page152"/>
    <w:bookmarkEnd w:id="151"/>
    <w:p>
      <w:pPr>
        <w:ind w:left="5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7202170" cy="32385"/>
                    </a:xfrm>
                    <a:prstGeom prst="rect">
                      <a:avLst/>
                    </a:prstGeom>
                    <a:noFill/>
                  </pic:spPr>
                </pic:pic>
              </a:graphicData>
            </a:graphic>
          </wp:anchor>
        </w:drawing>
        <w:t xml:space="preserve">Section 11.2. </w:t>
      </w:r>
      <w:r>
        <w:rPr>
          <w:rFonts w:ascii="Times New Roman" w:cs="Times New Roman" w:eastAsia="Times New Roman" w:hAnsi="Times New Roman"/>
          <w:sz w:val="14"/>
          <w:szCs w:val="14"/>
          <w:u w:val="single" w:color="auto"/>
          <w:color w:val="auto"/>
        </w:rPr>
        <w:t>Satisfaction of Sinking Fund Payments with Securities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79" w:firstLine="768"/>
        <w:spacing w:after="0" w:line="251" w:lineRule="auto"/>
        <w:rPr>
          <w:sz w:val="20"/>
          <w:szCs w:val="20"/>
          <w:color w:val="auto"/>
        </w:rPr>
      </w:pPr>
      <w:r>
        <w:rPr>
          <w:rFonts w:ascii="Times New Roman" w:cs="Times New Roman" w:eastAsia="Times New Roman" w:hAnsi="Times New Roman"/>
          <w:sz w:val="14"/>
          <w:szCs w:val="14"/>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color w:val="auto"/>
        </w:rPr>
        <w:t xml:space="preserve">Section 11.3. </w:t>
      </w:r>
      <w:r>
        <w:rPr>
          <w:rFonts w:ascii="Times New Roman" w:cs="Times New Roman" w:eastAsia="Times New Roman" w:hAnsi="Times New Roman"/>
          <w:sz w:val="14"/>
          <w:szCs w:val="14"/>
          <w:u w:val="single" w:color="auto"/>
          <w:color w:val="auto"/>
        </w:rPr>
        <w:t>Redemption of Securities for Sinking Fund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right="279" w:firstLine="768"/>
        <w:spacing w:after="0" w:line="252" w:lineRule="auto"/>
        <w:rPr>
          <w:sz w:val="20"/>
          <w:szCs w:val="20"/>
          <w:color w:val="auto"/>
        </w:rPr>
      </w:pPr>
      <w:r>
        <w:rPr>
          <w:rFonts w:ascii="Times New Roman" w:cs="Times New Roman" w:eastAsia="Times New Roman" w:hAnsi="Times New Roman"/>
          <w:sz w:val="14"/>
          <w:szCs w:val="14"/>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9019"/>
          </w:cols>
          <w:pgMar w:left="1440" w:top="240" w:right="1440" w:bottom="1440" w:gutter="0" w:footer="0" w:header="0"/>
        </w:sectPr>
      </w:pPr>
    </w:p>
    <w:bookmarkStart w:id="152" w:name="page153"/>
    <w:bookmarkEnd w:id="152"/>
    <w:p>
      <w:pPr>
        <w:ind w:left="100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IN WITNESS WHEREOF, the parties hereto have caused this Indenture to be duly executed as of the day and year first above written.</w:t>
      </w:r>
    </w:p>
    <w:p>
      <w:pPr>
        <w:spacing w:after="0" w:line="20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ARDELYX, INC.</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13335</wp:posOffset>
            </wp:positionV>
            <wp:extent cx="198501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1985010" cy="635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Its:</w:t>
      </w:r>
    </w:p>
    <w:p>
      <w:pPr>
        <w:spacing w:after="0" w:line="15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[_____], as Trustee</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13335</wp:posOffset>
            </wp:positionV>
            <wp:extent cx="198501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1985010" cy="635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Name:</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Its:</w:t>
      </w:r>
    </w:p>
    <w:p>
      <w:pPr>
        <w:sectPr>
          <w:pgSz w:w="11900" w:h="16838" w:orient="portrait"/>
          <w:cols w:equalWidth="0" w:num="1">
            <w:col w:w="9019"/>
          </w:cols>
          <w:pgMar w:left="1440" w:top="240" w:right="1440" w:bottom="1440" w:gutter="0" w:footer="0" w:header="0"/>
        </w:sectPr>
      </w:pPr>
    </w:p>
    <w:bookmarkStart w:id="153" w:name="page154"/>
    <w:bookmarkEnd w:id="153"/>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19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140 Scott Drive</w:t>
      </w:r>
    </w:p>
    <w:p>
      <w:pPr>
        <w:spacing w:after="0" w:line="2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Menlo Park, California 94025</w:t>
      </w:r>
    </w:p>
    <w:p>
      <w:pPr>
        <w:spacing w:after="0" w:line="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Tel: +1.650.328.4600 Fax: +1.650.463.2600</w:t>
      </w:r>
    </w:p>
    <w:p>
      <w:pPr>
        <w:spacing w:after="0" w:line="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www.lw.com</w:t>
      </w:r>
    </w:p>
    <w:p>
      <w:pPr>
        <w:spacing w:after="0" w:line="96"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3180" w:type="dxa"/>
            <w:vAlign w:val="bottom"/>
          </w:tcPr>
          <w:p>
            <w:pPr>
              <w:spacing w:after="0"/>
              <w:rPr>
                <w:sz w:val="14"/>
                <w:szCs w:val="14"/>
                <w:color w:val="auto"/>
              </w:rPr>
            </w:pPr>
          </w:p>
        </w:tc>
        <w:tc>
          <w:tcPr>
            <w:tcW w:w="3900" w:type="dxa"/>
            <w:vAlign w:val="bottom"/>
            <w:gridSpan w:val="2"/>
          </w:tcPr>
          <w:p>
            <w:pPr>
              <w:ind w:left="2120"/>
              <w:spacing w:after="0"/>
              <w:rPr>
                <w:sz w:val="20"/>
                <w:szCs w:val="20"/>
                <w:color w:val="auto"/>
              </w:rPr>
            </w:pPr>
            <w:r>
              <w:rPr>
                <w:rFonts w:ascii="Times New Roman" w:cs="Times New Roman" w:eastAsia="Times New Roman" w:hAnsi="Times New Roman"/>
                <w:sz w:val="14"/>
                <w:szCs w:val="14"/>
                <w:color w:val="auto"/>
              </w:rPr>
              <w:t>FIRM / AFFILIATE OFFICES</w:t>
            </w:r>
          </w:p>
        </w:tc>
      </w:tr>
      <w:tr>
        <w:trPr>
          <w:trHeight w:val="167"/>
        </w:trPr>
        <w:tc>
          <w:tcPr>
            <w:tcW w:w="3180" w:type="dxa"/>
            <w:vAlign w:val="bottom"/>
          </w:tcPr>
          <w:p>
            <w:pPr>
              <w:spacing w:after="0"/>
              <w:rPr>
                <w:sz w:val="14"/>
                <w:szCs w:val="14"/>
                <w:color w:val="auto"/>
              </w:rPr>
            </w:pPr>
          </w:p>
        </w:tc>
        <w:tc>
          <w:tcPr>
            <w:tcW w:w="28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Austin</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Milan</w:t>
            </w:r>
          </w:p>
        </w:tc>
      </w:tr>
      <w:tr>
        <w:trPr>
          <w:trHeight w:val="167"/>
        </w:trPr>
        <w:tc>
          <w:tcPr>
            <w:tcW w:w="3180" w:type="dxa"/>
            <w:vAlign w:val="bottom"/>
          </w:tcPr>
          <w:p>
            <w:pPr>
              <w:spacing w:after="0"/>
              <w:rPr>
                <w:sz w:val="14"/>
                <w:szCs w:val="14"/>
                <w:color w:val="auto"/>
              </w:rPr>
            </w:pPr>
          </w:p>
        </w:tc>
        <w:tc>
          <w:tcPr>
            <w:tcW w:w="28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Beijing</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Munich</w:t>
            </w:r>
          </w:p>
        </w:tc>
      </w:tr>
      <w:tr>
        <w:trPr>
          <w:trHeight w:val="167"/>
        </w:trPr>
        <w:tc>
          <w:tcPr>
            <w:tcW w:w="3180" w:type="dxa"/>
            <w:vAlign w:val="bottom"/>
          </w:tcPr>
          <w:p>
            <w:pPr>
              <w:spacing w:after="0"/>
              <w:rPr>
                <w:sz w:val="14"/>
                <w:szCs w:val="14"/>
                <w:color w:val="auto"/>
              </w:rPr>
            </w:pPr>
          </w:p>
        </w:tc>
        <w:tc>
          <w:tcPr>
            <w:tcW w:w="28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Boston</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New York</w:t>
            </w:r>
          </w:p>
        </w:tc>
      </w:tr>
      <w:tr>
        <w:trPr>
          <w:trHeight w:val="167"/>
        </w:trPr>
        <w:tc>
          <w:tcPr>
            <w:tcW w:w="3180" w:type="dxa"/>
            <w:vAlign w:val="bottom"/>
          </w:tcPr>
          <w:p>
            <w:pPr>
              <w:spacing w:after="0"/>
              <w:rPr>
                <w:sz w:val="14"/>
                <w:szCs w:val="14"/>
                <w:color w:val="auto"/>
              </w:rPr>
            </w:pPr>
          </w:p>
        </w:tc>
        <w:tc>
          <w:tcPr>
            <w:tcW w:w="28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Brussels</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Orange County</w:t>
            </w:r>
          </w:p>
        </w:tc>
      </w:tr>
      <w:tr>
        <w:trPr>
          <w:trHeight w:val="167"/>
        </w:trPr>
        <w:tc>
          <w:tcPr>
            <w:tcW w:w="3180" w:type="dxa"/>
            <w:vAlign w:val="bottom"/>
          </w:tcPr>
          <w:p>
            <w:pPr>
              <w:spacing w:after="0"/>
              <w:rPr>
                <w:sz w:val="14"/>
                <w:szCs w:val="14"/>
                <w:color w:val="auto"/>
              </w:rPr>
            </w:pPr>
          </w:p>
        </w:tc>
        <w:tc>
          <w:tcPr>
            <w:tcW w:w="28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Chicago</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Paris</w:t>
            </w:r>
          </w:p>
        </w:tc>
      </w:tr>
      <w:tr>
        <w:trPr>
          <w:trHeight w:val="167"/>
        </w:trPr>
        <w:tc>
          <w:tcPr>
            <w:tcW w:w="3180" w:type="dxa"/>
            <w:vAlign w:val="bottom"/>
          </w:tcPr>
          <w:p>
            <w:pPr>
              <w:spacing w:after="0"/>
              <w:rPr>
                <w:sz w:val="14"/>
                <w:szCs w:val="14"/>
                <w:color w:val="auto"/>
              </w:rPr>
            </w:pPr>
          </w:p>
        </w:tc>
        <w:tc>
          <w:tcPr>
            <w:tcW w:w="28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Dubai</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Riyadh</w:t>
            </w:r>
          </w:p>
        </w:tc>
      </w:tr>
      <w:tr>
        <w:trPr>
          <w:trHeight w:val="167"/>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November 3, 2025</w:t>
            </w:r>
          </w:p>
        </w:tc>
        <w:tc>
          <w:tcPr>
            <w:tcW w:w="28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Düsseldorf</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San Diego</w:t>
            </w:r>
          </w:p>
        </w:tc>
      </w:tr>
      <w:tr>
        <w:trPr>
          <w:trHeight w:val="167"/>
        </w:trPr>
        <w:tc>
          <w:tcPr>
            <w:tcW w:w="3180" w:type="dxa"/>
            <w:vAlign w:val="bottom"/>
          </w:tcPr>
          <w:p>
            <w:pPr>
              <w:spacing w:after="0"/>
              <w:rPr>
                <w:sz w:val="14"/>
                <w:szCs w:val="14"/>
                <w:color w:val="auto"/>
              </w:rPr>
            </w:pPr>
          </w:p>
        </w:tc>
        <w:tc>
          <w:tcPr>
            <w:tcW w:w="28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Frankfurt</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San Francisco</w:t>
            </w:r>
          </w:p>
        </w:tc>
      </w:tr>
      <w:tr>
        <w:trPr>
          <w:trHeight w:val="167"/>
        </w:trPr>
        <w:tc>
          <w:tcPr>
            <w:tcW w:w="3180" w:type="dxa"/>
            <w:vAlign w:val="bottom"/>
          </w:tcPr>
          <w:p>
            <w:pPr>
              <w:spacing w:after="0"/>
              <w:rPr>
                <w:sz w:val="14"/>
                <w:szCs w:val="14"/>
                <w:color w:val="auto"/>
              </w:rPr>
            </w:pPr>
          </w:p>
        </w:tc>
        <w:tc>
          <w:tcPr>
            <w:tcW w:w="28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Hamburg</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Seoul</w:t>
            </w:r>
          </w:p>
        </w:tc>
      </w:tr>
      <w:tr>
        <w:trPr>
          <w:trHeight w:val="167"/>
        </w:trPr>
        <w:tc>
          <w:tcPr>
            <w:tcW w:w="3180" w:type="dxa"/>
            <w:vAlign w:val="bottom"/>
          </w:tcPr>
          <w:p>
            <w:pPr>
              <w:spacing w:after="0"/>
              <w:rPr>
                <w:sz w:val="14"/>
                <w:szCs w:val="14"/>
                <w:color w:val="auto"/>
              </w:rPr>
            </w:pPr>
          </w:p>
        </w:tc>
        <w:tc>
          <w:tcPr>
            <w:tcW w:w="28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Hong Kong</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Silicon Valley</w:t>
            </w:r>
          </w:p>
        </w:tc>
      </w:tr>
      <w:tr>
        <w:trPr>
          <w:trHeight w:val="167"/>
        </w:trPr>
        <w:tc>
          <w:tcPr>
            <w:tcW w:w="3180" w:type="dxa"/>
            <w:vAlign w:val="bottom"/>
          </w:tcPr>
          <w:p>
            <w:pPr>
              <w:spacing w:after="0"/>
              <w:rPr>
                <w:sz w:val="14"/>
                <w:szCs w:val="14"/>
                <w:color w:val="auto"/>
              </w:rPr>
            </w:pPr>
          </w:p>
        </w:tc>
        <w:tc>
          <w:tcPr>
            <w:tcW w:w="28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Houston</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Singapore</w:t>
            </w:r>
          </w:p>
        </w:tc>
      </w:tr>
      <w:tr>
        <w:trPr>
          <w:trHeight w:val="167"/>
        </w:trPr>
        <w:tc>
          <w:tcPr>
            <w:tcW w:w="3180" w:type="dxa"/>
            <w:vAlign w:val="bottom"/>
          </w:tcPr>
          <w:p>
            <w:pPr>
              <w:spacing w:after="0"/>
              <w:rPr>
                <w:sz w:val="14"/>
                <w:szCs w:val="14"/>
                <w:color w:val="auto"/>
              </w:rPr>
            </w:pPr>
          </w:p>
        </w:tc>
        <w:tc>
          <w:tcPr>
            <w:tcW w:w="28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London</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Tel Aviv</w:t>
            </w:r>
          </w:p>
        </w:tc>
      </w:tr>
      <w:tr>
        <w:trPr>
          <w:trHeight w:val="167"/>
        </w:trPr>
        <w:tc>
          <w:tcPr>
            <w:tcW w:w="3180" w:type="dxa"/>
            <w:vAlign w:val="bottom"/>
          </w:tcPr>
          <w:p>
            <w:pPr>
              <w:spacing w:after="0"/>
              <w:rPr>
                <w:sz w:val="14"/>
                <w:szCs w:val="14"/>
                <w:color w:val="auto"/>
              </w:rPr>
            </w:pPr>
          </w:p>
        </w:tc>
        <w:tc>
          <w:tcPr>
            <w:tcW w:w="28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Los Angeles</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Tokyo</w:t>
            </w:r>
          </w:p>
        </w:tc>
      </w:tr>
      <w:tr>
        <w:trPr>
          <w:trHeight w:val="182"/>
        </w:trPr>
        <w:tc>
          <w:tcPr>
            <w:tcW w:w="3180" w:type="dxa"/>
            <w:vAlign w:val="bottom"/>
          </w:tcPr>
          <w:p>
            <w:pPr>
              <w:spacing w:after="0"/>
              <w:rPr>
                <w:sz w:val="15"/>
                <w:szCs w:val="15"/>
                <w:color w:val="auto"/>
              </w:rPr>
            </w:pPr>
          </w:p>
        </w:tc>
        <w:tc>
          <w:tcPr>
            <w:tcW w:w="28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Madrid</w:t>
            </w:r>
          </w:p>
        </w:tc>
        <w:tc>
          <w:tcPr>
            <w:tcW w:w="104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4"/>
              </w:rPr>
              <w:t>Washington, D.C.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-1592580</wp:posOffset>
            </wp:positionV>
            <wp:extent cx="1852295" cy="165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1852295" cy="165735"/>
                    </a:xfrm>
                    <a:prstGeom prst="rect">
                      <a:avLst/>
                    </a:prstGeom>
                    <a:noFill/>
                  </pic:spPr>
                </pic:pic>
              </a:graphicData>
            </a:graphic>
          </wp:anchor>
        </w:drawing>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Ardelyx, Inc.</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400 Fifth Avenue, Suite 210</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Waltham, MA 02451</w:t>
      </w:r>
    </w:p>
    <w:p>
      <w:pPr>
        <w:spacing w:after="0" w:line="180" w:lineRule="exact"/>
        <w:rPr>
          <w:sz w:val="20"/>
          <w:szCs w:val="20"/>
          <w:color w:val="auto"/>
        </w:rPr>
      </w:pPr>
    </w:p>
    <w:p>
      <w:pPr>
        <w:ind w:left="240"/>
        <w:spacing w:after="0"/>
        <w:tabs>
          <w:tab w:leader="none" w:pos="56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3"/>
          <w:szCs w:val="13"/>
          <w:u w:val="single" w:color="auto"/>
          <w:color w:val="auto"/>
        </w:rPr>
        <w:t>Registration Statement on Form S-3</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To the addressee set forth above:</w:t>
      </w:r>
    </w:p>
    <w:p>
      <w:pPr>
        <w:spacing w:after="0" w:line="88" w:lineRule="exact"/>
        <w:rPr>
          <w:sz w:val="20"/>
          <w:szCs w:val="20"/>
          <w:color w:val="auto"/>
        </w:rPr>
      </w:pPr>
    </w:p>
    <w:p>
      <w:pPr>
        <w:ind w:left="240" w:right="319" w:firstLine="341"/>
        <w:spacing w:after="0" w:line="274" w:lineRule="auto"/>
        <w:rPr>
          <w:sz w:val="20"/>
          <w:szCs w:val="20"/>
          <w:color w:val="auto"/>
        </w:rPr>
      </w:pPr>
      <w:r>
        <w:rPr>
          <w:rFonts w:ascii="Times New Roman" w:cs="Times New Roman" w:eastAsia="Times New Roman" w:hAnsi="Times New Roman"/>
          <w:sz w:val="13"/>
          <w:szCs w:val="13"/>
          <w:color w:val="auto"/>
        </w:rPr>
        <w:t>We have acted as special counsel to Ardelyx, Inc., a Delaware corporation (the “</w:t>
      </w:r>
      <w:r>
        <w:rPr>
          <w:rFonts w:ascii="Times New Roman" w:cs="Times New Roman" w:eastAsia="Times New Roman" w:hAnsi="Times New Roman"/>
          <w:sz w:val="13"/>
          <w:szCs w:val="13"/>
          <w:b w:val="1"/>
          <w:bCs w:val="1"/>
          <w:i w:val="1"/>
          <w:iCs w:val="1"/>
          <w:color w:val="auto"/>
        </w:rPr>
        <w:t>Company</w:t>
      </w:r>
      <w:r>
        <w:rPr>
          <w:rFonts w:ascii="Times New Roman" w:cs="Times New Roman" w:eastAsia="Times New Roman" w:hAnsi="Times New Roman"/>
          <w:sz w:val="13"/>
          <w:szCs w:val="13"/>
          <w:color w:val="auto"/>
        </w:rPr>
        <w:t>”), in connection with its filing on the date hereof with the Securities and Exchange Commission (the “</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of a registration statement on Form S-3 (as amended, the “</w:t>
      </w:r>
      <w:r>
        <w:rPr>
          <w:rFonts w:ascii="Times New Roman" w:cs="Times New Roman" w:eastAsia="Times New Roman" w:hAnsi="Times New Roman"/>
          <w:sz w:val="13"/>
          <w:szCs w:val="13"/>
          <w:b w:val="1"/>
          <w:bCs w:val="1"/>
          <w:i w:val="1"/>
          <w:iCs w:val="1"/>
          <w:color w:val="auto"/>
        </w:rPr>
        <w:t>Registration Statement</w:t>
      </w:r>
      <w:r>
        <w:rPr>
          <w:rFonts w:ascii="Times New Roman" w:cs="Times New Roman" w:eastAsia="Times New Roman" w:hAnsi="Times New Roman"/>
          <w:sz w:val="13"/>
          <w:szCs w:val="13"/>
          <w:color w:val="auto"/>
        </w:rPr>
        <w:t>”), including a base prospectus (the “</w:t>
      </w:r>
      <w:r>
        <w:rPr>
          <w:rFonts w:ascii="Times New Roman" w:cs="Times New Roman" w:eastAsia="Times New Roman" w:hAnsi="Times New Roman"/>
          <w:sz w:val="13"/>
          <w:szCs w:val="13"/>
          <w:b w:val="1"/>
          <w:bCs w:val="1"/>
          <w:i w:val="1"/>
          <w:iCs w:val="1"/>
          <w:color w:val="auto"/>
        </w:rPr>
        <w:t>Base Prospectus</w:t>
      </w:r>
      <w:r>
        <w:rPr>
          <w:rFonts w:ascii="Times New Roman" w:cs="Times New Roman" w:eastAsia="Times New Roman" w:hAnsi="Times New Roman"/>
          <w:sz w:val="13"/>
          <w:szCs w:val="13"/>
          <w:color w:val="auto"/>
        </w:rPr>
        <w:t>”), which provides that it will be supplemented by one or more prospectus supplements (each such prospectus supplement, together with the Base Prospectus, a “</w:t>
      </w:r>
      <w:r>
        <w:rPr>
          <w:rFonts w:ascii="Times New Roman" w:cs="Times New Roman" w:eastAsia="Times New Roman" w:hAnsi="Times New Roman"/>
          <w:sz w:val="13"/>
          <w:szCs w:val="13"/>
          <w:b w:val="1"/>
          <w:bCs w:val="1"/>
          <w:i w:val="1"/>
          <w:iCs w:val="1"/>
          <w:color w:val="auto"/>
        </w:rPr>
        <w:t>Prospectus</w:t>
      </w:r>
      <w:r>
        <w:rPr>
          <w:rFonts w:ascii="Times New Roman" w:cs="Times New Roman" w:eastAsia="Times New Roman" w:hAnsi="Times New Roman"/>
          <w:sz w:val="13"/>
          <w:szCs w:val="13"/>
          <w:color w:val="auto"/>
        </w:rPr>
        <w:t>”), under the Securities Act of 1933, as amended (the “</w:t>
      </w:r>
      <w:r>
        <w:rPr>
          <w:rFonts w:ascii="Times New Roman" w:cs="Times New Roman" w:eastAsia="Times New Roman" w:hAnsi="Times New Roman"/>
          <w:sz w:val="13"/>
          <w:szCs w:val="13"/>
          <w:b w:val="1"/>
          <w:bCs w:val="1"/>
          <w:i w:val="1"/>
          <w:iCs w:val="1"/>
          <w:color w:val="auto"/>
        </w:rPr>
        <w:t>Act</w:t>
      </w:r>
      <w:r>
        <w:rPr>
          <w:rFonts w:ascii="Times New Roman" w:cs="Times New Roman" w:eastAsia="Times New Roman" w:hAnsi="Times New Roman"/>
          <w:sz w:val="13"/>
          <w:szCs w:val="13"/>
          <w:color w:val="auto"/>
        </w:rPr>
        <w:t>”), relating to the registration for issue and sale by the Company of (i) shares of the Company’s common stock, $0.0001 par value per share (the “</w:t>
      </w:r>
      <w:r>
        <w:rPr>
          <w:rFonts w:ascii="Times New Roman" w:cs="Times New Roman" w:eastAsia="Times New Roman" w:hAnsi="Times New Roman"/>
          <w:sz w:val="13"/>
          <w:szCs w:val="13"/>
          <w:b w:val="1"/>
          <w:bCs w:val="1"/>
          <w:i w:val="1"/>
          <w:iCs w:val="1"/>
          <w:color w:val="auto"/>
        </w:rPr>
        <w:t>Common Stock</w:t>
      </w:r>
      <w:r>
        <w:rPr>
          <w:rFonts w:ascii="Times New Roman" w:cs="Times New Roman" w:eastAsia="Times New Roman" w:hAnsi="Times New Roman"/>
          <w:sz w:val="13"/>
          <w:szCs w:val="13"/>
          <w:color w:val="auto"/>
        </w:rPr>
        <w:t>”), (ii) shares of one or more series of the Company’s preferred stock, $0.0001 par value per share (the “</w:t>
      </w:r>
      <w:r>
        <w:rPr>
          <w:rFonts w:ascii="Times New Roman" w:cs="Times New Roman" w:eastAsia="Times New Roman" w:hAnsi="Times New Roman"/>
          <w:sz w:val="13"/>
          <w:szCs w:val="13"/>
          <w:b w:val="1"/>
          <w:bCs w:val="1"/>
          <w:i w:val="1"/>
          <w:iCs w:val="1"/>
          <w:color w:val="auto"/>
        </w:rPr>
        <w:t>Preferred Stock</w:t>
      </w:r>
      <w:r>
        <w:rPr>
          <w:rFonts w:ascii="Times New Roman" w:cs="Times New Roman" w:eastAsia="Times New Roman" w:hAnsi="Times New Roman"/>
          <w:sz w:val="13"/>
          <w:szCs w:val="13"/>
          <w:color w:val="auto"/>
        </w:rPr>
        <w:t>”), (iii) one or more series of the Company’s debt securities (collectively, “</w:t>
      </w:r>
      <w:r>
        <w:rPr>
          <w:rFonts w:ascii="Times New Roman" w:cs="Times New Roman" w:eastAsia="Times New Roman" w:hAnsi="Times New Roman"/>
          <w:sz w:val="13"/>
          <w:szCs w:val="13"/>
          <w:b w:val="1"/>
          <w:bCs w:val="1"/>
          <w:i w:val="1"/>
          <w:iCs w:val="1"/>
          <w:color w:val="auto"/>
        </w:rPr>
        <w:t>Debt Securities</w:t>
      </w:r>
      <w:r>
        <w:rPr>
          <w:rFonts w:ascii="Times New Roman" w:cs="Times New Roman" w:eastAsia="Times New Roman" w:hAnsi="Times New Roman"/>
          <w:sz w:val="13"/>
          <w:szCs w:val="13"/>
          <w:color w:val="auto"/>
        </w:rPr>
        <w:t>”) to be issued under an indenture to be entered into between the Company, as issuer, and a third party to be identified therein as trustee (a form of which is included as Exhibit 4.2 to the Registration Statement) and one or more board resolutions, supplements thereto or officer’s certificates thereunder (such indenture, together with the applicable board resolution, supplement or officer’s certificate pertaining to the applicable series of Debt Securities, the “</w:t>
      </w:r>
      <w:r>
        <w:rPr>
          <w:rFonts w:ascii="Times New Roman" w:cs="Times New Roman" w:eastAsia="Times New Roman" w:hAnsi="Times New Roman"/>
          <w:sz w:val="13"/>
          <w:szCs w:val="13"/>
          <w:b w:val="1"/>
          <w:bCs w:val="1"/>
          <w:i w:val="1"/>
          <w:iCs w:val="1"/>
          <w:color w:val="auto"/>
        </w:rPr>
        <w:t>Applicable Indenture</w:t>
      </w:r>
      <w:r>
        <w:rPr>
          <w:rFonts w:ascii="Times New Roman" w:cs="Times New Roman" w:eastAsia="Times New Roman" w:hAnsi="Times New Roman"/>
          <w:sz w:val="13"/>
          <w:szCs w:val="13"/>
          <w:color w:val="auto"/>
        </w:rPr>
        <w:t>”), (iv) warrants (the “</w:t>
      </w:r>
      <w:r>
        <w:rPr>
          <w:rFonts w:ascii="Times New Roman" w:cs="Times New Roman" w:eastAsia="Times New Roman" w:hAnsi="Times New Roman"/>
          <w:sz w:val="13"/>
          <w:szCs w:val="13"/>
          <w:b w:val="1"/>
          <w:bCs w:val="1"/>
          <w:i w:val="1"/>
          <w:iCs w:val="1"/>
          <w:color w:val="auto"/>
        </w:rPr>
        <w:t>Warrants</w:t>
      </w:r>
      <w:r>
        <w:rPr>
          <w:rFonts w:ascii="Times New Roman" w:cs="Times New Roman" w:eastAsia="Times New Roman" w:hAnsi="Times New Roman"/>
          <w:sz w:val="13"/>
          <w:szCs w:val="13"/>
          <w:color w:val="auto"/>
        </w:rPr>
        <w:t>”), and (v) units (the “</w:t>
      </w:r>
      <w:r>
        <w:rPr>
          <w:rFonts w:ascii="Times New Roman" w:cs="Times New Roman" w:eastAsia="Times New Roman" w:hAnsi="Times New Roman"/>
          <w:sz w:val="13"/>
          <w:szCs w:val="13"/>
          <w:b w:val="1"/>
          <w:bCs w:val="1"/>
          <w:i w:val="1"/>
          <w:iCs w:val="1"/>
          <w:color w:val="auto"/>
        </w:rPr>
        <w:t>Units</w:t>
      </w:r>
      <w:r>
        <w:rPr>
          <w:rFonts w:ascii="Times New Roman" w:cs="Times New Roman" w:eastAsia="Times New Roman" w:hAnsi="Times New Roman"/>
          <w:sz w:val="13"/>
          <w:szCs w:val="13"/>
          <w:color w:val="auto"/>
        </w:rPr>
        <w:t>”). The Common Stock, Preferred Stock, Debt Securities, Warrants, and Units are referred to herein collectively as the “</w:t>
      </w:r>
      <w:r>
        <w:rPr>
          <w:rFonts w:ascii="Times New Roman" w:cs="Times New Roman" w:eastAsia="Times New Roman" w:hAnsi="Times New Roman"/>
          <w:sz w:val="13"/>
          <w:szCs w:val="13"/>
          <w:b w:val="1"/>
          <w:bCs w:val="1"/>
          <w:i w:val="1"/>
          <w:iCs w:val="1"/>
          <w:color w:val="auto"/>
        </w:rPr>
        <w:t>Securities</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123" w:right="1440" w:bottom="1440" w:gutter="0" w:footer="0" w:header="0"/>
        </w:sectPr>
      </w:pPr>
    </w:p>
    <w:bookmarkStart w:id="154" w:name="page155"/>
    <w:bookmarkEnd w:id="154"/>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November 3, 2025</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123190</wp:posOffset>
            </wp:positionV>
            <wp:extent cx="1075690" cy="793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1075690" cy="79375"/>
                    </a:xfrm>
                    <a:prstGeom prst="rect">
                      <a:avLst/>
                    </a:prstGeom>
                    <a:noFill/>
                  </pic:spPr>
                </pic:pic>
              </a:graphicData>
            </a:graphic>
          </wp:anchor>
        </w:drawing>
      </w:r>
    </w:p>
    <w:p>
      <w:pPr>
        <w:spacing w:after="0" w:line="398" w:lineRule="exact"/>
        <w:rPr>
          <w:sz w:val="20"/>
          <w:szCs w:val="20"/>
          <w:color w:val="auto"/>
        </w:rPr>
      </w:pPr>
    </w:p>
    <w:p>
      <w:pPr>
        <w:ind w:left="240" w:right="399" w:firstLine="768"/>
        <w:spacing w:after="0" w:line="282" w:lineRule="auto"/>
        <w:rPr>
          <w:sz w:val="20"/>
          <w:szCs w:val="20"/>
          <w:color w:val="auto"/>
        </w:rPr>
      </w:pPr>
      <w:r>
        <w:rPr>
          <w:rFonts w:ascii="Times New Roman" w:cs="Times New Roman" w:eastAsia="Times New Roman" w:hAnsi="Times New Roman"/>
          <w:sz w:val="13"/>
          <w:szCs w:val="13"/>
          <w:color w:val="auto"/>
        </w:rPr>
        <w:t>We also have acted as special counsel to the Company in connection with the sale through Jefferies LLC as the sales agent (the “</w:t>
      </w:r>
      <w:r>
        <w:rPr>
          <w:rFonts w:ascii="Times New Roman" w:cs="Times New Roman" w:eastAsia="Times New Roman" w:hAnsi="Times New Roman"/>
          <w:sz w:val="13"/>
          <w:szCs w:val="13"/>
          <w:b w:val="1"/>
          <w:bCs w:val="1"/>
          <w:i w:val="1"/>
          <w:iCs w:val="1"/>
          <w:color w:val="auto"/>
        </w:rPr>
        <w:t>Sales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Agent</w:t>
      </w:r>
      <w:r>
        <w:rPr>
          <w:rFonts w:ascii="Times New Roman" w:cs="Times New Roman" w:eastAsia="Times New Roman" w:hAnsi="Times New Roman"/>
          <w:sz w:val="13"/>
          <w:szCs w:val="13"/>
          <w:color w:val="auto"/>
        </w:rPr>
        <w:t>”) from time to time by the Company of shares of Common Stock (the “</w:t>
      </w:r>
      <w:r>
        <w:rPr>
          <w:rFonts w:ascii="Times New Roman" w:cs="Times New Roman" w:eastAsia="Times New Roman" w:hAnsi="Times New Roman"/>
          <w:sz w:val="13"/>
          <w:szCs w:val="13"/>
          <w:b w:val="1"/>
          <w:bCs w:val="1"/>
          <w:i w:val="1"/>
          <w:iCs w:val="1"/>
          <w:color w:val="auto"/>
        </w:rPr>
        <w:t>Sales Agreement Shares</w:t>
      </w:r>
      <w:r>
        <w:rPr>
          <w:rFonts w:ascii="Times New Roman" w:cs="Times New Roman" w:eastAsia="Times New Roman" w:hAnsi="Times New Roman"/>
          <w:sz w:val="13"/>
          <w:szCs w:val="13"/>
          <w:color w:val="auto"/>
        </w:rPr>
        <w:t>”) having an aggregate offering price of up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$100,000,000 pursuant to the Registration Statement, the Base Prospectus, and the related prospectus supplement for the sale of the Sales Agreement Shares included in the Registration Statement (the Base Prospectus and such prospectus supplement, collectively, the “</w:t>
      </w:r>
      <w:r>
        <w:rPr>
          <w:rFonts w:ascii="Times New Roman" w:cs="Times New Roman" w:eastAsia="Times New Roman" w:hAnsi="Times New Roman"/>
          <w:sz w:val="13"/>
          <w:szCs w:val="13"/>
          <w:b w:val="1"/>
          <w:bCs w:val="1"/>
          <w:i w:val="1"/>
          <w:iCs w:val="1"/>
          <w:color w:val="auto"/>
        </w:rPr>
        <w:t>Sales Agreement Prospectus</w:t>
      </w:r>
      <w:r>
        <w:rPr>
          <w:rFonts w:ascii="Times New Roman" w:cs="Times New Roman" w:eastAsia="Times New Roman" w:hAnsi="Times New Roman"/>
          <w:sz w:val="13"/>
          <w:szCs w:val="13"/>
          <w:color w:val="auto"/>
        </w:rPr>
        <w:t>”), and that certain Open Market Sale Agreement dated as of November 3, 2025 between the Sales Agent and the Company (the “</w:t>
      </w:r>
      <w:r>
        <w:rPr>
          <w:rFonts w:ascii="Times New Roman" w:cs="Times New Roman" w:eastAsia="Times New Roman" w:hAnsi="Times New Roman"/>
          <w:sz w:val="13"/>
          <w:szCs w:val="13"/>
          <w:b w:val="1"/>
          <w:bCs w:val="1"/>
          <w:i w:val="1"/>
          <w:iCs w:val="1"/>
          <w:color w:val="auto"/>
        </w:rPr>
        <w:t>Sales Agreement</w:t>
      </w:r>
      <w:r>
        <w:rPr>
          <w:rFonts w:ascii="Times New Roman" w:cs="Times New Roman" w:eastAsia="Times New Roman" w:hAnsi="Times New Roman"/>
          <w:sz w:val="13"/>
          <w:szCs w:val="13"/>
          <w:color w:val="auto"/>
        </w:rPr>
        <w:t>”).</w:t>
      </w:r>
    </w:p>
    <w:p>
      <w:pPr>
        <w:spacing w:after="0" w:line="127" w:lineRule="exact"/>
        <w:rPr>
          <w:sz w:val="20"/>
          <w:szCs w:val="20"/>
          <w:color w:val="auto"/>
        </w:rPr>
      </w:pPr>
    </w:p>
    <w:p>
      <w:pPr>
        <w:ind w:left="240" w:right="339" w:firstLine="768"/>
        <w:spacing w:after="0" w:line="265" w:lineRule="auto"/>
        <w:rPr>
          <w:sz w:val="20"/>
          <w:szCs w:val="20"/>
          <w:color w:val="auto"/>
        </w:rPr>
      </w:pPr>
      <w:r>
        <w:rPr>
          <w:rFonts w:ascii="Times New Roman" w:cs="Times New Roman" w:eastAsia="Times New Roman" w:hAnsi="Times New Roman"/>
          <w:sz w:val="14"/>
          <w:szCs w:val="14"/>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or the Sales Agreement Prospectus, other than as expressly stated herein with respect to the issuance of the Securities, including the issuance of the Sales Agreement Shares.</w:t>
      </w:r>
    </w:p>
    <w:p>
      <w:pPr>
        <w:spacing w:after="0" w:line="136" w:lineRule="exact"/>
        <w:rPr>
          <w:sz w:val="20"/>
          <w:szCs w:val="20"/>
          <w:color w:val="auto"/>
        </w:rPr>
      </w:pPr>
    </w:p>
    <w:p>
      <w:pPr>
        <w:ind w:left="240" w:right="279" w:firstLine="768"/>
        <w:spacing w:after="0" w:line="255" w:lineRule="auto"/>
        <w:rPr>
          <w:sz w:val="20"/>
          <w:szCs w:val="20"/>
          <w:color w:val="auto"/>
        </w:rPr>
      </w:pPr>
      <w:r>
        <w:rPr>
          <w:rFonts w:ascii="Times New Roman" w:cs="Times New Roman" w:eastAsia="Times New Roman" w:hAnsi="Times New Roman"/>
          <w:sz w:val="14"/>
          <w:szCs w:val="14"/>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Times New Roman" w:cs="Times New Roman" w:eastAsia="Times New Roman" w:hAnsi="Times New Roman"/>
          <w:sz w:val="14"/>
          <w:szCs w:val="14"/>
          <w:b w:val="1"/>
          <w:bCs w:val="1"/>
          <w:i w:val="1"/>
          <w:iCs w:val="1"/>
          <w:color w:val="auto"/>
        </w:rPr>
        <w:t>DGCL</w:t>
      </w:r>
      <w:r>
        <w:rPr>
          <w:rFonts w:ascii="Times New Roman" w:cs="Times New Roman" w:eastAsia="Times New Roman" w:hAnsi="Times New Roman"/>
          <w:sz w:val="14"/>
          <w:szCs w:val="14"/>
          <w:color w:val="auto"/>
        </w:rPr>
        <w:t>”), and with respect to the opinions set forth in paragraphs 3 through 5 below, the internal laws of the State of New York, and we express no opinion with respect to the applicability thereto, or the effect thereon, of the laws of any other jurisdiction or, in the case of Delaware, any other laws, or as to any matters of municipal law or the laws of any local agencies within any state.</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Subject to the foregoing and the other matters set forth herein, it is our opinion that, as of the date hereof:</w:t>
      </w:r>
    </w:p>
    <w:p>
      <w:pPr>
        <w:spacing w:after="0" w:line="100" w:lineRule="exact"/>
        <w:rPr>
          <w:sz w:val="20"/>
          <w:szCs w:val="20"/>
          <w:color w:val="auto"/>
        </w:rPr>
      </w:pPr>
    </w:p>
    <w:p>
      <w:pPr>
        <w:ind w:left="1000" w:right="359" w:hanging="427"/>
        <w:spacing w:after="0" w:line="276" w:lineRule="auto"/>
        <w:tabs>
          <w:tab w:leader="none" w:pos="1000"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 an issuance of Common Stock has been duly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w:t>
      </w:r>
    </w:p>
    <w:p>
      <w:pPr>
        <w:ind w:left="1000" w:right="399"/>
        <w:spacing w:after="0" w:line="25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(a) available under the certificate of incorporation of the Company, and (b) authorized by the board of directors of the Company in connection with the offering contemplated by the applicable Prospectus, such shares of Common Stock will be validly issued, fully paid, and nonassessable. In rendering the foregoing opinion, we have assumed that the Company will comply with all applicable notice requirements regarding uncertificated shares provided in the DGCL.</w:t>
      </w:r>
    </w:p>
    <w:p>
      <w:pPr>
        <w:spacing w:after="0" w:line="72" w:lineRule="exact"/>
        <w:rPr>
          <w:rFonts w:ascii="Times New Roman" w:cs="Times New Roman" w:eastAsia="Times New Roman" w:hAnsi="Times New Roman"/>
          <w:sz w:val="13"/>
          <w:szCs w:val="13"/>
          <w:color w:val="auto"/>
        </w:rPr>
      </w:pPr>
    </w:p>
    <w:p>
      <w:pPr>
        <w:ind w:left="1000" w:right="279" w:hanging="427"/>
        <w:spacing w:after="0" w:line="253" w:lineRule="auto"/>
        <w:tabs>
          <w:tab w:leader="none" w:pos="100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a series of Preferred Stock has been duly established in accordance with the terms of the certificate of incorporation of the Company and authorized by all necessary corporate action of the Company, upon issuance, delivery, and payment therefor in an amount not less than the par value thereof in the manner contemplated by the applicable Prospectus and by such corporate action, and in total amounts and numbers of shares that do not exceed the respective total amounts and numbers of shares (i) available under the certificate of incorporation of the Company, and (ii) authorized by the board of directors of the Company in connection with the offering contemplated by the applicable Prospectus, such shares of such series of Preferred Stock will be validly issued, fully paid, and nonassessable. In rendering the foregoing opinion, we have assumed that the Company will comply with all applicable notice requirements regarding uncertificated shares provided in the DGCL.</w:t>
      </w:r>
    </w:p>
    <w:p>
      <w:pPr>
        <w:sectPr>
          <w:pgSz w:w="11900" w:h="16838" w:orient="portrait"/>
          <w:cols w:equalWidth="0" w:num="1">
            <w:col w:w="9019"/>
          </w:cols>
          <w:pgMar w:left="1440" w:top="238" w:right="1440" w:bottom="1440" w:gutter="0" w:footer="0" w:header="0"/>
        </w:sectPr>
      </w:pPr>
    </w:p>
    <w:bookmarkStart w:id="155" w:name="page156"/>
    <w:bookmarkEnd w:id="155"/>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November 3, 2025</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123190</wp:posOffset>
            </wp:positionV>
            <wp:extent cx="1089025" cy="793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1089025" cy="79375"/>
                    </a:xfrm>
                    <a:prstGeom prst="rect">
                      <a:avLst/>
                    </a:prstGeom>
                    <a:noFill/>
                  </pic:spPr>
                </pic:pic>
              </a:graphicData>
            </a:graphic>
          </wp:anchor>
        </w:drawing>
      </w:r>
    </w:p>
    <w:p>
      <w:pPr>
        <w:spacing w:after="0" w:line="400" w:lineRule="exact"/>
        <w:rPr>
          <w:sz w:val="20"/>
          <w:szCs w:val="20"/>
          <w:color w:val="auto"/>
        </w:rPr>
      </w:pPr>
    </w:p>
    <w:p>
      <w:pPr>
        <w:ind w:left="1000" w:right="319" w:hanging="427"/>
        <w:spacing w:after="0" w:line="255" w:lineRule="auto"/>
        <w:tabs>
          <w:tab w:leader="none" w:pos="10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Applicable Indenture has been duly authorized, executed, and delivered by all necessary corporate action of the Company, and when the specific terms of a particular series of Debt Securities have been duly established in accordance with the terms of the Applicable Indenture and authorized by all necessary corporate action of the Company, and such Debt Securities have been duly executed, authenticated, issued, and delivered against payment therefor in accordance with the terms of the Applicable Indenture and in the manner contemplated by the applicable Prospectus and by such corporate action, such Debt Securities will be the legally valid and binding obligations of the Company, enforceable against the Company in accordance with their terms.</w:t>
      </w:r>
    </w:p>
    <w:p>
      <w:pPr>
        <w:spacing w:after="0" w:line="71" w:lineRule="exact"/>
        <w:rPr>
          <w:rFonts w:ascii="Times New Roman" w:cs="Times New Roman" w:eastAsia="Times New Roman" w:hAnsi="Times New Roman"/>
          <w:sz w:val="14"/>
          <w:szCs w:val="14"/>
          <w:color w:val="auto"/>
        </w:rPr>
      </w:pPr>
    </w:p>
    <w:p>
      <w:pPr>
        <w:ind w:left="1000" w:right="319" w:hanging="427"/>
        <w:spacing w:after="0" w:line="254" w:lineRule="auto"/>
        <w:tabs>
          <w:tab w:leader="none" w:pos="10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w:t>
      </w:r>
    </w:p>
    <w:p>
      <w:pPr>
        <w:spacing w:after="0" w:line="72" w:lineRule="exact"/>
        <w:rPr>
          <w:rFonts w:ascii="Times New Roman" w:cs="Times New Roman" w:eastAsia="Times New Roman" w:hAnsi="Times New Roman"/>
          <w:sz w:val="14"/>
          <w:szCs w:val="14"/>
          <w:color w:val="auto"/>
        </w:rPr>
      </w:pPr>
    </w:p>
    <w:p>
      <w:pPr>
        <w:ind w:left="1000" w:right="279" w:hanging="427"/>
        <w:spacing w:after="0" w:line="254" w:lineRule="auto"/>
        <w:tabs>
          <w:tab w:leader="none" w:pos="100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When the applicable unit agreement has been duly authorized, executed, and delivered by all necessary corporate action of the Company, and when the specific terms of a particular issuance of Units have been duly authorized in accordance with the terms of the applicable unit agreement and authorized by all necessary corporate action of the Company, and such Units have been duly executed, authenticated, issued, and delivered against payment therefor in accordance with the terms of the applicable unit agreement and in the manner contemplated by the applicable Prospectus and by such corporate action (assuming the securities issuable upon exercise of such Units have been duly authorized and reserved for issuance by all necessary corporate action), such Units will be the legally valid and binding obligations of the Company, enforceable against the Company in accordance with their terms.</w:t>
      </w:r>
    </w:p>
    <w:p>
      <w:pPr>
        <w:spacing w:after="0" w:line="72" w:lineRule="exact"/>
        <w:rPr>
          <w:rFonts w:ascii="Times New Roman" w:cs="Times New Roman" w:eastAsia="Times New Roman" w:hAnsi="Times New Roman"/>
          <w:sz w:val="14"/>
          <w:szCs w:val="14"/>
          <w:color w:val="auto"/>
        </w:rPr>
      </w:pPr>
    </w:p>
    <w:p>
      <w:pPr>
        <w:ind w:left="1000" w:right="259" w:hanging="427"/>
        <w:spacing w:after="0" w:line="279" w:lineRule="auto"/>
        <w:tabs>
          <w:tab w:leader="none" w:pos="1000"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completion of all Corporate Proceedings (as defined below) relating to the Sales Agreement Shares, when the Sales Agreement Shares shall have been duly registered on the books of the transfer agent and registrar therefor in the name or on behalf of the purchasers, and have been issued by the Company against payment therefor (not less than par value) in accordance with the Corporate Proceedings and the terms of the Sales Agreement, the issuance and sale of the Sales Agreement Shares will have been duly authorized by all necessary corporate action of the Company, and the Sales Agreement Shares will be validly issued, fully paid, and nonassessable. In rendering the foregoing opinion, we have assumed that (i) the Company will comply with all applicable notice requirements regarding uncertificated</w:t>
      </w:r>
    </w:p>
    <w:p>
      <w:pPr>
        <w:sectPr>
          <w:pgSz w:w="11900" w:h="16838" w:orient="portrait"/>
          <w:cols w:equalWidth="0" w:num="1">
            <w:col w:w="9019"/>
          </w:cols>
          <w:pgMar w:left="1440" w:top="238" w:right="1440" w:bottom="1440" w:gutter="0" w:footer="0" w:header="0"/>
        </w:sectPr>
      </w:pPr>
    </w:p>
    <w:bookmarkStart w:id="156" w:name="page157"/>
    <w:bookmarkEnd w:id="156"/>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November 3, 2025</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123190</wp:posOffset>
            </wp:positionV>
            <wp:extent cx="1089025" cy="793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9">
                      <a:extLst>
                        <a:ext uri="{28A0092B-C50C-407E-A947-70E740481C1C}"/>
                      </a:extLst>
                    </a:blip>
                    <a:srcRect/>
                    <a:stretch>
                      <a:fillRect/>
                    </a:stretch>
                  </pic:blipFill>
                  <pic:spPr bwMode="auto">
                    <a:xfrm>
                      <a:off x="0" y="0"/>
                      <a:ext cx="1089025" cy="79375"/>
                    </a:xfrm>
                    <a:prstGeom prst="rect">
                      <a:avLst/>
                    </a:prstGeom>
                    <a:noFill/>
                  </pic:spPr>
                </pic:pic>
              </a:graphicData>
            </a:graphic>
          </wp:anchor>
        </w:drawing>
      </w:r>
    </w:p>
    <w:p>
      <w:pPr>
        <w:spacing w:after="0" w:line="400" w:lineRule="exact"/>
        <w:rPr>
          <w:sz w:val="20"/>
          <w:szCs w:val="20"/>
          <w:color w:val="auto"/>
        </w:rPr>
      </w:pPr>
    </w:p>
    <w:p>
      <w:pPr>
        <w:ind w:left="1000" w:right="259"/>
        <w:spacing w:after="0" w:line="253" w:lineRule="auto"/>
        <w:rPr>
          <w:sz w:val="20"/>
          <w:szCs w:val="20"/>
          <w:color w:val="auto"/>
        </w:rPr>
      </w:pPr>
      <w:r>
        <w:rPr>
          <w:rFonts w:ascii="Times New Roman" w:cs="Times New Roman" w:eastAsia="Times New Roman" w:hAnsi="Times New Roman"/>
          <w:sz w:val="14"/>
          <w:szCs w:val="14"/>
          <w:color w:val="auto"/>
        </w:rPr>
        <w:t>shares provided in the DGCL, (ii) upon the issuance of any of the Sales Agreement Shares, the total number of shares of Common Stock issued and outstanding will not exceed the total number of shares of Common Stock that the Company is then authorized to issue under the certificate of incorporation of the Company, and (iii) certain terms of the Sales Agreement Shares to be issued by the Company from time to time will be authorized and approved by the board of directors of the Company or one or more committees thereof established by the board of directors of the Company with the authority to issue and sell Sales Agreement Shares pursuant to the Sales Agreement in accordance with the DGCL, the certificate of incorporation of the Company, the bylaws of the Company, and certain resolutions of the board of directors of the Company and one or more committees thereof (with such approvals referred to herein as the “</w:t>
      </w:r>
      <w:r>
        <w:rPr>
          <w:rFonts w:ascii="Times New Roman" w:cs="Times New Roman" w:eastAsia="Times New Roman" w:hAnsi="Times New Roman"/>
          <w:sz w:val="14"/>
          <w:szCs w:val="14"/>
          <w:b w:val="1"/>
          <w:bCs w:val="1"/>
          <w:i w:val="1"/>
          <w:iCs w:val="1"/>
          <w:color w:val="auto"/>
        </w:rPr>
        <w:t>Corporate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i w:val="1"/>
          <w:iCs w:val="1"/>
          <w:color w:val="auto"/>
        </w:rPr>
        <w:t>Proceedings</w:t>
      </w:r>
      <w:r>
        <w:rPr>
          <w:rFonts w:ascii="Times New Roman" w:cs="Times New Roman" w:eastAsia="Times New Roman" w:hAnsi="Times New Roman"/>
          <w:sz w:val="14"/>
          <w:szCs w:val="14"/>
          <w:color w:val="auto"/>
        </w:rPr>
        <w:t>”) prior to issuance thereof.</w:t>
      </w:r>
    </w:p>
    <w:p>
      <w:pPr>
        <w:spacing w:after="0" w:line="148" w:lineRule="exact"/>
        <w:rPr>
          <w:sz w:val="20"/>
          <w:szCs w:val="20"/>
          <w:color w:val="auto"/>
        </w:rPr>
      </w:pPr>
    </w:p>
    <w:p>
      <w:pPr>
        <w:ind w:left="240" w:right="339" w:firstLine="768"/>
        <w:spacing w:after="0" w:line="271" w:lineRule="auto"/>
        <w:rPr>
          <w:sz w:val="20"/>
          <w:szCs w:val="20"/>
          <w:color w:val="auto"/>
        </w:rPr>
      </w:pPr>
      <w:r>
        <w:rPr>
          <w:rFonts w:ascii="Times New Roman" w:cs="Times New Roman" w:eastAsia="Times New Roman" w:hAnsi="Times New Roman"/>
          <w:sz w:val="13"/>
          <w:szCs w:val="13"/>
          <w:color w:val="auto"/>
        </w:rPr>
        <w:t>Our opinions set forth in paragraphs 1 through 5 are subject to: (i) the effect of bankruptcy, insolvency, reorganization, preference, fraudulent transfer, moratorium, or other similar laws relating to or affecting the rights and remedies of creditors; (ii) (a) the effect of general principles of equity, whether considered in a proceeding in equity or at law (including the possible unavailability of specific performance or injunctive relief), (b) concepts of materiality, reasonableness, good faith, and fair dealing, and (c) the discretion of the court before which a proceeding is brought; (iii) the invalidity under certain circumstances under law or court decisions of provisions providing for the indemnification of or contribution to a party with respect to a liability where such indemnification or contribution is contrary to public policy; and (iv)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w:t>
      </w:r>
    </w:p>
    <w:p>
      <w:pPr>
        <w:spacing w:after="0" w:line="3" w:lineRule="exact"/>
        <w:rPr>
          <w:sz w:val="20"/>
          <w:szCs w:val="20"/>
          <w:color w:val="auto"/>
        </w:rPr>
      </w:pPr>
    </w:p>
    <w:p>
      <w:pPr>
        <w:ind w:left="420" w:hanging="182"/>
        <w:spacing w:after="0"/>
        <w:tabs>
          <w:tab w:leader="none" w:pos="42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waivers of rights or defenses, (d) any provision requiring the payment of attorneys’ fees, where such payment is contrary to law or public policy,</w:t>
      </w:r>
    </w:p>
    <w:p>
      <w:pPr>
        <w:spacing w:after="0" w:line="6" w:lineRule="exact"/>
        <w:rPr>
          <w:rFonts w:ascii="Times New Roman" w:cs="Times New Roman" w:eastAsia="Times New Roman" w:hAnsi="Times New Roman"/>
          <w:sz w:val="14"/>
          <w:szCs w:val="14"/>
          <w:color w:val="auto"/>
        </w:rPr>
      </w:pPr>
    </w:p>
    <w:p>
      <w:pPr>
        <w:ind w:left="240" w:right="399" w:hanging="2"/>
        <w:spacing w:after="0" w:line="249" w:lineRule="auto"/>
        <w:tabs>
          <w:tab w:leader="none" w:pos="43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w:t>
      </w:r>
    </w:p>
    <w:p>
      <w:pPr>
        <w:ind w:left="240" w:right="299" w:hanging="2"/>
        <w:spacing w:after="0" w:line="250" w:lineRule="auto"/>
        <w:tabs>
          <w:tab w:leader="none" w:pos="437"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 (n) 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ectPr>
          <w:pgSz w:w="11900" w:h="16838" w:orient="portrait"/>
          <w:cols w:equalWidth="0" w:num="1">
            <w:col w:w="9019"/>
          </w:cols>
          <w:pgMar w:left="1440" w:top="238" w:right="1440" w:bottom="1440" w:gutter="0" w:footer="0" w:header="0"/>
        </w:sectPr>
      </w:pPr>
    </w:p>
    <w:bookmarkStart w:id="157" w:name="page158"/>
    <w:bookmarkEnd w:id="157"/>
    <w:p>
      <w:pPr>
        <w:ind w:left="24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2170" cy="323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0">
                      <a:extLst>
                        <a:ext uri="{28A0092B-C50C-407E-A947-70E740481C1C}"/>
                      </a:extLst>
                    </a:blip>
                    <a:srcRect/>
                    <a:stretch>
                      <a:fillRect/>
                    </a:stretch>
                  </pic:blipFill>
                  <pic:spPr bwMode="auto">
                    <a:xfrm>
                      <a:off x="0" y="0"/>
                      <a:ext cx="7202170" cy="32385"/>
                    </a:xfrm>
                    <a:prstGeom prst="rect">
                      <a:avLst/>
                    </a:prstGeom>
                    <a:noFill/>
                  </pic:spPr>
                </pic:pic>
              </a:graphicData>
            </a:graphic>
          </wp:anchor>
        </w:drawing>
        <w:t>November 3, 2025</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123190</wp:posOffset>
            </wp:positionV>
            <wp:extent cx="1075690" cy="793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1">
                      <a:extLst>
                        <a:ext uri="{28A0092B-C50C-407E-A947-70E740481C1C}"/>
                      </a:extLst>
                    </a:blip>
                    <a:srcRect/>
                    <a:stretch>
                      <a:fillRect/>
                    </a:stretch>
                  </pic:blipFill>
                  <pic:spPr bwMode="auto">
                    <a:xfrm>
                      <a:off x="0" y="0"/>
                      <a:ext cx="1075690" cy="79375"/>
                    </a:xfrm>
                    <a:prstGeom prst="rect">
                      <a:avLst/>
                    </a:prstGeom>
                    <a:noFill/>
                  </pic:spPr>
                </pic:pic>
              </a:graphicData>
            </a:graphic>
          </wp:anchor>
        </w:drawing>
      </w:r>
    </w:p>
    <w:p>
      <w:pPr>
        <w:spacing w:after="0" w:line="400" w:lineRule="exact"/>
        <w:rPr>
          <w:sz w:val="20"/>
          <w:szCs w:val="20"/>
          <w:color w:val="auto"/>
        </w:rPr>
      </w:pPr>
    </w:p>
    <w:p>
      <w:pPr>
        <w:ind w:left="240" w:right="279" w:firstLine="768"/>
        <w:spacing w:after="0" w:line="274" w:lineRule="auto"/>
        <w:rPr>
          <w:sz w:val="20"/>
          <w:szCs w:val="20"/>
          <w:color w:val="auto"/>
        </w:rPr>
      </w:pPr>
      <w:r>
        <w:rPr>
          <w:rFonts w:ascii="Times New Roman" w:cs="Times New Roman" w:eastAsia="Times New Roman" w:hAnsi="Times New Roman"/>
          <w:sz w:val="13"/>
          <w:szCs w:val="13"/>
          <w:color w:val="auto"/>
        </w:rPr>
        <w:t>With your consent, we have assumed (i) that each of the Debt Securities, Warrants, Units, Applicable Indenture, warrant agreements, and unit agreements (collectively, the “</w:t>
      </w:r>
      <w:r>
        <w:rPr>
          <w:rFonts w:ascii="Times New Roman" w:cs="Times New Roman" w:eastAsia="Times New Roman" w:hAnsi="Times New Roman"/>
          <w:sz w:val="13"/>
          <w:szCs w:val="13"/>
          <w:b w:val="1"/>
          <w:bCs w:val="1"/>
          <w:i w:val="1"/>
          <w:iCs w:val="1"/>
          <w:color w:val="auto"/>
        </w:rPr>
        <w:t>Documents</w:t>
      </w:r>
      <w:r>
        <w:rPr>
          <w:rFonts w:ascii="Times New Roman" w:cs="Times New Roman" w:eastAsia="Times New Roman" w:hAnsi="Times New Roman"/>
          <w:sz w:val="13"/>
          <w:szCs w:val="13"/>
          <w:color w:val="auto"/>
        </w:rPr>
        <w:t>”) will be governed by the internal laws of the State of New York, (ii) that each of the Documents has been or will be duly authorized, executed, and delivered by the parties thereto, (iii) that each of the Documents constitutes or will constitute legally valid and binding obligations of the parties thereto other than the Company, enforceable against each of them in accordance with their respective terms, and</w:t>
      </w:r>
    </w:p>
    <w:p>
      <w:pPr>
        <w:spacing w:after="0" w:line="1" w:lineRule="exact"/>
        <w:rPr>
          <w:sz w:val="20"/>
          <w:szCs w:val="20"/>
          <w:color w:val="auto"/>
        </w:rPr>
      </w:pPr>
    </w:p>
    <w:p>
      <w:pPr>
        <w:ind w:left="240" w:right="279" w:hanging="2"/>
        <w:spacing w:after="0" w:line="254" w:lineRule="auto"/>
        <w:tabs>
          <w:tab w:leader="none" w:pos="476"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the status of each of the Documents as legally valid and binding obligations of the parties will not be affected by any (a) breaches of, or defaults under, agreements or instruments, (b) violations of statutes, rules, regulations, or court or governmental orders, or (c) failures to obtain required consents, approvals, or authorizations from, or to make required registrations, declarations, or filings with, governmental authorities.</w:t>
      </w:r>
    </w:p>
    <w:p>
      <w:pPr>
        <w:spacing w:after="0" w:line="143" w:lineRule="exact"/>
        <w:rPr>
          <w:sz w:val="20"/>
          <w:szCs w:val="20"/>
          <w:color w:val="auto"/>
        </w:rPr>
      </w:pPr>
    </w:p>
    <w:p>
      <w:pPr>
        <w:ind w:left="240" w:right="299" w:firstLine="768"/>
        <w:spacing w:after="0" w:line="255" w:lineRule="auto"/>
        <w:rPr>
          <w:sz w:val="20"/>
          <w:szCs w:val="20"/>
          <w:color w:val="auto"/>
        </w:rPr>
      </w:pPr>
      <w:r>
        <w:rPr>
          <w:rFonts w:ascii="Times New Roman" w:cs="Times New Roman" w:eastAsia="Times New Roman" w:hAnsi="Times New Roman"/>
          <w:sz w:val="14"/>
          <w:szCs w:val="14"/>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each of the Prospectus and the Sales Agreement Prospectus under the heading “Legal Matters.” We further consent to the incorporation by reference of this letter and consent into any registration statement or post-effective amendment to the Registration Statement filed pursuant to Rule 462(b) under the Act with respect to the Securities. In giving such consent, we do not thereby admit that we are in the category of persons whose consent is required under Section 7 of the Act or the rules and regulations of the Commission thereunder.</w:t>
      </w:r>
    </w:p>
    <w:p>
      <w:pPr>
        <w:spacing w:after="0" w:line="16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Sincerely,</w:t>
      </w:r>
    </w:p>
    <w:p>
      <w:pPr>
        <w:spacing w:after="0" w:line="17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color w:val="auto"/>
        </w:rPr>
        <w:t>/s/ Latham &amp; Watkins LLP</w:t>
      </w:r>
    </w:p>
    <w:p>
      <w:pPr>
        <w:sectPr>
          <w:pgSz w:w="11900" w:h="16838" w:orient="portrait"/>
          <w:cols w:equalWidth="0" w:num="1">
            <w:col w:w="9019"/>
          </w:cols>
          <w:pgMar w:left="1440" w:top="238" w:right="1440" w:bottom="1440" w:gutter="0" w:footer="0" w:header="0"/>
        </w:sectPr>
      </w:pPr>
    </w:p>
    <w:bookmarkStart w:id="158" w:name="page159"/>
    <w:bookmarkEnd w:id="158"/>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6" w:lineRule="exact"/>
        <w:rPr>
          <w:sz w:val="20"/>
          <w:szCs w:val="20"/>
          <w:color w:val="auto"/>
        </w:rPr>
      </w:pPr>
    </w:p>
    <w:p>
      <w:pPr>
        <w:ind w:left="240" w:right="259"/>
        <w:spacing w:after="0" w:line="259"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this Registration Statement (Form S-3) and related Prospectus of Ardelyx, Inc. for the registration of its common stock, preferred stock, debt securities, warrants, and units, and to the incorporation by reference therein of our reports dated February 20, 2025, with respect to the financial statements of Ardelyx, Inc., and the effectiveness of internal control over financial reporting of Ardelyx, Inc., included in its Annual Report (Form 10-K) for the year ended December 31, 2024, filed with the Securities and Exchange Commission.</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November 3, 2025</w:t>
      </w:r>
    </w:p>
    <w:p>
      <w:pPr>
        <w:sectPr>
          <w:pgSz w:w="11900" w:h="16838" w:orient="portrait"/>
          <w:cols w:equalWidth="0" w:num="1">
            <w:col w:w="9019"/>
          </w:cols>
          <w:pgMar w:left="1440" w:top="123" w:right="1440" w:bottom="1440" w:gutter="0" w:footer="0" w:header="0"/>
        </w:sectPr>
      </w:pPr>
    </w:p>
    <w:bookmarkStart w:id="159" w:name="page160"/>
    <w:bookmarkEnd w:id="159"/>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69"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6"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ARDELYX, INC.</w:t>
      </w:r>
    </w:p>
    <w:p>
      <w:pPr>
        <w:spacing w:after="0" w:line="98"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514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Proposed</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Paid in</w:t>
            </w: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20" w:type="dxa"/>
            <w:vAlign w:val="bottom"/>
          </w:tcPr>
          <w:p>
            <w:pPr>
              <w:spacing w:after="0"/>
              <w:rPr>
                <w:sz w:val="16"/>
                <w:szCs w:val="16"/>
                <w:color w:val="auto"/>
              </w:rPr>
            </w:pPr>
          </w:p>
        </w:tc>
        <w:tc>
          <w:tcPr>
            <w:tcW w:w="880" w:type="dxa"/>
            <w:vAlign w:val="bottom"/>
            <w:shd w:val="clear" w:color="auto" w:fill="9ADAF6"/>
          </w:tcPr>
          <w:p>
            <w:pPr>
              <w:jc w:val="right"/>
              <w:ind w:right="3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5"/>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Offering</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4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1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Offering Price</w:t>
            </w: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5"/>
          </w:tcPr>
          <w:p>
            <w:pPr>
              <w:jc w:val="center"/>
              <w:ind w:right="76"/>
              <w:spacing w:after="0"/>
              <w:rPr>
                <w:sz w:val="20"/>
                <w:szCs w:val="20"/>
                <w:color w:val="auto"/>
              </w:rPr>
            </w:pPr>
            <w:r>
              <w:rPr>
                <w:rFonts w:ascii="Arial" w:cs="Arial" w:eastAsia="Arial" w:hAnsi="Arial"/>
                <w:sz w:val="17"/>
                <w:szCs w:val="17"/>
                <w:b w:val="1"/>
                <w:bCs w:val="1"/>
                <w:color w:val="auto"/>
                <w:w w:val="98"/>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vMerge w:val="restart"/>
            <w:shd w:val="clear" w:color="auto" w:fill="E7E7E2"/>
          </w:tcPr>
          <w:p>
            <w:pPr>
              <w:jc w:val="right"/>
              <w:spacing w:after="0" w:line="189" w:lineRule="exact"/>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6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40" w:type="dxa"/>
            <w:vAlign w:val="bottom"/>
          </w:tcPr>
          <w:p>
            <w:pPr>
              <w:spacing w:after="0"/>
              <w:rPr>
                <w:sz w:val="8"/>
                <w:szCs w:val="8"/>
                <w:color w:val="auto"/>
              </w:rPr>
            </w:pPr>
          </w:p>
        </w:tc>
        <w:tc>
          <w:tcPr>
            <w:tcW w:w="1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78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Preferred</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vMerge w:val="restart"/>
            <w:shd w:val="clear" w:color="auto" w:fill="E7E7E2"/>
          </w:tcPr>
          <w:p>
            <w:pPr>
              <w:jc w:val="right"/>
              <w:spacing w:after="0" w:line="189" w:lineRule="exact"/>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6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40" w:type="dxa"/>
            <w:vAlign w:val="bottom"/>
          </w:tcPr>
          <w:p>
            <w:pPr>
              <w:spacing w:after="0"/>
              <w:rPr>
                <w:sz w:val="8"/>
                <w:szCs w:val="8"/>
                <w:color w:val="auto"/>
              </w:rPr>
            </w:pPr>
          </w:p>
        </w:tc>
        <w:tc>
          <w:tcPr>
            <w:tcW w:w="1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78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par value</w:t>
            </w: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6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3</w:t>
            </w:r>
          </w:p>
        </w:tc>
        <w:tc>
          <w:tcPr>
            <w:tcW w:w="20" w:type="dxa"/>
            <w:vAlign w:val="bottom"/>
          </w:tcPr>
          <w:p>
            <w:pPr>
              <w:spacing w:after="0"/>
              <w:rPr>
                <w:sz w:val="15"/>
                <w:szCs w:val="15"/>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76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40" w:type="dxa"/>
            <w:vAlign w:val="bottom"/>
          </w:tcPr>
          <w:p>
            <w:pPr>
              <w:spacing w:after="0"/>
              <w:rPr>
                <w:sz w:val="11"/>
                <w:szCs w:val="11"/>
                <w:color w:val="auto"/>
              </w:rPr>
            </w:pPr>
          </w:p>
        </w:tc>
        <w:tc>
          <w:tcPr>
            <w:tcW w:w="1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w w:val="99"/>
              </w:rPr>
              <w:t>Securities</w:t>
            </w: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4</w:t>
            </w:r>
          </w:p>
        </w:tc>
        <w:tc>
          <w:tcPr>
            <w:tcW w:w="20" w:type="dxa"/>
            <w:vAlign w:val="bottom"/>
          </w:tcPr>
          <w:p>
            <w:pPr>
              <w:spacing w:after="0"/>
              <w:rPr>
                <w:sz w:val="15"/>
                <w:szCs w:val="15"/>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Warrants</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40" w:type="dxa"/>
            <w:vAlign w:val="bottom"/>
          </w:tcPr>
          <w:p>
            <w:pPr>
              <w:spacing w:after="0"/>
              <w:rPr>
                <w:sz w:val="11"/>
                <w:szCs w:val="11"/>
                <w:color w:val="auto"/>
              </w:rPr>
            </w:pPr>
          </w:p>
        </w:tc>
        <w:tc>
          <w:tcPr>
            <w:tcW w:w="1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5"/>
                <w:szCs w:val="15"/>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5</w:t>
            </w:r>
          </w:p>
        </w:tc>
        <w:tc>
          <w:tcPr>
            <w:tcW w:w="20" w:type="dxa"/>
            <w:vAlign w:val="bottom"/>
          </w:tcPr>
          <w:p>
            <w:pPr>
              <w:spacing w:after="0"/>
              <w:rPr>
                <w:sz w:val="15"/>
                <w:szCs w:val="15"/>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Other</w:t>
            </w:r>
          </w:p>
        </w:tc>
        <w:tc>
          <w:tcPr>
            <w:tcW w:w="20" w:type="dxa"/>
            <w:vAlign w:val="bottom"/>
          </w:tcPr>
          <w:p>
            <w:pPr>
              <w:spacing w:after="0"/>
              <w:rPr>
                <w:sz w:val="15"/>
                <w:szCs w:val="15"/>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Units</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40" w:type="dxa"/>
            <w:vAlign w:val="bottom"/>
          </w:tcPr>
          <w:p>
            <w:pPr>
              <w:spacing w:after="0"/>
              <w:rPr>
                <w:sz w:val="11"/>
                <w:szCs w:val="11"/>
                <w:color w:val="auto"/>
              </w:rPr>
            </w:pPr>
          </w:p>
        </w:tc>
        <w:tc>
          <w:tcPr>
            <w:tcW w:w="1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78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6</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$0.0001</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$ 13,810.00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780" w:type="dxa"/>
            <w:vAlign w:val="bottom"/>
            <w:shd w:val="clear" w:color="auto" w:fill="E7E7E2"/>
          </w:tcPr>
          <w:p>
            <w:pPr>
              <w:spacing w:after="0" w:line="167" w:lineRule="exact"/>
              <w:rPr>
                <w:sz w:val="20"/>
                <w:szCs w:val="20"/>
                <w:color w:val="auto"/>
              </w:rPr>
            </w:pPr>
            <w:r>
              <w:rPr>
                <w:rFonts w:ascii="Arial" w:cs="Arial" w:eastAsia="Arial" w:hAnsi="Arial"/>
                <w:sz w:val="17"/>
                <w:szCs w:val="17"/>
                <w:color w:val="auto"/>
              </w:rPr>
              <w:t>be Paid</w:t>
            </w:r>
          </w:p>
        </w:tc>
        <w:tc>
          <w:tcPr>
            <w:tcW w:w="4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shd w:val="clear" w:color="auto" w:fill="E7E7E2"/>
          </w:tcPr>
          <w:p>
            <w:pPr>
              <w:jc w:val="right"/>
              <w:spacing w:after="0" w:line="167" w:lineRule="exact"/>
              <w:rPr>
                <w:sz w:val="20"/>
                <w:szCs w:val="20"/>
                <w:color w:val="auto"/>
              </w:rPr>
            </w:pPr>
            <w:r>
              <w:rPr>
                <w:rFonts w:ascii="Arial" w:cs="Arial" w:eastAsia="Arial" w:hAnsi="Arial"/>
                <w:sz w:val="17"/>
                <w:szCs w:val="17"/>
                <w:color w:val="auto"/>
                <w:w w:val="98"/>
              </w:rPr>
              <w:t>100,000,000.00</w:t>
            </w:r>
          </w:p>
        </w:tc>
        <w:tc>
          <w:tcPr>
            <w:tcW w:w="4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line="115" w:lineRule="exact"/>
              <w:rPr>
                <w:sz w:val="20"/>
                <w:szCs w:val="20"/>
                <w:color w:val="auto"/>
              </w:rPr>
            </w:pPr>
            <w:r>
              <w:rPr>
                <w:rFonts w:ascii="Arial" w:cs="Arial" w:eastAsia="Arial" w:hAnsi="Arial"/>
                <w:sz w:val="13"/>
                <w:szCs w:val="13"/>
                <w:color w:val="auto"/>
              </w:rPr>
              <w:t>par value</w:t>
            </w:r>
          </w:p>
        </w:tc>
        <w:tc>
          <w:tcPr>
            <w:tcW w:w="20" w:type="dxa"/>
            <w:vAlign w:val="bottom"/>
          </w:tcPr>
          <w:p>
            <w:pPr>
              <w:spacing w:after="0"/>
              <w:rPr>
                <w:sz w:val="9"/>
                <w:szCs w:val="9"/>
                <w:color w:val="auto"/>
              </w:rPr>
            </w:pPr>
          </w:p>
        </w:tc>
        <w:tc>
          <w:tcPr>
            <w:tcW w:w="9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shd w:val="clear" w:color="auto" w:fill="E7E7E2"/>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20"/>
                <w:szCs w:val="20"/>
                <w:color w:val="auto"/>
              </w:rPr>
            </w:pPr>
            <w:r>
              <w:rPr>
                <w:rFonts w:ascii="Arial" w:cs="Arial" w:eastAsia="Arial" w:hAnsi="Arial"/>
                <w:sz w:val="17"/>
                <w:szCs w:val="17"/>
                <w:color w:val="auto"/>
              </w:rPr>
              <w:t>per 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78" w:lineRule="exact"/>
              <w:rPr>
                <w:sz w:val="20"/>
                <w:szCs w:val="20"/>
                <w:color w:val="auto"/>
              </w:rPr>
            </w:pPr>
            <w:r>
              <w:rPr>
                <w:rFonts w:ascii="Arial" w:cs="Arial" w:eastAsia="Arial" w:hAnsi="Arial"/>
                <w:sz w:val="17"/>
                <w:szCs w:val="17"/>
                <w:color w:val="auto"/>
              </w:rPr>
              <w:t>Fees</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6"/>
              </w:rPr>
              <w:t>Previously</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40" w:type="dxa"/>
            <w:vAlign w:val="bottom"/>
            <w:gridSpan w:val="5"/>
          </w:tcPr>
          <w:p>
            <w:pPr>
              <w:jc w:val="center"/>
              <w:ind w:right="56"/>
              <w:spacing w:after="0"/>
              <w:rPr>
                <w:sz w:val="20"/>
                <w:szCs w:val="20"/>
                <w:color w:val="auto"/>
              </w:rPr>
            </w:pPr>
            <w:r>
              <w:rPr>
                <w:rFonts w:ascii="Arial" w:cs="Arial" w:eastAsia="Arial" w:hAnsi="Arial"/>
                <w:sz w:val="17"/>
                <w:szCs w:val="17"/>
                <w:b w:val="1"/>
                <w:bCs w:val="1"/>
                <w:color w:val="auto"/>
                <w:w w:val="97"/>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780" w:type="dxa"/>
            <w:vAlign w:val="bottom"/>
            <w:shd w:val="clear" w:color="auto" w:fill="E7E7E2"/>
          </w:tcPr>
          <w:p>
            <w:pPr>
              <w:spacing w:after="0" w:line="183" w:lineRule="exact"/>
              <w:rPr>
                <w:sz w:val="20"/>
                <w:szCs w:val="20"/>
                <w:color w:val="auto"/>
              </w:rPr>
            </w:pPr>
            <w:r>
              <w:rPr>
                <w:rFonts w:ascii="Arial" w:cs="Arial" w:eastAsia="Arial" w:hAnsi="Arial"/>
                <w:sz w:val="17"/>
                <w:szCs w:val="17"/>
                <w:color w:val="auto"/>
              </w:rPr>
              <w:t>Carry</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78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78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$ 13,810.00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w w:val="99"/>
              </w:rPr>
              <w:t>100,000,000.00</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$ 13,810.00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8" w:lineRule="exact"/>
        <w:rPr>
          <w:sz w:val="20"/>
          <w:szCs w:val="20"/>
          <w:color w:val="auto"/>
        </w:rPr>
      </w:pPr>
    </w:p>
    <w:p>
      <w:pPr>
        <w:ind w:left="220" w:right="120" w:hanging="185"/>
        <w:spacing w:after="0" w:line="230" w:lineRule="auto"/>
        <w:tabs>
          <w:tab w:leader="none" w:pos="220" w:val="left"/>
        </w:tabs>
        <w:numPr>
          <w:ilvl w:val="0"/>
          <w:numId w:val="142"/>
        </w:numPr>
        <w:rPr>
          <w:rFonts w:ascii="Arial" w:cs="Arial" w:eastAsia="Arial" w:hAnsi="Arial"/>
          <w:sz w:val="21"/>
          <w:szCs w:val="21"/>
          <w:color w:val="auto"/>
          <w:vertAlign w:val="superscript"/>
        </w:rPr>
      </w:pPr>
      <w:r>
        <w:rPr>
          <w:rFonts w:ascii="Arial" w:cs="Arial" w:eastAsia="Arial" w:hAnsi="Arial"/>
          <w:sz w:val="17"/>
          <w:szCs w:val="17"/>
          <w:color w:val="auto"/>
        </w:rPr>
        <w:t>(1) The securities registered hereunder include such indeterminate number of (a) shares of common stock, (b) shares of preferred stock, (c) debt securities, (d) warrants to purchase common stock, preferred stock, or other securities of the registrant and (e) units consisting of some or all of these securities in any combination, as may be sold from time to time by the registrant. There are also being registered hereunder an indeterminate number of shares of common stock and preferred stock as shall be issuable upon conversion, exchange, or exercise of any securities that provide for such issuance. (2) Pursuant to Rule 416 under the Securities Act of 1933, as amended (the "Securities Act"), this registration statement shall also cover any additional shares of the registrant's securities that become issuable by reason of any stock splits, stock dividend or similar transaction. (3) Includes rights to acquire common stock or preferred stock of the registrant under any shareholder rights plan then in effect, if applicable under the terms of any such plan. (4)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 (5) In accordance with Rules 456(b) and 457(r) under the Securities Act, the registrant is deferring payment of the entire registration fee other than the registration fee due in connection with $100,000,000 of shares of its common stock that may be issued and sold from time to time under the open market sales agreement prospectus included herein. Any subsequent registration fees will be paid on a pay-as-you-go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59690</wp:posOffset>
            </wp:positionV>
            <wp:extent cx="714883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2">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20" w:lineRule="exact"/>
        <w:rPr>
          <w:sz w:val="20"/>
          <w:szCs w:val="20"/>
          <w:color w:val="auto"/>
        </w:rPr>
      </w:pPr>
    </w:p>
    <w:p>
      <w:pPr>
        <w:ind w:left="220" w:right="120" w:hanging="185"/>
        <w:spacing w:after="0" w:line="244" w:lineRule="auto"/>
        <w:tabs>
          <w:tab w:leader="none" w:pos="220" w:val="left"/>
        </w:tabs>
        <w:numPr>
          <w:ilvl w:val="0"/>
          <w:numId w:val="143"/>
        </w:numPr>
        <w:rPr>
          <w:rFonts w:ascii="Arial" w:cs="Arial" w:eastAsia="Arial" w:hAnsi="Arial"/>
          <w:sz w:val="20"/>
          <w:szCs w:val="20"/>
          <w:color w:val="auto"/>
          <w:vertAlign w:val="superscript"/>
        </w:rPr>
      </w:pPr>
      <w:r>
        <w:rPr>
          <w:rFonts w:ascii="Arial" w:cs="Arial" w:eastAsia="Arial" w:hAnsi="Arial"/>
          <w:sz w:val="16"/>
          <w:szCs w:val="16"/>
          <w:color w:val="auto"/>
        </w:rPr>
        <w:t>(1) The securities registered hereunder include such indeterminate number of (a) shares of common stock, (b) shares of preferred stock, (c) debt securities, (d) warrants to purchase common stock, preferred stock, or other securities of the registrant and (e) units consisting of some or all of these securities in any combination, as may be sold from time to time by the registrant. There are also being registered hereunder an indeterminate number of shares of common stock and preferred stock as shall be issuable upon conversion, exchange, or exercise of any securities that provide for such issuance. (2) Pursuant to Rule 416 under the Securities Act of 1933, as amended (the "Securities Act"), this registration statement shall also cover any additional shares of the registrant's securities that become issuable by reason of any stock splits, stock dividend or similar transaction. (3) Includes rights to acquire common stock or preferred stock of the registrant under any shareholder rights plan then in effect, if applicable under the terms of any such plan. (4)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 (5) In accordance with Rules 456(b) and 457(r) under the Securities Act, the registrant is deferring payment of the entire registration fee other than the registration fee due in connection with $100,000,000 of shares of its common stock that may be issued and sold from</w:t>
      </w:r>
    </w:p>
    <w:p>
      <w:pPr>
        <w:sectPr>
          <w:pgSz w:w="11900" w:h="16838" w:orient="portrait"/>
          <w:cols w:equalWidth="0" w:num="1">
            <w:col w:w="11360"/>
          </w:cols>
          <w:pgMar w:left="300" w:top="141" w:right="239" w:bottom="0" w:gutter="0" w:footer="0" w:header="0"/>
        </w:sectPr>
      </w:pPr>
    </w:p>
    <w:bookmarkStart w:id="160" w:name="page161"/>
    <w:bookmarkEnd w:id="160"/>
    <w:p>
      <w:pPr>
        <w:ind w:left="220" w:right="260"/>
        <w:spacing w:after="0" w:line="261" w:lineRule="auto"/>
        <w:rPr>
          <w:sz w:val="20"/>
          <w:szCs w:val="20"/>
          <w:color w:val="auto"/>
        </w:rPr>
      </w:pPr>
      <w:r>
        <w:rPr>
          <w:rFonts w:ascii="Arial" w:cs="Arial" w:eastAsia="Arial" w:hAnsi="Arial"/>
          <w:sz w:val="17"/>
          <w:szCs w:val="17"/>
          <w:color w:val="auto"/>
        </w:rPr>
        <w:t>time to time under the open market sales agreement prospectus included herein. Any subsequent registration fees will be paid on a pay-as-you-go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48895</wp:posOffset>
            </wp:positionV>
            <wp:extent cx="7148830"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02" w:lineRule="exact"/>
        <w:rPr>
          <w:sz w:val="20"/>
          <w:szCs w:val="20"/>
          <w:color w:val="auto"/>
        </w:rPr>
      </w:pPr>
    </w:p>
    <w:p>
      <w:pPr>
        <w:ind w:left="220" w:right="40" w:hanging="185"/>
        <w:spacing w:after="0" w:line="244" w:lineRule="auto"/>
        <w:tabs>
          <w:tab w:leader="none" w:pos="220" w:val="left"/>
        </w:tabs>
        <w:numPr>
          <w:ilvl w:val="0"/>
          <w:numId w:val="144"/>
        </w:numPr>
        <w:rPr>
          <w:rFonts w:ascii="Arial" w:cs="Arial" w:eastAsia="Arial" w:hAnsi="Arial"/>
          <w:sz w:val="20"/>
          <w:szCs w:val="20"/>
          <w:color w:val="auto"/>
          <w:vertAlign w:val="superscript"/>
        </w:rPr>
      </w:pPr>
      <w:r>
        <w:rPr>
          <w:rFonts w:ascii="Arial" w:cs="Arial" w:eastAsia="Arial" w:hAnsi="Arial"/>
          <w:sz w:val="16"/>
          <w:szCs w:val="16"/>
          <w:color w:val="auto"/>
        </w:rPr>
        <w:t>(1) The securities registered hereunder include such indeterminate number of (a) shares of common stock, (b) shares of preferred stock, (c) debt securities, (d) warrants to purchase common stock, preferred stock, or other securities of the registrant and (e) units consisting of some or all of these securities in any combination, as may be sold from time to time by the registrant. There are also being registered hereunder an indeterminate number of shares of common stock and preferred stock as shall be issuable upon conversion, exchange, or exercise of any securities that provide for such issuance. (2) Pursuant to Rule 416 under the Securities Act of 1933, as amended (the "Securities Act"), this registration statement shall also cover any additional shares of the registrant's securities that become issuable by reason of any stock splits, stock dividend or similar transaction. (4)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 (5) In accordance with Rules 456(b) and 457(r) under the Securities Act, the registrant is deferring payment of the entire registration fee other than the registration fee due in connection with $100,000,000 of shares of its common stock that may be issued and sold from time to time under the open market sales agreement prospectus included herein. Any subsequent registration fees will be paid on a pay-as-you-go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59055</wp:posOffset>
            </wp:positionV>
            <wp:extent cx="714883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19" w:lineRule="exact"/>
        <w:rPr>
          <w:sz w:val="20"/>
          <w:szCs w:val="20"/>
          <w:color w:val="auto"/>
        </w:rPr>
      </w:pPr>
    </w:p>
    <w:p>
      <w:pPr>
        <w:ind w:left="220" w:right="40" w:hanging="185"/>
        <w:spacing w:after="0" w:line="244" w:lineRule="auto"/>
        <w:tabs>
          <w:tab w:leader="none" w:pos="220" w:val="left"/>
        </w:tabs>
        <w:numPr>
          <w:ilvl w:val="0"/>
          <w:numId w:val="145"/>
        </w:numPr>
        <w:rPr>
          <w:rFonts w:ascii="Arial" w:cs="Arial" w:eastAsia="Arial" w:hAnsi="Arial"/>
          <w:sz w:val="20"/>
          <w:szCs w:val="20"/>
          <w:color w:val="auto"/>
          <w:vertAlign w:val="superscript"/>
        </w:rPr>
      </w:pPr>
      <w:r>
        <w:rPr>
          <w:rFonts w:ascii="Arial" w:cs="Arial" w:eastAsia="Arial" w:hAnsi="Arial"/>
          <w:sz w:val="16"/>
          <w:szCs w:val="16"/>
          <w:color w:val="auto"/>
        </w:rPr>
        <w:t>(1) The securities registered hereunder include such indeterminate number of (a) shares of common stock, (b) shares of preferred stock, (c) debt securities, (d) warrants to purchase common stock, preferred stock, or other securities of the registrant and (e) units consisting of some or all of these securities in any combination, as may be sold from time to time by the registrant. There are also being registered hereunder an indeterminate number of shares of common stock and preferred stock as shall be issuable upon conversion, exchange, or exercise of any securities that provide for such issuance. (2) Pursuant to Rule 416 under the Securities Act of 1933, as amended (the "Securities Act"), this registration statement shall also cover any additional shares of the registrant's securities that become issuable by reason of any stock splits, stock dividend or similar transaction. (4)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 (5) In accordance with Rules 456(b) and 457(r) under the Securities Act, the registrant is deferring payment of the entire registration fee other than the registration fee due in connection with $100,000,000 of shares of its common stock that may be issued and sold from time to time under the open market sales agreement prospectus included herein. Any subsequent registration fees will be paid on a pay-as-you-go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59055</wp:posOffset>
            </wp:positionV>
            <wp:extent cx="7148830"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19" w:lineRule="exact"/>
        <w:rPr>
          <w:sz w:val="20"/>
          <w:szCs w:val="20"/>
          <w:color w:val="auto"/>
        </w:rPr>
      </w:pPr>
    </w:p>
    <w:p>
      <w:pPr>
        <w:ind w:left="220" w:right="40" w:hanging="185"/>
        <w:spacing w:after="0" w:line="244" w:lineRule="auto"/>
        <w:tabs>
          <w:tab w:leader="none" w:pos="220" w:val="left"/>
        </w:tabs>
        <w:numPr>
          <w:ilvl w:val="0"/>
          <w:numId w:val="146"/>
        </w:numPr>
        <w:rPr>
          <w:rFonts w:ascii="Arial" w:cs="Arial" w:eastAsia="Arial" w:hAnsi="Arial"/>
          <w:sz w:val="20"/>
          <w:szCs w:val="20"/>
          <w:color w:val="auto"/>
          <w:vertAlign w:val="superscript"/>
        </w:rPr>
      </w:pPr>
      <w:r>
        <w:rPr>
          <w:rFonts w:ascii="Arial" w:cs="Arial" w:eastAsia="Arial" w:hAnsi="Arial"/>
          <w:sz w:val="16"/>
          <w:szCs w:val="16"/>
          <w:color w:val="auto"/>
        </w:rPr>
        <w:t>(1) The securities registered hereunder include such indeterminate number of (a) shares of common stock, (b) shares of preferred stock, (c) debt securities, (d) warrants to purchase common stock, preferred stock, or other securities of the registrant and (e) units consisting of some or all of these securities in any combination, as may be sold from time to time by the registrant. There are also being registered hereunder an indeterminate number of shares of common stock and preferred stock as shall be issuable upon conversion, exchange, or exercise of any securities that provide for such issuance. (2) Pursuant to Rule 416 under the Securities Act of 1933, as amended (the "Securities Act"), this registration statement shall also cover any additional shares of the registrant's securities that become issuable by reason of any stock splits, stock dividend or similar transaction. (4) The proposed maximum per security and aggregate offering prices per class of securities will be determined from time to time by the registrant in connection with the issuance by the registrant of the securities registered hereunder and is not specified as to each class of security. Separate consideration may or may not be received for securities that are issuable on exercise, conversion or exchange of other securities, or that are issued in units. (5) In accordance with Rules 456(b) and 457(r) under the Securities Act, the registrant is deferring payment of the entire registration fee other than the registration fee due in connection with $100,000,000 of shares of its common stock that may be issued and sold from time to time under the open market sales agreement prospectus included herein. Any subsequent registration fees will be paid on a pay-as-you-go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59055</wp:posOffset>
            </wp:positionV>
            <wp:extent cx="7148830"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19" w:lineRule="exact"/>
        <w:rPr>
          <w:sz w:val="20"/>
          <w:szCs w:val="20"/>
          <w:color w:val="auto"/>
        </w:rPr>
      </w:pPr>
    </w:p>
    <w:p>
      <w:pPr>
        <w:ind w:left="220" w:right="40" w:hanging="185"/>
        <w:spacing w:after="0" w:line="228" w:lineRule="auto"/>
        <w:tabs>
          <w:tab w:leader="none" w:pos="220" w:val="left"/>
        </w:tabs>
        <w:numPr>
          <w:ilvl w:val="0"/>
          <w:numId w:val="147"/>
        </w:numPr>
        <w:rPr>
          <w:rFonts w:ascii="Arial" w:cs="Arial" w:eastAsia="Arial" w:hAnsi="Arial"/>
          <w:sz w:val="21"/>
          <w:szCs w:val="21"/>
          <w:color w:val="auto"/>
          <w:vertAlign w:val="superscript"/>
        </w:rPr>
      </w:pPr>
      <w:r>
        <w:rPr>
          <w:rFonts w:ascii="Arial" w:cs="Arial" w:eastAsia="Arial" w:hAnsi="Arial"/>
          <w:sz w:val="17"/>
          <w:szCs w:val="17"/>
          <w:color w:val="auto"/>
        </w:rPr>
        <w:t>The securities registered hereunder include such indeterminate number of (a) shares of common stock, (b) shares of preferred stock, (c) debt securities, (d) warrants to purchase common stock, preferred stock, or other securities of the registrant and (e) units consisting of some or all of these securities in any combination, as may be sold from time to time by the registrant. There are also being registered hereunder an indeterminate number of shares of common stock and preferred stock as shall be issuable upon conversion, exchange, or exercise of any securities that provide for such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60325</wp:posOffset>
            </wp:positionV>
            <wp:extent cx="7148830"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7148830" cy="3873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38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540" w:type="dxa"/>
            <w:vAlign w:val="bottom"/>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620" w:type="dxa"/>
            <w:vAlign w:val="bottom"/>
            <w:gridSpan w:val="3"/>
            <w:vMerge w:val="restart"/>
            <w:shd w:val="clear" w:color="auto" w:fill="9ADAF6"/>
          </w:tcPr>
          <w:p>
            <w:pPr>
              <w:jc w:val="right"/>
              <w:ind w:right="116"/>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54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80" w:type="dxa"/>
            <w:vAlign w:val="bottom"/>
            <w:tcBorders>
              <w:right w:val="single" w:sz="8" w:color="9ADAF6"/>
            </w:tcBorders>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540" w:type="dxa"/>
            <w:vAlign w:val="bottom"/>
            <w:gridSpan w:val="2"/>
            <w:shd w:val="clear" w:color="auto" w:fill="9ADAF6"/>
          </w:tcPr>
          <w:p>
            <w:pPr>
              <w:jc w:val="center"/>
              <w:spacing w:after="0" w:line="167"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620" w:type="dxa"/>
            <w:vAlign w:val="bottom"/>
            <w:gridSpan w:val="3"/>
            <w:shd w:val="clear" w:color="auto" w:fill="9ADAF6"/>
          </w:tcPr>
          <w:p>
            <w:pPr>
              <w:ind w:left="40"/>
              <w:spacing w:after="0" w:line="167"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jc w:val="center"/>
              <w:ind w:right="196"/>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Number</w:t>
            </w: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jc w:val="center"/>
              <w:ind w:right="16"/>
              <w:spacing w:after="0" w:line="189"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80" w:type="dxa"/>
            <w:vAlign w:val="bottom"/>
            <w:tcBorders>
              <w:right w:val="single" w:sz="8" w:color="9ADAF6"/>
            </w:tcBorders>
          </w:tcPr>
          <w:p>
            <w:pPr>
              <w:spacing w:after="0"/>
              <w:rPr>
                <w:sz w:val="16"/>
                <w:szCs w:val="16"/>
                <w:color w:val="auto"/>
              </w:rPr>
            </w:pPr>
          </w:p>
        </w:tc>
        <w:tc>
          <w:tcPr>
            <w:tcW w:w="620" w:type="dxa"/>
            <w:vAlign w:val="bottom"/>
            <w:gridSpan w:val="3"/>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87"/>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9"/>
                <w:szCs w:val="9"/>
                <w:color w:val="auto"/>
              </w:rPr>
            </w:pPr>
          </w:p>
        </w:tc>
        <w:tc>
          <w:tcPr>
            <w:tcW w:w="4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13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9"/>
                <w:szCs w:val="9"/>
                <w:color w:val="auto"/>
              </w:rPr>
            </w:pPr>
          </w:p>
        </w:tc>
        <w:tc>
          <w:tcPr>
            <w:tcW w:w="7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5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80" w:type="dxa"/>
            <w:vAlign w:val="bottom"/>
            <w:tcBorders>
              <w:right w:val="single" w:sz="8" w:color="9ADAF6"/>
            </w:tcBorders>
          </w:tcPr>
          <w:p>
            <w:pPr>
              <w:spacing w:after="0"/>
              <w:rPr>
                <w:sz w:val="9"/>
                <w:szCs w:val="9"/>
                <w:color w:val="auto"/>
              </w:rPr>
            </w:pPr>
          </w:p>
        </w:tc>
        <w:tc>
          <w:tcPr>
            <w:tcW w:w="340" w:type="dxa"/>
            <w:vAlign w:val="bottom"/>
            <w:shd w:val="clear" w:color="auto" w:fill="9ADAF6"/>
          </w:tcPr>
          <w:p>
            <w:pPr>
              <w:spacing w:after="0"/>
              <w:rPr>
                <w:sz w:val="9"/>
                <w:szCs w:val="9"/>
                <w:color w:val="auto"/>
              </w:rPr>
            </w:pPr>
          </w:p>
        </w:tc>
        <w:tc>
          <w:tcPr>
            <w:tcW w:w="20" w:type="dxa"/>
            <w:vAlign w:val="bottom"/>
            <w:shd w:val="clear" w:color="auto" w:fill="9ADAF6"/>
          </w:tcPr>
          <w:p>
            <w:pPr>
              <w:spacing w:after="0"/>
              <w:rPr>
                <w:sz w:val="9"/>
                <w:szCs w:val="9"/>
                <w:color w:val="auto"/>
              </w:rPr>
            </w:pPr>
          </w:p>
        </w:tc>
        <w:tc>
          <w:tcPr>
            <w:tcW w:w="2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20" w:type="dxa"/>
            <w:vAlign w:val="bottom"/>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9"/>
                <w:szCs w:val="9"/>
                <w:color w:val="auto"/>
              </w:rPr>
            </w:pPr>
          </w:p>
        </w:tc>
        <w:tc>
          <w:tcPr>
            <w:tcW w:w="980" w:type="dxa"/>
            <w:vAlign w:val="bottom"/>
            <w:gridSpan w:val="3"/>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15"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80" w:type="dxa"/>
            <w:vAlign w:val="bottom"/>
            <w:tcBorders>
              <w:right w:val="single" w:sz="8" w:color="9ADAF6"/>
            </w:tcBorders>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3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80" w:type="dxa"/>
            <w:vAlign w:val="bottom"/>
            <w:tcBorders>
              <w:right w:val="single" w:sz="8" w:color="9ADAF6"/>
            </w:tcBorders>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11"/>
          </w:tcPr>
          <w:p>
            <w:pPr>
              <w:jc w:val="right"/>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4"/>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8"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60" w:type="dxa"/>
            <w:vAlign w:val="bottom"/>
            <w:vMerge w:val="restart"/>
            <w:shd w:val="clear" w:color="auto" w:fill="E7E7E2"/>
          </w:tcPr>
          <w:p>
            <w:pPr>
              <w:ind w:left="24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156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5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80" w:type="dxa"/>
            <w:vAlign w:val="bottom"/>
            <w:tcBorders>
              <w:right w:val="single" w:sz="8" w:color="E7E7E2"/>
            </w:tcBorders>
          </w:tcPr>
          <w:p>
            <w:pPr>
              <w:spacing w:after="0"/>
              <w:rPr>
                <w:sz w:val="15"/>
                <w:szCs w:val="15"/>
                <w:color w:val="auto"/>
              </w:rPr>
            </w:pPr>
          </w:p>
        </w:tc>
        <w:tc>
          <w:tcPr>
            <w:tcW w:w="62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60" w:type="dxa"/>
            <w:vAlign w:val="bottom"/>
            <w:vMerge w:val="restart"/>
            <w:shd w:val="clear" w:color="auto" w:fill="E7E7E2"/>
          </w:tcPr>
          <w:p>
            <w:pPr>
              <w:ind w:left="8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5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80" w:type="dxa"/>
            <w:vAlign w:val="bottom"/>
            <w:tcBorders>
              <w:right w:val="single" w:sz="8" w:color="E7E7E2"/>
            </w:tcBorders>
          </w:tcPr>
          <w:p>
            <w:pPr>
              <w:spacing w:after="0"/>
              <w:rPr>
                <w:sz w:val="11"/>
                <w:szCs w:val="11"/>
                <w:color w:val="auto"/>
              </w:rPr>
            </w:pPr>
          </w:p>
        </w:tc>
        <w:tc>
          <w:tcPr>
            <w:tcW w:w="6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3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5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338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5"/>
              </w:rPr>
              <w:t>☑</w:t>
            </w:r>
            <w:r>
              <w:rPr>
                <w:rFonts w:ascii="Arial" w:cs="Arial" w:eastAsia="Arial" w:hAnsi="Arial"/>
                <w:sz w:val="17"/>
                <w:szCs w:val="17"/>
                <w:b w:val="1"/>
                <w:bCs w:val="1"/>
                <w:color w:val="auto"/>
                <w:w w:val="95"/>
              </w:rPr>
              <w:t>Not Applicable</w:t>
            </w:r>
          </w:p>
        </w:tc>
        <w:tc>
          <w:tcPr>
            <w:tcW w:w="0" w:type="dxa"/>
            <w:vAlign w:val="bottom"/>
          </w:tcPr>
          <w:p>
            <w:pPr>
              <w:spacing w:after="0"/>
              <w:rPr>
                <w:sz w:val="1"/>
                <w:szCs w:val="1"/>
                <w:color w:val="auto"/>
              </w:rPr>
            </w:pPr>
          </w:p>
        </w:tc>
      </w:tr>
      <w:tr>
        <w:trPr>
          <w:trHeight w:val="194"/>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Borders>
              <w:right w:val="single" w:sz="8" w:color="9ADAF6"/>
            </w:tcBorders>
            <w:gridSpan w:val="4"/>
            <w:shd w:val="clear" w:color="auto" w:fill="9ADAF6"/>
          </w:tcPr>
          <w:p>
            <w:pPr>
              <w:ind w:left="380"/>
              <w:spacing w:after="0" w:line="194" w:lineRule="exact"/>
              <w:rPr>
                <w:sz w:val="20"/>
                <w:szCs w:val="20"/>
                <w:color w:val="auto"/>
              </w:rPr>
            </w:pPr>
            <w:r>
              <w:rPr>
                <w:rFonts w:ascii="Arial" w:cs="Arial" w:eastAsia="Arial" w:hAnsi="Arial"/>
                <w:sz w:val="17"/>
                <w:szCs w:val="17"/>
                <w:b w:val="1"/>
                <w:bCs w:val="1"/>
                <w:color w:val="auto"/>
                <w:w w:val="96"/>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8"/>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3"/>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400"/>
              <w:spacing w:after="0" w:line="189" w:lineRule="exact"/>
              <w:rPr>
                <w:sz w:val="20"/>
                <w:szCs w:val="20"/>
                <w:color w:val="auto"/>
              </w:rPr>
            </w:pPr>
            <w:r>
              <w:rPr>
                <w:rFonts w:ascii="Arial" w:cs="Arial" w:eastAsia="Arial" w:hAnsi="Arial"/>
                <w:sz w:val="17"/>
                <w:szCs w:val="17"/>
                <w:b w:val="1"/>
                <w:bCs w:val="1"/>
                <w:color w:val="auto"/>
                <w:w w:val="98"/>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restart"/>
            <w:shd w:val="clear" w:color="auto" w:fill="9ADAF6"/>
          </w:tcPr>
          <w:p>
            <w:pPr>
              <w:jc w:val="center"/>
              <w:ind w:right="218"/>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jc w:val="center"/>
              <w:ind w:right="19"/>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0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w w:val="95"/>
              </w:rPr>
              <w:t>Security Type</w:t>
            </w: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restart"/>
            <w:shd w:val="clear" w:color="auto" w:fill="9ADAF6"/>
          </w:tcPr>
          <w:p>
            <w:pPr>
              <w:ind w:left="64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4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8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w w:val="98"/>
              </w:rPr>
              <w:t>Effective</w:t>
            </w: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4"/>
            <w:vMerge w:val="continue"/>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70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restart"/>
            <w:shd w:val="clear" w:color="auto" w:fill="9ADAF6"/>
          </w:tcPr>
          <w:p>
            <w:pPr>
              <w:jc w:val="center"/>
              <w:ind w:right="39"/>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right w:val="single" w:sz="8" w:color="9ADAF6"/>
            </w:tcBorders>
            <w:gridSpan w:val="4"/>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tcBorders>
              <w:right w:val="single" w:sz="8" w:color="auto"/>
            </w:tcBorders>
            <w:gridSpan w:val="2"/>
            <w:vMerge w:val="restart"/>
            <w:shd w:val="clear" w:color="auto" w:fill="9ADAF6"/>
          </w:tcPr>
          <w:p>
            <w:pPr>
              <w:jc w:val="center"/>
              <w:ind w:right="28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5"/>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Borders>
              <w:right w:val="single" w:sz="8" w:color="9ADAF6"/>
            </w:tcBorders>
            <w:gridSpan w:val="4"/>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w w:val="95"/>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40" w:type="dxa"/>
            <w:vAlign w:val="bottom"/>
            <w:gridSpan w:val="3"/>
            <w:vMerge w:val="restart"/>
            <w:shd w:val="clear" w:color="auto" w:fill="9ADAF6"/>
          </w:tcPr>
          <w:p>
            <w:pPr>
              <w:jc w:val="center"/>
              <w:ind w:right="198"/>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8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tcBorders>
              <w:right w:val="single" w:sz="8" w:color="9ADAF6"/>
            </w:tcBorders>
            <w:gridSpan w:val="4"/>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4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80" w:type="dxa"/>
            <w:vAlign w:val="bottom"/>
            <w:tcBorders>
              <w:right w:val="single" w:sz="8" w:color="E7E7E2"/>
            </w:tcBorders>
            <w:shd w:val="clear" w:color="auto" w:fill="E7E7E2"/>
          </w:tcPr>
          <w:p>
            <w:pPr>
              <w:spacing w:after="0"/>
              <w:rPr>
                <w:sz w:val="18"/>
                <w:szCs w:val="18"/>
                <w:color w:val="auto"/>
              </w:rPr>
            </w:pPr>
          </w:p>
        </w:tc>
        <w:tc>
          <w:tcPr>
            <w:tcW w:w="340" w:type="dxa"/>
            <w:vAlign w:val="bottom"/>
            <w:shd w:val="clear" w:color="auto" w:fill="E7E7E2"/>
          </w:tcPr>
          <w:p>
            <w:pPr>
              <w:ind w:left="4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2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00" w:type="dxa"/>
            <w:vAlign w:val="bottom"/>
            <w:shd w:val="clear" w:color="auto" w:fill="E7E7E2"/>
          </w:tcPr>
          <w:p>
            <w:pPr>
              <w:ind w:left="50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jc w:val="center"/>
              <w:ind w:right="59"/>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ind w:left="4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80" w:type="dxa"/>
            <w:vAlign w:val="bottom"/>
            <w:tcBorders>
              <w:right w:val="single" w:sz="8" w:color="auto"/>
            </w:tcBorders>
            <w:gridSpan w:val="2"/>
            <w:shd w:val="clear" w:color="auto" w:fill="E7E7E2"/>
          </w:tcPr>
          <w:p>
            <w:pPr>
              <w:jc w:val="center"/>
              <w:ind w:right="28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80"/>
      </w:cols>
      <w:pgMar w:left="300" w:top="120" w:right="319" w:bottom="95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
      <w:numFmt w:val="bullet"/>
      <w:start w:val="1"/>
    </w:lvl>
  </w:abstractNum>
  <w:abstractNum w:abstractNumId="2">
    <w:nsid w:val="7BD3EE7B"/>
    <w:multiLevelType w:val="hybridMultilevel"/>
    <w:lvl w:ilvl="0">
      <w:lvlJc w:val="left"/>
      <w:lvlText w:val="•"/>
      <w:numFmt w:val="bullet"/>
      <w:start w:val="1"/>
    </w:lvl>
  </w:abstractNum>
  <w:abstractNum w:abstractNumId="3">
    <w:nsid w:val="51D9C564"/>
    <w:multiLevelType w:val="hybridMultilevel"/>
    <w:lvl w:ilvl="0">
      <w:lvlJc w:val="left"/>
      <w:lvlText w:val="•"/>
      <w:numFmt w:val="bullet"/>
      <w:start w:val="1"/>
    </w:lvl>
  </w:abstractNum>
  <w:abstractNum w:abstractNumId="4">
    <w:nsid w:val="613EFDC5"/>
    <w:multiLevelType w:val="hybridMultilevel"/>
    <w:lvl w:ilvl="0">
      <w:lvlJc w:val="left"/>
      <w:lvlText w:val="•"/>
      <w:numFmt w:val="bullet"/>
      <w:start w:val="1"/>
    </w:lvl>
  </w:abstractNum>
  <w:abstractNum w:abstractNumId="5">
    <w:nsid w:val="BF72B14"/>
    <w:multiLevelType w:val="hybridMultilevel"/>
    <w:lvl w:ilvl="0">
      <w:lvlJc w:val="left"/>
      <w:lvlText w:val="•"/>
      <w:numFmt w:val="bullet"/>
      <w:start w:val="1"/>
    </w:lvl>
  </w:abstractNum>
  <w:abstractNum w:abstractNumId="6">
    <w:nsid w:val="11447B73"/>
    <w:multiLevelType w:val="hybridMultilevel"/>
    <w:lvl w:ilvl="0">
      <w:lvlJc w:val="left"/>
      <w:lvlText w:val="•"/>
      <w:numFmt w:val="bullet"/>
      <w:start w:val="1"/>
    </w:lvl>
  </w:abstractNum>
  <w:abstractNum w:abstractNumId="7">
    <w:nsid w:val="42963E5A"/>
    <w:multiLevelType w:val="hybridMultilevel"/>
    <w:lvl w:ilvl="0">
      <w:lvlJc w:val="left"/>
      <w:lvlText w:val="•"/>
      <w:numFmt w:val="bullet"/>
      <w:start w:val="1"/>
    </w:lvl>
  </w:abstractNum>
  <w:abstractNum w:abstractNumId="8">
    <w:nsid w:val="A0382C5"/>
    <w:multiLevelType w:val="hybridMultilevel"/>
    <w:lvl w:ilvl="0">
      <w:lvlJc w:val="left"/>
      <w:lvlText w:val="•"/>
      <w:numFmt w:val="bullet"/>
      <w:start w:val="1"/>
    </w:lvl>
  </w:abstractNum>
  <w:abstractNum w:abstractNumId="9">
    <w:nsid w:val="8F2B15E"/>
    <w:multiLevelType w:val="hybridMultilevel"/>
    <w:lvl w:ilvl="0">
      <w:lvlJc w:val="left"/>
      <w:lvlText w:val="•"/>
      <w:numFmt w:val="bullet"/>
      <w:start w:val="1"/>
    </w:lvl>
  </w:abstractNum>
  <w:abstractNum w:abstractNumId="10">
    <w:nsid w:val="1A32234B"/>
    <w:multiLevelType w:val="hybridMultilevel"/>
    <w:lvl w:ilvl="0">
      <w:lvlJc w:val="left"/>
      <w:lvlText w:val="•"/>
      <w:numFmt w:val="bullet"/>
      <w:start w:val="1"/>
    </w:lvl>
  </w:abstractNum>
  <w:abstractNum w:abstractNumId="11">
    <w:nsid w:val="3B0FD379"/>
    <w:multiLevelType w:val="hybridMultilevel"/>
    <w:lvl w:ilvl="0">
      <w:lvlJc w:val="left"/>
      <w:lvlText w:val="•"/>
      <w:numFmt w:val="bullet"/>
      <w:start w:val="1"/>
    </w:lvl>
  </w:abstractNum>
  <w:abstractNum w:abstractNumId="12">
    <w:nsid w:val="68EB2F63"/>
    <w:multiLevelType w:val="hybridMultilevel"/>
    <w:lvl w:ilvl="0">
      <w:lvlJc w:val="left"/>
      <w:lvlText w:val="•"/>
      <w:numFmt w:val="bullet"/>
      <w:start w:val="1"/>
    </w:lvl>
  </w:abstractNum>
  <w:abstractNum w:abstractNumId="13">
    <w:nsid w:val="4962813B"/>
    <w:multiLevelType w:val="hybridMultilevel"/>
    <w:lvl w:ilvl="0">
      <w:lvlJc w:val="left"/>
      <w:lvlText w:val="•"/>
      <w:numFmt w:val="bullet"/>
      <w:start w:val="1"/>
    </w:lvl>
  </w:abstractNum>
  <w:abstractNum w:abstractNumId="14">
    <w:nsid w:val="60B6DF70"/>
    <w:multiLevelType w:val="hybridMultilevel"/>
    <w:lvl w:ilvl="0">
      <w:lvlJc w:val="left"/>
      <w:lvlText w:val="•"/>
      <w:numFmt w:val="bullet"/>
      <w:start w:val="1"/>
    </w:lvl>
  </w:abstractNum>
  <w:abstractNum w:abstractNumId="15">
    <w:nsid w:val="6A5EE64"/>
    <w:multiLevelType w:val="hybridMultilevel"/>
    <w:lvl w:ilvl="0">
      <w:lvlJc w:val="left"/>
      <w:lvlText w:val="•"/>
      <w:numFmt w:val="bullet"/>
      <w:start w:val="1"/>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abstractNum>
  <w:abstractNum w:abstractNumId="21">
    <w:nsid w:val="7FB7E0AA"/>
    <w:multiLevelType w:val="hybridMultilevel"/>
    <w:lvl w:ilvl="0">
      <w:lvlJc w:val="left"/>
      <w:lvlText w:val="•"/>
      <w:numFmt w:val="bullet"/>
      <w:start w:val="1"/>
    </w:lvl>
  </w:abstractNum>
  <w:abstractNum w:abstractNumId="22">
    <w:nsid w:val="6EB5BD4"/>
    <w:multiLevelType w:val="hybridMultilevel"/>
    <w:lvl w:ilvl="0">
      <w:lvlJc w:val="left"/>
      <w:lvlText w:val="•"/>
      <w:numFmt w:val="bullet"/>
      <w:start w:val="1"/>
    </w:lvl>
  </w:abstractNum>
  <w:abstractNum w:abstractNumId="23">
    <w:nsid w:val="6F6DD9AC"/>
    <w:multiLevelType w:val="hybridMultilevel"/>
    <w:lvl w:ilvl="0">
      <w:lvlJc w:val="left"/>
      <w:lvlText w:val="•"/>
      <w:numFmt w:val="bullet"/>
      <w:start w:val="1"/>
    </w:lvl>
  </w:abstractNum>
  <w:abstractNum w:abstractNumId="24">
    <w:nsid w:val="94211F2"/>
    <w:multiLevelType w:val="hybridMultilevel"/>
    <w:lvl w:ilvl="0">
      <w:lvlJc w:val="left"/>
      <w:lvlText w:val="•"/>
      <w:numFmt w:val="bullet"/>
      <w:start w:val="1"/>
    </w:lvl>
  </w:abstractNum>
  <w:abstractNum w:abstractNumId="25">
    <w:nsid w:val="885E1B"/>
    <w:multiLevelType w:val="hybridMultilevel"/>
    <w:lvl w:ilvl="0">
      <w:lvlJc w:val="left"/>
      <w:lvlText w:val="•"/>
      <w:numFmt w:val="bullet"/>
      <w:start w:val="1"/>
    </w:lvl>
  </w:abstractNum>
  <w:abstractNum w:abstractNumId="26">
    <w:nsid w:val="76272110"/>
    <w:multiLevelType w:val="hybridMultilevel"/>
    <w:lvl w:ilvl="0">
      <w:lvlJc w:val="left"/>
      <w:lvlText w:val="(%1)"/>
      <w:numFmt w:val="decimal"/>
      <w:start w:val="1"/>
    </w:lvl>
  </w:abstractNum>
  <w:abstractNum w:abstractNumId="27">
    <w:nsid w:val="4C04A8AF"/>
    <w:multiLevelType w:val="hybridMultilevel"/>
    <w:lvl w:ilvl="0">
      <w:lvlJc w:val="left"/>
      <w:lvlText w:val=" "/>
      <w:numFmt w:val="bullet"/>
      <w:start w:val="1"/>
    </w:lvl>
  </w:abstractNum>
  <w:abstractNum w:abstractNumId="28">
    <w:nsid w:val="1716703B"/>
    <w:multiLevelType w:val="hybridMultilevel"/>
    <w:lvl w:ilvl="0">
      <w:lvlJc w:val="left"/>
      <w:lvlText w:val=" "/>
      <w:numFmt w:val="bullet"/>
      <w:start w:val="1"/>
    </w:lvl>
  </w:abstractNum>
  <w:abstractNum w:abstractNumId="29">
    <w:nsid w:val="14E17E33"/>
    <w:multiLevelType w:val="hybridMultilevel"/>
    <w:lvl w:ilvl="0">
      <w:lvlJc w:val="left"/>
      <w:lvlText w:val=" "/>
      <w:numFmt w:val="bullet"/>
      <w:start w:val="1"/>
    </w:lvl>
  </w:abstractNum>
  <w:abstractNum w:abstractNumId="30">
    <w:nsid w:val="3222E7CD"/>
    <w:multiLevelType w:val="hybridMultilevel"/>
    <w:lvl w:ilvl="0">
      <w:lvlJc w:val="left"/>
      <w:lvlText w:val="*"/>
      <w:numFmt w:val="bullet"/>
      <w:start w:val="1"/>
    </w:lvl>
  </w:abstractNum>
  <w:abstractNum w:abstractNumId="31">
    <w:nsid w:val="74DE0EE3"/>
    <w:multiLevelType w:val="hybridMultilevel"/>
    <w:lvl w:ilvl="0">
      <w:lvlJc w:val="left"/>
      <w:lvlText w:val="(%1)"/>
      <w:numFmt w:val="decimal"/>
      <w:start w:val="1"/>
    </w:lvl>
  </w:abstractNum>
  <w:abstractNum w:abstractNumId="32">
    <w:nsid w:val="68EBC550"/>
    <w:multiLevelType w:val="hybridMultilevel"/>
    <w:lvl w:ilvl="0">
      <w:lvlJc w:val="left"/>
      <w:lvlText w:val="(%1)"/>
      <w:numFmt w:val="lowerRoman"/>
      <w:start w:val="2"/>
    </w:lvl>
  </w:abstractNum>
  <w:abstractNum w:abstractNumId="33">
    <w:nsid w:val="2DF6D648"/>
    <w:multiLevelType w:val="hybridMultilevel"/>
    <w:lvl w:ilvl="0">
      <w:lvlJc w:val="left"/>
      <w:lvlText w:val="(%1)"/>
      <w:numFmt w:val="decimal"/>
      <w:start w:val="2"/>
    </w:lvl>
  </w:abstractNum>
  <w:abstractNum w:abstractNumId="34">
    <w:nsid w:val="46B7D447"/>
    <w:multiLevelType w:val="hybridMultilevel"/>
    <w:lvl w:ilvl="0">
      <w:lvlJc w:val="left"/>
      <w:lvlText w:val="(%1)"/>
      <w:numFmt w:val="upperLetter"/>
      <w:start w:val="1"/>
    </w:lvl>
  </w:abstractNum>
  <w:abstractNum w:abstractNumId="35">
    <w:nsid w:val="4A2AC315"/>
    <w:multiLevelType w:val="hybridMultilevel"/>
    <w:lvl w:ilvl="0">
      <w:lvlJc w:val="left"/>
      <w:lvlText w:val="(%1)"/>
      <w:numFmt w:val="decimal"/>
      <w:start w:val="6"/>
    </w:lvl>
  </w:abstractNum>
  <w:abstractNum w:abstractNumId="36">
    <w:nsid w:val="39EE015C"/>
    <w:multiLevelType w:val="hybridMultilevel"/>
    <w:lvl w:ilvl="0">
      <w:lvlJc w:val="left"/>
      <w:lvlText w:val="(%1)"/>
      <w:numFmt w:val="lowerRoman"/>
      <w:start w:val="1"/>
    </w:lvl>
  </w:abstractNum>
  <w:abstractNum w:abstractNumId="37">
    <w:nsid w:val="57FC4FBB"/>
    <w:multiLevelType w:val="hybridMultilevel"/>
    <w:lvl w:ilvl="0">
      <w:lvlJc w:val="left"/>
      <w:lvlText w:val="(%1)"/>
      <w:numFmt w:val="lowerLetter"/>
      <w:start w:val="2"/>
    </w:lvl>
  </w:abstractNum>
  <w:abstractNum w:abstractNumId="38">
    <w:nsid w:val="CC1016F"/>
    <w:multiLevelType w:val="hybridMultilevel"/>
    <w:lvl w:ilvl="0">
      <w:lvlJc w:val="left"/>
      <w:lvlText w:val="(%1)"/>
      <w:numFmt w:val="lowerLetter"/>
      <w:start w:val="8"/>
    </w:lvl>
  </w:abstractNum>
  <w:abstractNum w:abstractNumId="39">
    <w:nsid w:val="43F18422"/>
    <w:multiLevelType w:val="hybridMultilevel"/>
    <w:lvl w:ilvl="0">
      <w:lvlJc w:val="left"/>
      <w:lvlText w:val="(%1)"/>
      <w:numFmt w:val="lowerLetter"/>
      <w:start w:val="10"/>
    </w:lvl>
  </w:abstractNum>
  <w:abstractNum w:abstractNumId="40">
    <w:nsid w:val="60EF0119"/>
    <w:multiLevelType w:val="hybridMultilevel"/>
    <w:lvl w:ilvl="0">
      <w:lvlJc w:val="left"/>
      <w:lvlText w:val="(%1)"/>
      <w:numFmt w:val="lowerLetter"/>
      <w:start w:val="1"/>
    </w:lvl>
  </w:abstractNum>
  <w:abstractNum w:abstractNumId="41">
    <w:nsid w:val="26F324BA"/>
    <w:multiLevelType w:val="hybridMultilevel"/>
    <w:lvl w:ilvl="0">
      <w:lvlJc w:val="left"/>
      <w:lvlText w:val="(%1)"/>
      <w:numFmt w:val="lowerLetter"/>
      <w:start w:val="1"/>
    </w:lvl>
  </w:abstractNum>
  <w:abstractNum w:abstractNumId="42">
    <w:nsid w:val="7F01579B"/>
    <w:multiLevelType w:val="hybridMultilevel"/>
    <w:lvl w:ilvl="0">
      <w:lvlJc w:val="left"/>
      <w:lvlText w:val="(%1)"/>
      <w:numFmt w:val="lowerLetter"/>
      <w:start w:val="2"/>
    </w:lvl>
  </w:abstractNum>
  <w:abstractNum w:abstractNumId="43">
    <w:nsid w:val="49DA307D"/>
    <w:multiLevelType w:val="hybridMultilevel"/>
    <w:lvl w:ilvl="0">
      <w:lvlJc w:val="left"/>
      <w:lvlText w:val="(%1)"/>
      <w:numFmt w:val="lowerLetter"/>
      <w:start w:val="3"/>
    </w:lvl>
  </w:abstractNum>
  <w:abstractNum w:abstractNumId="44">
    <w:nsid w:val="7055A5F5"/>
    <w:multiLevelType w:val="hybridMultilevel"/>
    <w:lvl w:ilvl="0">
      <w:lvlJc w:val="left"/>
      <w:lvlText w:val="(%1)"/>
      <w:numFmt w:val="lowerLetter"/>
      <w:start w:val="7"/>
    </w:lvl>
  </w:abstractNum>
  <w:abstractNum w:abstractNumId="45">
    <w:nsid w:val="5FB8370B"/>
    <w:multiLevelType w:val="hybridMultilevel"/>
    <w:lvl w:ilvl="0">
      <w:lvlJc w:val="left"/>
      <w:lvlText w:val="(%1)"/>
      <w:numFmt w:val="lowerLetter"/>
      <w:start w:val="61"/>
    </w:lvl>
    <w:lvl w:ilvl="1">
      <w:lvlJc w:val="left"/>
      <w:lvlText w:val="%2"/>
      <w:numFmt w:val="lowerLetter"/>
      <w:start w:val="1"/>
    </w:lvl>
  </w:abstractNum>
  <w:abstractNum w:abstractNumId="46">
    <w:nsid w:val="50801EE1"/>
    <w:multiLevelType w:val="hybridMultilevel"/>
    <w:lvl w:ilvl="0">
      <w:lvlJc w:val="left"/>
      <w:lvlText w:val="(%1)"/>
      <w:numFmt w:val="lowerLetter"/>
      <w:start w:val="35"/>
    </w:lvl>
    <w:lvl w:ilvl="1">
      <w:lvlJc w:val="left"/>
      <w:lvlText w:val="(%2)"/>
      <w:numFmt w:val="lowerLetter"/>
      <w:start w:val="11"/>
    </w:lvl>
  </w:abstractNum>
  <w:abstractNum w:abstractNumId="47">
    <w:nsid w:val="488AC1A"/>
    <w:multiLevelType w:val="hybridMultilevel"/>
    <w:lvl w:ilvl="0">
      <w:lvlJc w:val="left"/>
      <w:lvlText w:val="(%1)"/>
      <w:numFmt w:val="lowerLetter"/>
      <w:start w:val="13"/>
    </w:lvl>
  </w:abstractNum>
  <w:abstractNum w:abstractNumId="48">
    <w:nsid w:val="5FB8011C"/>
    <w:multiLevelType w:val="hybridMultilevel"/>
    <w:lvl w:ilvl="0">
      <w:lvlJc w:val="left"/>
      <w:lvlText w:val="(%1)"/>
      <w:numFmt w:val="lowerLetter"/>
      <w:start w:val="17"/>
    </w:lvl>
  </w:abstractNum>
  <w:abstractNum w:abstractNumId="49">
    <w:nsid w:val="6AA78F7F"/>
    <w:multiLevelType w:val="hybridMultilevel"/>
    <w:lvl w:ilvl="0">
      <w:lvlJc w:val="left"/>
      <w:lvlText w:val="(%1)"/>
      <w:numFmt w:val="lowerLetter"/>
      <w:start w:val="21"/>
    </w:lvl>
  </w:abstractNum>
  <w:abstractNum w:abstractNumId="50">
    <w:nsid w:val="7672BD23"/>
    <w:multiLevelType w:val="hybridMultilevel"/>
    <w:lvl w:ilvl="0">
      <w:lvlJc w:val="left"/>
      <w:lvlText w:val="(%1)"/>
      <w:numFmt w:val="lowerLetter"/>
      <w:start w:val="22"/>
    </w:lvl>
  </w:abstractNum>
  <w:abstractNum w:abstractNumId="51">
    <w:nsid w:val="6FC75AF8"/>
    <w:multiLevelType w:val="hybridMultilevel"/>
    <w:lvl w:ilvl="0">
      <w:lvlJc w:val="left"/>
      <w:lvlText w:val="(%1)"/>
      <w:numFmt w:val="lowerLetter"/>
      <w:start w:val="24"/>
    </w:lvl>
  </w:abstractNum>
  <w:abstractNum w:abstractNumId="52">
    <w:nsid w:val="6A5F7029"/>
    <w:multiLevelType w:val="hybridMultilevel"/>
    <w:lvl w:ilvl="0">
      <w:lvlJc w:val="left"/>
      <w:lvlText w:val="(%1)"/>
      <w:numFmt w:val="lowerLetter"/>
      <w:start w:val="27"/>
    </w:lvl>
  </w:abstractNum>
  <w:abstractNum w:abstractNumId="53">
    <w:nsid w:val="7D5E18F8"/>
    <w:multiLevelType w:val="hybridMultilevel"/>
    <w:lvl w:ilvl="0">
      <w:lvlJc w:val="left"/>
      <w:lvlText w:val="%1"/>
      <w:numFmt w:val="lowerLetter"/>
      <w:start w:val="1"/>
    </w:lvl>
    <w:lvl w:ilvl="1">
      <w:lvlJc w:val="left"/>
      <w:lvlText w:val="(%2)"/>
      <w:numFmt w:val="lowerLetter"/>
      <w:start w:val="32"/>
    </w:lvl>
  </w:abstractNum>
  <w:abstractNum w:abstractNumId="54">
    <w:nsid w:val="5F3534A4"/>
    <w:multiLevelType w:val="hybridMultilevel"/>
    <w:lvl w:ilvl="0">
      <w:lvlJc w:val="left"/>
      <w:lvlText w:val="(%1)"/>
      <w:numFmt w:val="lowerLetter"/>
      <w:start w:val="9"/>
    </w:lvl>
    <w:lvl w:ilvl="1">
      <w:lvlJc w:val="left"/>
      <w:lvlText w:val="%2"/>
      <w:numFmt w:val="lowerLetter"/>
      <w:start w:val="1"/>
    </w:lvl>
  </w:abstractNum>
  <w:abstractNum w:abstractNumId="55">
    <w:nsid w:val="73A1821B"/>
    <w:multiLevelType w:val="hybridMultilevel"/>
    <w:lvl w:ilvl="0">
      <w:lvlJc w:val="left"/>
      <w:lvlText w:val="(%1)"/>
      <w:numFmt w:val="lowerLetter"/>
      <w:start w:val="35"/>
    </w:lvl>
  </w:abstractNum>
  <w:abstractNum w:abstractNumId="56">
    <w:nsid w:val="7DE67713"/>
    <w:multiLevelType w:val="hybridMultilevel"/>
    <w:lvl w:ilvl="0">
      <w:lvlJc w:val="left"/>
      <w:lvlText w:val="(%1)"/>
      <w:numFmt w:val="lowerLetter"/>
      <w:start w:val="40"/>
    </w:lvl>
  </w:abstractNum>
  <w:abstractNum w:abstractNumId="57">
    <w:nsid w:val="555C55B5"/>
    <w:multiLevelType w:val="hybridMultilevel"/>
    <w:lvl w:ilvl="0">
      <w:lvlJc w:val="left"/>
      <w:lvlText w:val="%1"/>
      <w:numFmt w:val="lowerRoman"/>
      <w:start w:val="1"/>
    </w:lvl>
    <w:lvl w:ilvl="1">
      <w:lvlJc w:val="left"/>
      <w:lvlText w:val="(%2)"/>
      <w:numFmt w:val="lowerLetter"/>
      <w:start w:val="45"/>
    </w:lvl>
  </w:abstractNum>
  <w:abstractNum w:abstractNumId="58">
    <w:nsid w:val="3FA62ACA"/>
    <w:multiLevelType w:val="hybridMultilevel"/>
    <w:lvl w:ilvl="0">
      <w:lvlJc w:val="left"/>
      <w:lvlText w:val="(%1)"/>
      <w:numFmt w:val="lowerRoman"/>
      <w:start w:val="6"/>
    </w:lvl>
    <w:lvl w:ilvl="1">
      <w:lvlJc w:val="left"/>
      <w:lvlText w:val="%2"/>
      <w:numFmt w:val="lowerLetter"/>
      <w:start w:val="1"/>
    </w:lvl>
  </w:abstractNum>
  <w:abstractNum w:abstractNumId="59">
    <w:nsid w:val="14FCE74E"/>
    <w:multiLevelType w:val="hybridMultilevel"/>
    <w:lvl w:ilvl="0">
      <w:lvlJc w:val="left"/>
      <w:lvlText w:val="(%1)"/>
      <w:numFmt w:val="lowerLetter"/>
      <w:start w:val="48"/>
    </w:lvl>
    <w:lvl w:ilvl="1">
      <w:lvlJc w:val="left"/>
      <w:lvlText w:val="(%2)"/>
      <w:numFmt w:val="lowerLetter"/>
      <w:start w:val="1"/>
    </w:lvl>
  </w:abstractNum>
  <w:abstractNum w:abstractNumId="60">
    <w:nsid w:val="6A3DD3E8"/>
    <w:multiLevelType w:val="hybridMultilevel"/>
    <w:lvl w:ilvl="0">
      <w:lvlJc w:val="left"/>
      <w:lvlText w:val="(%1)"/>
      <w:numFmt w:val="lowerLetter"/>
      <w:start w:val="35"/>
    </w:lvl>
    <w:lvl w:ilvl="1">
      <w:lvlJc w:val="left"/>
      <w:lvlText w:val="(%2)"/>
      <w:numFmt w:val="lowerLetter"/>
      <w:start w:val="1"/>
    </w:lvl>
  </w:abstractNum>
  <w:abstractNum w:abstractNumId="61">
    <w:nsid w:val="71C91298"/>
    <w:multiLevelType w:val="hybridMultilevel"/>
    <w:lvl w:ilvl="0">
      <w:lvlJc w:val="left"/>
      <w:lvlText w:val="(%1)"/>
      <w:numFmt w:val="upperLetter"/>
      <w:start w:val="2"/>
    </w:lvl>
  </w:abstractNum>
  <w:abstractNum w:abstractNumId="62">
    <w:nsid w:val="9DAF632"/>
    <w:multiLevelType w:val="hybridMultilevel"/>
    <w:lvl w:ilvl="0">
      <w:lvlJc w:val="left"/>
      <w:lvlText w:val="(%1)"/>
      <w:numFmt w:val="lowerRoman"/>
      <w:start w:val="3"/>
    </w:lvl>
  </w:abstractNum>
  <w:abstractNum w:abstractNumId="63">
    <w:nsid w:val="53299938"/>
    <w:multiLevelType w:val="hybridMultilevel"/>
    <w:lvl w:ilvl="0">
      <w:lvlJc w:val="left"/>
      <w:lvlText w:val="(%1)"/>
      <w:numFmt w:val="lowerLetter"/>
      <w:start w:val="52"/>
    </w:lvl>
  </w:abstractNum>
  <w:abstractNum w:abstractNumId="64">
    <w:nsid w:val="1FBFE8E0"/>
    <w:multiLevelType w:val="hybridMultilevel"/>
    <w:lvl w:ilvl="0">
      <w:lvlJc w:val="left"/>
      <w:lvlText w:val="(%1)"/>
      <w:numFmt w:val="lowerLetter"/>
      <w:start w:val="53"/>
    </w:lvl>
  </w:abstractNum>
  <w:abstractNum w:abstractNumId="65">
    <w:nsid w:val="5092CA79"/>
    <w:multiLevelType w:val="hybridMultilevel"/>
    <w:lvl w:ilvl="0">
      <w:lvlJc w:val="left"/>
      <w:lvlText w:val="(%1)"/>
      <w:numFmt w:val="lowerLetter"/>
      <w:start w:val="1"/>
    </w:lvl>
  </w:abstractNum>
  <w:abstractNum w:abstractNumId="66">
    <w:nsid w:val="1D545C4D"/>
    <w:multiLevelType w:val="hybridMultilevel"/>
    <w:lvl w:ilvl="0">
      <w:lvlJc w:val="left"/>
      <w:lvlText w:val="(%1)"/>
      <w:numFmt w:val="lowerLetter"/>
      <w:start w:val="2"/>
    </w:lvl>
  </w:abstractNum>
  <w:abstractNum w:abstractNumId="67">
    <w:nsid w:val="59ADEA3D"/>
    <w:multiLevelType w:val="hybridMultilevel"/>
    <w:lvl w:ilvl="0">
      <w:lvlJc w:val="left"/>
      <w:lvlText w:val="%1"/>
      <w:numFmt w:val="upperLetter"/>
      <w:start w:val="1"/>
    </w:lvl>
    <w:lvl w:ilvl="1">
      <w:lvlJc w:val="left"/>
      <w:lvlText w:val="(%2)"/>
      <w:numFmt w:val="lowerRoman"/>
      <w:start w:val="1"/>
    </w:lvl>
  </w:abstractNum>
  <w:abstractNum w:abstractNumId="68">
    <w:nsid w:val="288F1A34"/>
    <w:multiLevelType w:val="hybridMultilevel"/>
    <w:lvl w:ilvl="0">
      <w:lvlJc w:val="left"/>
      <w:lvlText w:val="(%1)"/>
      <w:numFmt w:val="upperLetter"/>
      <w:start w:val="9"/>
    </w:lvl>
    <w:lvl w:ilvl="1">
      <w:lvlJc w:val="left"/>
      <w:lvlText w:val="(%2)"/>
      <w:numFmt w:val="lowerRoman"/>
      <w:start w:val="2"/>
    </w:lvl>
  </w:abstractNum>
  <w:abstractNum w:abstractNumId="69">
    <w:nsid w:val="2A155DBC"/>
    <w:multiLevelType w:val="hybridMultilevel"/>
    <w:lvl w:ilvl="0">
      <w:lvlJc w:val="left"/>
      <w:lvlText w:val="(%1)"/>
      <w:numFmt w:val="upperLetter"/>
      <w:start w:val="2"/>
    </w:lvl>
    <w:lvl w:ilvl="1">
      <w:lvlJc w:val="left"/>
      <w:lvlText w:val="(%2)"/>
      <w:numFmt w:val="lowerRoman"/>
      <w:start w:val="4"/>
    </w:lvl>
  </w:abstractNum>
  <w:abstractNum w:abstractNumId="70">
    <w:nsid w:val="1D9F6E5F"/>
    <w:multiLevelType w:val="hybridMultilevel"/>
    <w:lvl w:ilvl="0">
      <w:lvlJc w:val="left"/>
      <w:lvlText w:val="%1"/>
      <w:numFmt w:val="lowerRoman"/>
      <w:start w:val="1"/>
    </w:lvl>
    <w:lvl w:ilvl="1">
      <w:lvlJc w:val="left"/>
      <w:lvlText w:val="(%2)"/>
      <w:numFmt w:val="lowerRoman"/>
      <w:start w:val="6"/>
    </w:lvl>
  </w:abstractNum>
  <w:abstractNum w:abstractNumId="71">
    <w:nsid w:val="97E1B4E"/>
    <w:multiLevelType w:val="hybridMultilevel"/>
    <w:lvl w:ilvl="0">
      <w:lvlJc w:val="left"/>
      <w:lvlText w:val="(%1)"/>
      <w:numFmt w:val="lowerRoman"/>
      <w:start w:val="5"/>
    </w:lvl>
    <w:lvl w:ilvl="1">
      <w:lvlJc w:val="left"/>
      <w:lvlText w:val="(%2)"/>
      <w:numFmt w:val="lowerRoman"/>
      <w:start w:val="7"/>
    </w:lvl>
  </w:abstractNum>
  <w:abstractNum w:abstractNumId="72">
    <w:nsid w:val="51088277"/>
    <w:multiLevelType w:val="hybridMultilevel"/>
    <w:lvl w:ilvl="0">
      <w:lvlJc w:val="left"/>
      <w:lvlText w:val="(%1)"/>
      <w:numFmt w:val="lowerLetter"/>
      <w:start w:val="3"/>
    </w:lvl>
  </w:abstractNum>
  <w:abstractNum w:abstractNumId="73">
    <w:nsid w:val="1CA0C5FA"/>
    <w:multiLevelType w:val="hybridMultilevel"/>
    <w:lvl w:ilvl="0">
      <w:lvlJc w:val="left"/>
      <w:lvlText w:val="(%1)"/>
      <w:numFmt w:val="lowerLetter"/>
      <w:start w:val="1"/>
    </w:lvl>
  </w:abstractNum>
  <w:abstractNum w:abstractNumId="74">
    <w:nsid w:val="53584BCB"/>
    <w:multiLevelType w:val="hybridMultilevel"/>
    <w:lvl w:ilvl="0">
      <w:lvlJc w:val="left"/>
      <w:lvlText w:val="(%1)"/>
      <w:numFmt w:val="lowerLetter"/>
      <w:start w:val="3"/>
    </w:lvl>
  </w:abstractNum>
  <w:abstractNum w:abstractNumId="75">
    <w:nsid w:val="415E286C"/>
    <w:multiLevelType w:val="hybridMultilevel"/>
    <w:lvl w:ilvl="0">
      <w:lvlJc w:val="left"/>
      <w:lvlText w:val="(%1)"/>
      <w:numFmt w:val="lowerLetter"/>
      <w:start w:val="5"/>
    </w:lvl>
  </w:abstractNum>
  <w:abstractNum w:abstractNumId="76">
    <w:nsid w:val="7C58FD05"/>
    <w:multiLevelType w:val="hybridMultilevel"/>
    <w:lvl w:ilvl="0">
      <w:lvlJc w:val="left"/>
      <w:lvlText w:val="(%1)"/>
      <w:numFmt w:val="lowerLetter"/>
      <w:start w:val="9"/>
    </w:lvl>
  </w:abstractNum>
  <w:abstractNum w:abstractNumId="77">
    <w:nsid w:val="23D86AAC"/>
    <w:multiLevelType w:val="hybridMultilevel"/>
    <w:lvl w:ilvl="0">
      <w:lvlJc w:val="left"/>
      <w:lvlText w:val="(%1)"/>
      <w:numFmt w:val="lowerLetter"/>
      <w:start w:val="12"/>
    </w:lvl>
    <w:lvl w:ilvl="1">
      <w:lvlJc w:val="left"/>
      <w:lvlText w:val="(%2)"/>
      <w:numFmt w:val="upperLetter"/>
      <w:start w:val="1"/>
    </w:lvl>
  </w:abstractNum>
  <w:abstractNum w:abstractNumId="78">
    <w:nsid w:val="45E6D486"/>
    <w:multiLevelType w:val="hybridMultilevel"/>
    <w:lvl w:ilvl="0">
      <w:lvlJc w:val="left"/>
      <w:lvlText w:val="(%1)"/>
      <w:numFmt w:val="upperLetter"/>
      <w:start w:val="3"/>
    </w:lvl>
  </w:abstractNum>
  <w:abstractNum w:abstractNumId="79">
    <w:nsid w:val="5C10FE21"/>
    <w:multiLevelType w:val="hybridMultilevel"/>
    <w:lvl w:ilvl="0">
      <w:lvlJc w:val="left"/>
      <w:lvlText w:val="(%1)"/>
      <w:numFmt w:val="lowerLetter"/>
      <w:start w:val="16"/>
    </w:lvl>
  </w:abstractNum>
  <w:abstractNum w:abstractNumId="80">
    <w:nsid w:val="E7FFA2B"/>
    <w:multiLevelType w:val="hybridMultilevel"/>
    <w:lvl w:ilvl="0">
      <w:lvlJc w:val="left"/>
      <w:lvlText w:val="(%1)"/>
      <w:numFmt w:val="lowerLetter"/>
      <w:start w:val="18"/>
    </w:lvl>
  </w:abstractNum>
  <w:abstractNum w:abstractNumId="81">
    <w:nsid w:val="3C5991AA"/>
    <w:multiLevelType w:val="hybridMultilevel"/>
    <w:lvl w:ilvl="0">
      <w:lvlJc w:val="left"/>
      <w:lvlText w:val="%1"/>
      <w:numFmt w:val="lowerRoman"/>
      <w:start w:val="1"/>
    </w:lvl>
    <w:lvl w:ilvl="1">
      <w:lvlJc w:val="left"/>
      <w:lvlText w:val="(%2)"/>
      <w:numFmt w:val="lowerLetter"/>
      <w:start w:val="1"/>
    </w:lvl>
  </w:abstractNum>
  <w:abstractNum w:abstractNumId="82">
    <w:nsid w:val="4BD8591A"/>
    <w:multiLevelType w:val="hybridMultilevel"/>
    <w:lvl w:ilvl="0">
      <w:lvlJc w:val="left"/>
      <w:lvlText w:val="%1"/>
      <w:numFmt w:val="lowerRoman"/>
      <w:start w:val="1"/>
    </w:lvl>
    <w:lvl w:ilvl="1">
      <w:lvlJc w:val="left"/>
      <w:lvlText w:val="(%2)"/>
      <w:numFmt w:val="lowerLetter"/>
      <w:start w:val="9"/>
    </w:lvl>
  </w:abstractNum>
  <w:abstractNum w:abstractNumId="83">
    <w:nsid w:val="78DF6A55"/>
    <w:multiLevelType w:val="hybridMultilevel"/>
    <w:lvl w:ilvl="0">
      <w:lvlJc w:val="left"/>
      <w:lvlText w:val="%1"/>
      <w:numFmt w:val="lowerRoman"/>
      <w:start w:val="1"/>
    </w:lvl>
    <w:lvl w:ilvl="1">
      <w:lvlJc w:val="left"/>
      <w:lvlText w:val="(%2)"/>
      <w:numFmt w:val="lowerLetter"/>
      <w:start w:val="35"/>
    </w:lvl>
  </w:abstractNum>
  <w:abstractNum w:abstractNumId="84">
    <w:nsid w:val="39B7AAA2"/>
    <w:multiLevelType w:val="hybridMultilevel"/>
    <w:lvl w:ilvl="0">
      <w:lvlJc w:val="left"/>
      <w:lvlText w:val="(%1)"/>
      <w:numFmt w:val="lowerRoman"/>
      <w:start w:val="3"/>
    </w:lvl>
  </w:abstractNum>
  <w:abstractNum w:abstractNumId="85">
    <w:nsid w:val="2B0D8DBE"/>
    <w:multiLevelType w:val="hybridMultilevel"/>
    <w:lvl w:ilvl="0">
      <w:lvlJc w:val="left"/>
      <w:lvlText w:val="(%1)"/>
      <w:numFmt w:val="lowerRoman"/>
      <w:start w:val="6"/>
    </w:lvl>
  </w:abstractNum>
  <w:abstractNum w:abstractNumId="86">
    <w:nsid w:val="6C80EC70"/>
    <w:multiLevelType w:val="hybridMultilevel"/>
    <w:lvl w:ilvl="0">
      <w:lvlJc w:val="left"/>
      <w:lvlText w:val="(%1)"/>
      <w:numFmt w:val="lowerLetter"/>
      <w:start w:val="2"/>
    </w:lvl>
  </w:abstractNum>
  <w:abstractNum w:abstractNumId="87">
    <w:nsid w:val="379E21B5"/>
    <w:multiLevelType w:val="hybridMultilevel"/>
    <w:lvl w:ilvl="0">
      <w:lvlJc w:val="left"/>
      <w:lvlText w:val="%1"/>
      <w:numFmt w:val="lowerLetter"/>
      <w:start w:val="1"/>
    </w:lvl>
    <w:lvl w:ilvl="1">
      <w:lvlJc w:val="left"/>
      <w:lvlText w:val="(%2)"/>
      <w:numFmt w:val="lowerLetter"/>
      <w:start w:val="1"/>
    </w:lvl>
  </w:abstractNum>
  <w:abstractNum w:abstractNumId="88">
    <w:nsid w:val="69E373"/>
    <w:multiLevelType w:val="hybridMultilevel"/>
    <w:lvl w:ilvl="0">
      <w:lvlJc w:val="left"/>
      <w:lvlText w:val="(%1)"/>
      <w:numFmt w:val="lowerLetter"/>
      <w:start w:val="35"/>
    </w:lvl>
    <w:lvl w:ilvl="1">
      <w:lvlJc w:val="left"/>
      <w:lvlText w:val="%2"/>
      <w:numFmt w:val="lowerLetter"/>
      <w:start w:val="1"/>
    </w:lvl>
  </w:abstractNum>
  <w:abstractNum w:abstractNumId="89">
    <w:nsid w:val="2C27173B"/>
    <w:multiLevelType w:val="hybridMultilevel"/>
    <w:lvl w:ilvl="0">
      <w:lvlJc w:val="left"/>
      <w:lvlText w:val="(%1)"/>
      <w:numFmt w:val="lowerLetter"/>
      <w:start w:val="2"/>
    </w:lvl>
  </w:abstractNum>
  <w:abstractNum w:abstractNumId="90">
    <w:nsid w:val="4C9B0904"/>
    <w:multiLevelType w:val="hybridMultilevel"/>
    <w:lvl w:ilvl="0">
      <w:lvlJc w:val="left"/>
      <w:lvlText w:val="%1"/>
      <w:numFmt w:val="lowerLetter"/>
      <w:start w:val="1"/>
    </w:lvl>
    <w:lvl w:ilvl="1">
      <w:lvlJc w:val="left"/>
      <w:lvlText w:val="(%2)"/>
      <w:numFmt w:val="lowerLetter"/>
      <w:start w:val="3"/>
    </w:lvl>
  </w:abstractNum>
  <w:abstractNum w:abstractNumId="91">
    <w:nsid w:val="6AA7B75C"/>
    <w:multiLevelType w:val="hybridMultilevel"/>
    <w:lvl w:ilvl="0">
      <w:lvlJc w:val="left"/>
      <w:lvlText w:val="(%1)"/>
      <w:numFmt w:val="lowerLetter"/>
      <w:start w:val="9"/>
    </w:lvl>
    <w:lvl w:ilvl="1">
      <w:lvlJc w:val="left"/>
      <w:lvlText w:val="%2"/>
      <w:numFmt w:val="lowerLetter"/>
      <w:start w:val="1"/>
    </w:lvl>
  </w:abstractNum>
  <w:abstractNum w:abstractNumId="92">
    <w:nsid w:val="1DF029D3"/>
    <w:multiLevelType w:val="hybridMultilevel"/>
    <w:lvl w:ilvl="0">
      <w:lvlJc w:val="left"/>
      <w:lvlText w:val="(%1)"/>
      <w:numFmt w:val="lowerLetter"/>
      <w:start w:val="5"/>
    </w:lvl>
  </w:abstractNum>
  <w:abstractNum w:abstractNumId="93">
    <w:nsid w:val="5675FF36"/>
    <w:multiLevelType w:val="hybridMultilevel"/>
    <w:lvl w:ilvl="0">
      <w:lvlJc w:val="left"/>
      <w:lvlText w:val="%1"/>
      <w:numFmt w:val="lowerRoman"/>
      <w:start w:val="1"/>
    </w:lvl>
    <w:lvl w:ilvl="1">
      <w:lvlJc w:val="left"/>
      <w:lvlText w:val="(%2)"/>
      <w:numFmt w:val="lowerLetter"/>
      <w:start w:val="1"/>
    </w:lvl>
  </w:abstractNum>
  <w:abstractNum w:abstractNumId="94">
    <w:nsid w:val="3DD15094"/>
    <w:multiLevelType w:val="hybridMultilevel"/>
    <w:lvl w:ilvl="0">
      <w:lvlJc w:val="left"/>
      <w:lvlText w:val="%1"/>
      <w:numFmt w:val="lowerRoman"/>
      <w:start w:val="1"/>
    </w:lvl>
    <w:lvl w:ilvl="1">
      <w:lvlJc w:val="left"/>
      <w:lvlText w:val="(%2)"/>
      <w:numFmt w:val="lowerLetter"/>
      <w:start w:val="9"/>
    </w:lvl>
  </w:abstractNum>
  <w:abstractNum w:abstractNumId="95">
    <w:nsid w:val="3DB012B3"/>
    <w:multiLevelType w:val="hybridMultilevel"/>
    <w:lvl w:ilvl="0">
      <w:lvlJc w:val="left"/>
      <w:lvlText w:val="%1"/>
      <w:numFmt w:val="lowerRoman"/>
      <w:start w:val="1"/>
    </w:lvl>
    <w:lvl w:ilvl="1">
      <w:lvlJc w:val="left"/>
      <w:lvlText w:val="(%2)"/>
      <w:numFmt w:val="lowerLetter"/>
      <w:start w:val="35"/>
    </w:lvl>
  </w:abstractNum>
  <w:abstractNum w:abstractNumId="96">
    <w:nsid w:val="2708C9AF"/>
    <w:multiLevelType w:val="hybridMultilevel"/>
    <w:lvl w:ilvl="0">
      <w:lvlJc w:val="left"/>
      <w:lvlText w:val="(%1)"/>
      <w:numFmt w:val="lowerLetter"/>
      <w:start w:val="1"/>
    </w:lvl>
  </w:abstractNum>
  <w:abstractNum w:abstractNumId="97">
    <w:nsid w:val="5B25ACE2"/>
    <w:multiLevelType w:val="hybridMultilevel"/>
    <w:lvl w:ilvl="0">
      <w:lvlJc w:val="left"/>
      <w:lvlText w:val="(%1)"/>
      <w:numFmt w:val="lowerLetter"/>
      <w:start w:val="2"/>
    </w:lvl>
  </w:abstractNum>
  <w:abstractNum w:abstractNumId="98">
    <w:nsid w:val="175DFCF0"/>
    <w:multiLevelType w:val="hybridMultilevel"/>
    <w:lvl w:ilvl="0">
      <w:lvlJc w:val="left"/>
      <w:lvlText w:val="(%1)"/>
      <w:numFmt w:val="lowerLetter"/>
      <w:start w:val="5"/>
    </w:lvl>
  </w:abstractNum>
  <w:abstractNum w:abstractNumId="99">
    <w:nsid w:val="4F97E3E4"/>
    <w:multiLevelType w:val="hybridMultilevel"/>
    <w:lvl w:ilvl="0">
      <w:lvlJc w:val="left"/>
      <w:lvlText w:val="(%1)"/>
      <w:numFmt w:val="lowerLetter"/>
      <w:start w:val="7"/>
    </w:lvl>
    <w:lvl w:ilvl="1">
      <w:lvlJc w:val="left"/>
      <w:lvlText w:val="(%2)"/>
      <w:numFmt w:val="lowerLetter"/>
      <w:start w:val="1"/>
    </w:lvl>
  </w:abstractNum>
  <w:abstractNum w:abstractNumId="100">
    <w:nsid w:val="53B0A9E"/>
    <w:multiLevelType w:val="hybridMultilevel"/>
    <w:lvl w:ilvl="0">
      <w:lvlJc w:val="left"/>
      <w:lvlText w:val="(%1)"/>
      <w:numFmt w:val="lowerRoman"/>
      <w:start w:val="1"/>
    </w:lvl>
  </w:abstractNum>
  <w:abstractNum w:abstractNumId="101">
    <w:nsid w:val="34FD6B4F"/>
    <w:multiLevelType w:val="hybridMultilevel"/>
    <w:lvl w:ilvl="0">
      <w:lvlJc w:val="left"/>
      <w:lvlText w:val="%1."/>
      <w:numFmt w:val="decimal"/>
      <w:start w:val="1"/>
    </w:lvl>
  </w:abstractNum>
  <w:abstractNum w:abstractNumId="102">
    <w:nsid w:val="5915FF32"/>
    <w:multiLevelType w:val="hybridMultilevel"/>
    <w:lvl w:ilvl="0">
      <w:lvlJc w:val="left"/>
      <w:lvlText w:val="%1."/>
      <w:numFmt w:val="decimal"/>
      <w:start w:val="1"/>
    </w:lvl>
  </w:abstractNum>
  <w:abstractNum w:abstractNumId="103">
    <w:nsid w:val="56438D15"/>
    <w:multiLevelType w:val="hybridMultilevel"/>
    <w:lvl w:ilvl="0">
      <w:lvlJc w:val="left"/>
      <w:lvlText w:val="%1."/>
      <w:numFmt w:val="decimal"/>
      <w:start w:val="6"/>
    </w:lvl>
  </w:abstractNum>
  <w:abstractNum w:abstractNumId="104">
    <w:nsid w:val="519E3149"/>
    <w:multiLevelType w:val="hybridMultilevel"/>
    <w:lvl w:ilvl="0">
      <w:lvlJc w:val="left"/>
      <w:lvlText w:val="(%1)"/>
      <w:numFmt w:val="lowerLetter"/>
      <w:start w:val="1"/>
    </w:lvl>
  </w:abstractNum>
  <w:abstractNum w:abstractNumId="105">
    <w:nsid w:val="2C6E4AFD"/>
    <w:multiLevelType w:val="hybridMultilevel"/>
    <w:lvl w:ilvl="0">
      <w:lvlJc w:val="left"/>
      <w:lvlText w:val="(%1)"/>
      <w:numFmt w:val="lowerLetter"/>
      <w:start w:val="1"/>
    </w:lvl>
  </w:abstractNum>
  <w:abstractNum w:abstractNumId="106">
    <w:nsid w:val="17A1B582"/>
    <w:multiLevelType w:val="hybridMultilevel"/>
    <w:lvl w:ilvl="0">
      <w:lvlJc w:val="left"/>
      <w:lvlText w:val="(%1)"/>
      <w:numFmt w:val="lowerLetter"/>
      <w:start w:val="5"/>
    </w:lvl>
  </w:abstractNum>
  <w:abstractNum w:abstractNumId="107">
    <w:nsid w:val="4DF72E4E"/>
    <w:multiLevelType w:val="hybridMultilevel"/>
    <w:lvl w:ilvl="0">
      <w:lvlJc w:val="left"/>
      <w:lvlText w:val="(%1)"/>
      <w:numFmt w:val="lowerLetter"/>
      <w:start w:val="1"/>
    </w:lvl>
  </w:abstractNum>
  <w:abstractNum w:abstractNumId="108">
    <w:nsid w:val="5046B5A9"/>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09">
    <w:nsid w:val="5D888A08"/>
    <w:multiLevelType w:val="hybridMultilevel"/>
    <w:lvl w:ilvl="0">
      <w:lvlJc w:val="left"/>
      <w:lvlText w:val="(%1)"/>
      <w:numFmt w:val="lowerLetter"/>
      <w:start w:val="6"/>
    </w:lvl>
  </w:abstractNum>
  <w:abstractNum w:abstractNumId="110">
    <w:nsid w:val="2A082C70"/>
    <w:multiLevelType w:val="hybridMultilevel"/>
    <w:lvl w:ilvl="0">
      <w:lvlJc w:val="left"/>
      <w:lvlText w:val="(%1)"/>
      <w:numFmt w:val="lowerLetter"/>
      <w:start w:val="1"/>
    </w:lvl>
  </w:abstractNum>
  <w:abstractNum w:abstractNumId="111">
    <w:nsid w:val="5EC6AFD4"/>
    <w:multiLevelType w:val="hybridMultilevel"/>
    <w:lvl w:ilvl="0">
      <w:lvlJc w:val="left"/>
      <w:lvlText w:val="(%1)"/>
      <w:numFmt w:val="lowerLetter"/>
      <w:start w:val="2"/>
    </w:lvl>
  </w:abstractNum>
  <w:abstractNum w:abstractNumId="112">
    <w:nsid w:val="19E21BB2"/>
    <w:multiLevelType w:val="hybridMultilevel"/>
    <w:lvl w:ilvl="0">
      <w:lvlJc w:val="left"/>
      <w:lvlText w:val="(%1)"/>
      <w:numFmt w:val="lowerLetter"/>
      <w:start w:val="1"/>
    </w:lvl>
  </w:abstractNum>
  <w:abstractNum w:abstractNumId="113">
    <w:nsid w:val="75E0858A"/>
    <w:multiLevelType w:val="hybridMultilevel"/>
    <w:lvl w:ilvl="0">
      <w:lvlJc w:val="left"/>
      <w:lvlText w:val="(%1)"/>
      <w:numFmt w:val="lowerLetter"/>
      <w:start w:val="1"/>
    </w:lvl>
  </w:abstractNum>
  <w:abstractNum w:abstractNumId="114">
    <w:nsid w:val="57A61A29"/>
    <w:multiLevelType w:val="hybridMultilevel"/>
    <w:lvl w:ilvl="0">
      <w:lvlJc w:val="left"/>
      <w:lvlText w:val="(%1)"/>
      <w:numFmt w:val="lowerLetter"/>
      <w:start w:val="2"/>
    </w:lvl>
  </w:abstractNum>
  <w:abstractNum w:abstractNumId="115">
    <w:nsid w:val="5399C654"/>
    <w:multiLevelType w:val="hybridMultilevel"/>
    <w:lvl w:ilvl="0">
      <w:lvlJc w:val="left"/>
      <w:lvlText w:val="(%1)"/>
      <w:numFmt w:val="lowerLetter"/>
      <w:start w:val="1"/>
    </w:lvl>
  </w:abstractNum>
  <w:abstractNum w:abstractNumId="116">
    <w:nsid w:val="20EE1348"/>
    <w:multiLevelType w:val="hybridMultilevel"/>
    <w:lvl w:ilvl="0">
      <w:lvlJc w:val="left"/>
      <w:lvlText w:val="(%1)"/>
      <w:numFmt w:val="lowerLetter"/>
      <w:start w:val="1"/>
    </w:lvl>
    <w:lvl w:ilvl="1">
      <w:lvlJc w:val="left"/>
      <w:lvlText w:val="(%2)"/>
      <w:numFmt w:val="lowerRoman"/>
      <w:start w:val="1"/>
    </w:lvl>
  </w:abstractNum>
  <w:abstractNum w:abstractNumId="117">
    <w:nsid w:val="4427069A"/>
    <w:multiLevelType w:val="hybridMultilevel"/>
    <w:lvl w:ilvl="0">
      <w:lvlJc w:val="left"/>
      <w:lvlText w:val="%1"/>
      <w:numFmt w:val="lowerLetter"/>
      <w:start w:val="1"/>
    </w:lvl>
    <w:lvl w:ilvl="1">
      <w:lvlJc w:val="left"/>
      <w:lvlText w:val="(%2)"/>
      <w:numFmt w:val="lowerRoman"/>
      <w:start w:val="2"/>
    </w:lvl>
  </w:abstractNum>
  <w:abstractNum w:abstractNumId="118">
    <w:nsid w:val="B37E80A"/>
    <w:multiLevelType w:val="hybridMultilevel"/>
    <w:lvl w:ilvl="0">
      <w:lvlJc w:val="left"/>
      <w:lvlText w:val="(%1)"/>
      <w:numFmt w:val="lowerLetter"/>
      <w:start w:val="4"/>
    </w:lvl>
    <w:lvl w:ilvl="1">
      <w:lvlJc w:val="left"/>
      <w:lvlText w:val="%2"/>
      <w:numFmt w:val="lowerRoman"/>
      <w:start w:val="1"/>
    </w:lvl>
  </w:abstractNum>
  <w:abstractNum w:abstractNumId="119">
    <w:nsid w:val="2157F6BC"/>
    <w:multiLevelType w:val="hybridMultilevel"/>
    <w:lvl w:ilvl="0">
      <w:lvlJc w:val="left"/>
      <w:lvlText w:val="(%1)"/>
      <w:numFmt w:val="lowerLetter"/>
      <w:start w:val="1"/>
    </w:lvl>
  </w:abstractNum>
  <w:abstractNum w:abstractNumId="120">
    <w:nsid w:val="704E1DD5"/>
    <w:multiLevelType w:val="hybridMultilevel"/>
    <w:lvl w:ilvl="0">
      <w:lvlJc w:val="left"/>
      <w:lvlText w:val="(%1)"/>
      <w:numFmt w:val="lowerLetter"/>
      <w:start w:val="3"/>
    </w:lvl>
  </w:abstractNum>
  <w:abstractNum w:abstractNumId="121">
    <w:nsid w:val="57D2F10E"/>
    <w:multiLevelType w:val="hybridMultilevel"/>
    <w:lvl w:ilvl="0">
      <w:lvlJc w:val="left"/>
      <w:lvlText w:val="(%1)"/>
      <w:numFmt w:val="lowerLetter"/>
      <w:start w:val="1"/>
    </w:lvl>
  </w:abstractNum>
  <w:abstractNum w:abstractNumId="122">
    <w:nsid w:val="BFFAE1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23">
    <w:nsid w:val="E3E47A8"/>
    <w:multiLevelType w:val="hybridMultilevel"/>
    <w:lvl w:ilvl="0">
      <w:lvlJc w:val="left"/>
      <w:lvlText w:val="(%1)"/>
      <w:numFmt w:val="lowerLetter"/>
      <w:start w:val="2"/>
    </w:lvl>
  </w:abstractNum>
  <w:abstractNum w:abstractNumId="124">
    <w:nsid w:val="2E48F044"/>
    <w:multiLevelType w:val="hybridMultilevel"/>
    <w:lvl w:ilvl="0">
      <w:lvlJc w:val="left"/>
      <w:lvlText w:val="(%1)"/>
      <w:numFmt w:val="lowerLetter"/>
      <w:start w:val="1"/>
    </w:lvl>
  </w:abstractNum>
  <w:abstractNum w:abstractNumId="125">
    <w:nsid w:val="49D0FEAC"/>
    <w:multiLevelType w:val="hybridMultilevel"/>
    <w:lvl w:ilvl="0">
      <w:lvlJc w:val="left"/>
      <w:lvlText w:val="(%1)"/>
      <w:numFmt w:val="lowerLetter"/>
      <w:start w:val="1"/>
    </w:lvl>
  </w:abstractNum>
  <w:abstractNum w:abstractNumId="126">
    <w:nsid w:val="4BEE5A5B"/>
    <w:multiLevelType w:val="hybridMultilevel"/>
    <w:lvl w:ilvl="0">
      <w:lvlJc w:val="left"/>
      <w:lvlText w:val="(%1)"/>
      <w:numFmt w:val="lowerLetter"/>
      <w:start w:val="4"/>
    </w:lvl>
  </w:abstractNum>
  <w:abstractNum w:abstractNumId="127">
    <w:nsid w:val="5551B9F3"/>
    <w:multiLevelType w:val="hybridMultilevel"/>
    <w:lvl w:ilvl="0">
      <w:lvlJc w:val="left"/>
      <w:lvlText w:val="(%1)"/>
      <w:numFmt w:val="lowerLetter"/>
      <w:start w:val="8"/>
    </w:lvl>
  </w:abstractNum>
  <w:abstractNum w:abstractNumId="128">
    <w:nsid w:val="24F6AB8E"/>
    <w:multiLevelType w:val="hybridMultilevel"/>
    <w:lvl w:ilvl="0">
      <w:lvlJc w:val="left"/>
      <w:lvlText w:val="(%1)"/>
      <w:numFmt w:val="lowerLetter"/>
      <w:start w:val="1"/>
    </w:lvl>
  </w:abstractNum>
  <w:abstractNum w:abstractNumId="129">
    <w:nsid w:val="634C574C"/>
    <w:multiLevelType w:val="hybridMultilevel"/>
    <w:lvl w:ilvl="0">
      <w:lvlJc w:val="left"/>
      <w:lvlText w:val="(%1)"/>
      <w:numFmt w:val="lowerLetter"/>
      <w:start w:val="3"/>
    </w:lvl>
  </w:abstractNum>
  <w:abstractNum w:abstractNumId="130">
    <w:nsid w:val="24E99DD7"/>
    <w:multiLevelType w:val="hybridMultilevel"/>
    <w:lvl w:ilvl="0">
      <w:lvlJc w:val="left"/>
      <w:lvlText w:val="(%1)"/>
      <w:numFmt w:val="lowerLetter"/>
      <w:start w:val="1"/>
    </w:lvl>
  </w:abstractNum>
  <w:abstractNum w:abstractNumId="131">
    <w:nsid w:val="2A31B62D"/>
    <w:multiLevelType w:val="hybridMultilevel"/>
    <w:lvl w:ilvl="0">
      <w:lvlJc w:val="left"/>
      <w:lvlText w:val="(%1)"/>
      <w:numFmt w:val="lowerLetter"/>
      <w:start w:val="1"/>
    </w:lvl>
  </w:abstractNum>
  <w:abstractNum w:abstractNumId="132">
    <w:nsid w:val="1849C29B"/>
    <w:multiLevelType w:val="hybridMultilevel"/>
    <w:lvl w:ilvl="0">
      <w:lvlJc w:val="left"/>
      <w:lvlText w:val="(%1)"/>
      <w:numFmt w:val="lowerLetter"/>
      <w:start w:val="1"/>
    </w:lvl>
  </w:abstractNum>
  <w:abstractNum w:abstractNumId="133">
    <w:nsid w:val="7DFF9D09"/>
    <w:multiLevelType w:val="hybridMultilevel"/>
    <w:lvl w:ilvl="0">
      <w:lvlJc w:val="left"/>
      <w:lvlText w:val="(%1)"/>
      <w:numFmt w:val="lowerLetter"/>
      <w:start w:val="1"/>
    </w:lvl>
  </w:abstractNum>
  <w:abstractNum w:abstractNumId="134">
    <w:nsid w:val="754342"/>
    <w:multiLevelType w:val="hybridMultilevel"/>
    <w:lvl w:ilvl="0">
      <w:lvlJc w:val="left"/>
      <w:lvlText w:val="(%1)"/>
      <w:numFmt w:val="lowerLetter"/>
      <w:start w:val="4"/>
    </w:lvl>
  </w:abstractNum>
  <w:abstractNum w:abstractNumId="135">
    <w:nsid w:val="69E7F3E5"/>
    <w:multiLevelType w:val="hybridMultilevel"/>
    <w:lvl w:ilvl="0">
      <w:lvlJc w:val="left"/>
      <w:lvlText w:val="%1."/>
      <w:numFmt w:val="decimal"/>
      <w:start w:val="1"/>
    </w:lvl>
  </w:abstractNum>
  <w:abstractNum w:abstractNumId="136">
    <w:nsid w:val="2A6DE806"/>
    <w:multiLevelType w:val="hybridMultilevel"/>
    <w:lvl w:ilvl="0">
      <w:lvlJc w:val="left"/>
      <w:lvlText w:val="%1."/>
      <w:numFmt w:val="decimal"/>
      <w:start w:val="3"/>
    </w:lvl>
  </w:abstractNum>
  <w:abstractNum w:abstractNumId="137">
    <w:nsid w:val="1816F8C4"/>
    <w:multiLevelType w:val="hybridMultilevel"/>
    <w:lvl w:ilvl="0">
      <w:lvlJc w:val="left"/>
      <w:lvlText w:val="(%1)"/>
      <w:numFmt w:val="lowerLetter"/>
      <w:start w:val="3"/>
    </w:lvl>
  </w:abstractNum>
  <w:abstractNum w:abstractNumId="138">
    <w:nsid w:val="37DF2233"/>
    <w:multiLevelType w:val="hybridMultilevel"/>
    <w:lvl w:ilvl="0">
      <w:lvlJc w:val="left"/>
      <w:lvlText w:val="(%1)"/>
      <w:numFmt w:val="lowerLetter"/>
      <w:start w:val="5"/>
    </w:lvl>
  </w:abstractNum>
  <w:abstractNum w:abstractNumId="139">
    <w:nsid w:val="7AB49DAF"/>
    <w:multiLevelType w:val="hybridMultilevel"/>
    <w:lvl w:ilvl="0">
      <w:lvlJc w:val="left"/>
      <w:lvlText w:val="(%1)"/>
      <w:numFmt w:val="lowerLetter"/>
      <w:start w:val="7"/>
    </w:lvl>
  </w:abstractNum>
  <w:abstractNum w:abstractNumId="140">
    <w:nsid w:val="759F82CD"/>
    <w:multiLevelType w:val="hybridMultilevel"/>
    <w:lvl w:ilvl="0">
      <w:lvlJc w:val="left"/>
      <w:lvlText w:val="(%1)"/>
      <w:numFmt w:val="lowerRoman"/>
      <w:start w:val="4"/>
    </w:lvl>
  </w:abstractNum>
  <w:abstractNum w:abstractNumId="141">
    <w:nsid w:val="61E74EA3"/>
    <w:multiLevelType w:val="hybridMultilevel"/>
    <w:lvl w:ilvl="0">
      <w:lvlJc w:val="left"/>
      <w:lvlText w:val="1"/>
      <w:numFmt w:val="bullet"/>
      <w:start w:val="1"/>
    </w:lvl>
  </w:abstractNum>
  <w:abstractNum w:abstractNumId="142">
    <w:nsid w:val="597B4D84"/>
    <w:multiLevelType w:val="hybridMultilevel"/>
    <w:lvl w:ilvl="0">
      <w:lvlJc w:val="left"/>
      <w:lvlText w:val="2"/>
      <w:numFmt w:val="bullet"/>
      <w:start w:val="1"/>
    </w:lvl>
  </w:abstractNum>
  <w:abstractNum w:abstractNumId="143">
    <w:nsid w:val="F819E7F"/>
    <w:multiLevelType w:val="hybridMultilevel"/>
    <w:lvl w:ilvl="0">
      <w:lvlJc w:val="left"/>
      <w:lvlText w:val="3"/>
      <w:numFmt w:val="bullet"/>
      <w:start w:val="1"/>
    </w:lvl>
  </w:abstractNum>
  <w:abstractNum w:abstractNumId="144">
    <w:nsid w:val="57C7D42D"/>
    <w:multiLevelType w:val="hybridMultilevel"/>
    <w:lvl w:ilvl="0">
      <w:lvlJc w:val="left"/>
      <w:lvlText w:val="4"/>
      <w:numFmt w:val="bullet"/>
      <w:start w:val="1"/>
    </w:lvl>
  </w:abstractNum>
  <w:abstractNum w:abstractNumId="145">
    <w:nsid w:val="312167AD"/>
    <w:multiLevelType w:val="hybridMultilevel"/>
    <w:lvl w:ilvl="0">
      <w:lvlJc w:val="left"/>
      <w:lvlText w:val="5"/>
      <w:numFmt w:val="bullet"/>
      <w:start w:val="1"/>
    </w:lvl>
  </w:abstractNum>
  <w:abstractNum w:abstractNumId="146">
    <w:nsid w:val="631B64D4"/>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31"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jpe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jpe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197"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4"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jpeg"/><Relationship Id="rId214" Type="http://schemas.openxmlformats.org/officeDocument/2006/relationships/image" Target="media/image190.png"/><Relationship Id="rId215" Type="http://schemas.openxmlformats.org/officeDocument/2006/relationships/image" Target="media/image191.jpeg"/><Relationship Id="rId216" Type="http://schemas.openxmlformats.org/officeDocument/2006/relationships/image" Target="media/image192.png"/><Relationship Id="rId217" Type="http://schemas.openxmlformats.org/officeDocument/2006/relationships/image" Target="media/image193.jpeg"/><Relationship Id="rId218" Type="http://schemas.openxmlformats.org/officeDocument/2006/relationships/image" Target="media/image194.png"/><Relationship Id="rId219" Type="http://schemas.openxmlformats.org/officeDocument/2006/relationships/image" Target="media/image195.jpeg"/><Relationship Id="rId220" Type="http://schemas.openxmlformats.org/officeDocument/2006/relationships/image" Target="media/image196.png"/><Relationship Id="rId221" Type="http://schemas.openxmlformats.org/officeDocument/2006/relationships/image" Target="media/image197.jpeg"/><Relationship Id="rId222" Type="http://schemas.openxmlformats.org/officeDocument/2006/relationships/image" Target="media/image198.png"/><Relationship Id="rId223" Type="http://schemas.openxmlformats.org/officeDocument/2006/relationships/image" Target="media/image199.png"/><Relationship Id="rId224" Type="http://schemas.openxmlformats.org/officeDocument/2006/relationships/image" Target="media/image200.png"/><Relationship Id="rId225"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6" Type="http://schemas.openxmlformats.org/officeDocument/2006/relationships/hyperlink" Target="http://www.sec.gov/ix?doc=/Archives/edgar/data/1437402/000162828025006653/ardx-20241231.htm" TargetMode="External"/><Relationship Id="rId27" Type="http://schemas.openxmlformats.org/officeDocument/2006/relationships/hyperlink" Target="http://www.sec.gov/ix?doc=/Archives/edgar/data/1437402/000114036125016522/ny20045223x1_def14a.htm" TargetMode="External"/><Relationship Id="rId28" Type="http://schemas.openxmlformats.org/officeDocument/2006/relationships/hyperlink" Target="http://www.sec.gov/ix?doc=/Archives/edgar/data/1437402/000162828025021516/ardx-20250331.htm" TargetMode="External"/><Relationship Id="rId29" Type="http://schemas.openxmlformats.org/officeDocument/2006/relationships/hyperlink" Target="http://www.sec.gov/ix?doc=/Archives/edgar/data/1437402/000162828025037464/ardx-20250630.htm" TargetMode="External"/><Relationship Id="rId30" Type="http://schemas.openxmlformats.org/officeDocument/2006/relationships/hyperlink" Target="http://www.sec.gov/ix?doc=/Archives/edgar/data/1437402/000143740225000018/ardx-20250930.htm" TargetMode="External"/><Relationship Id="rId32" Type="http://schemas.openxmlformats.org/officeDocument/2006/relationships/hyperlink" Target="http://www.sec.gov/ix?doc=/Archives/edgar/data/1437402/000162828025001246/ardx-20250113.htm" TargetMode="External"/><Relationship Id="rId33" Type="http://schemas.openxmlformats.org/officeDocument/2006/relationships/hyperlink" Target="http://www.sec.gov/ix?doc=/Archives/edgar/data/1437402/000162828025020477/ardx-20250428.htm" TargetMode="External"/><Relationship Id="rId34" Type="http://schemas.openxmlformats.org/officeDocument/2006/relationships/hyperlink" Target="http://www.sec.gov/ix?doc=/Archives/edgar/data/1437402/000162828025032172/ardx-20250618.htm" TargetMode="External"/><Relationship Id="rId35" Type="http://schemas.openxmlformats.org/officeDocument/2006/relationships/hyperlink" Target="http://www.sec.gov/ix?doc=/Archives/edgar/data/1437402/000162828025034132/ardx-20250630.htm" TargetMode="External"/><Relationship Id="rId36" Type="http://schemas.openxmlformats.org/officeDocument/2006/relationships/hyperlink" Target="http://www.sec.gov/ix?doc=/Archives/edgar/data/1437402/000162828025037441/ardx-20250801.htm" TargetMode="External"/><Relationship Id="rId37" Type="http://schemas.openxmlformats.org/officeDocument/2006/relationships/hyperlink" Target="http://www.sec.gov/ix?doc=/Archives/edgar/data/1437402/000143740225000008/ardx-20251013.htm" TargetMode="External"/><Relationship Id="rId38" Type="http://schemas.openxmlformats.org/officeDocument/2006/relationships/hyperlink" Target="http://www.sec.gov/Archives/edgar/data/1437402/000119312514230441/d740908d8a12b.htm" TargetMode="External"/><Relationship Id="rId39" Type="http://schemas.openxmlformats.org/officeDocument/2006/relationships/hyperlink" Target="http://www.sec.gov/Archives/edgar/data/1437402/000155837021002500/ardx-20201231xex4d4.htm" TargetMode="External"/><Relationship Id="rId94" Type="http://schemas.openxmlformats.org/officeDocument/2006/relationships/hyperlink" Target="http://www.sec.gov/Archives/edgar/data/1437402/000119312514247380/d748616dex31.htm" TargetMode="External"/><Relationship Id="rId95" Type="http://schemas.openxmlformats.org/officeDocument/2006/relationships/hyperlink" Target="http://www.sec.gov/Archives/edgar/data/1437402/000162828023022681/certificateofamendment6-16.htm" TargetMode="External"/><Relationship Id="rId96" Type="http://schemas.openxmlformats.org/officeDocument/2006/relationships/hyperlink" Target="http://www.sec.gov/Archives/edgar/data/1437402/000119312514247380/d748616dex32.htm" TargetMode="External"/><Relationship Id="rId97" Type="http://schemas.openxmlformats.org/officeDocument/2006/relationships/hyperlink" Target="http://www.sec.gov/Archives/edgar/data/1437402/000119312514240520/d704770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2025-11-03T15:56:18Z</dcterms:created>
  <dcterms:modified xsi:type="dcterms:W3CDTF">2025-11-03T15:56:18Z</dcterms:modified>
</cp:coreProperties>
</file>