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GRAMMER ELIZABETH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01/06/2015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6"/>
        <w:spacing w:after="0"/>
        <w:rPr>
          <w:sz w:val="20"/>
          <w:szCs w:val="20"/>
          <w:color w:val="auto"/>
        </w:rPr>
      </w:pPr>
      <w:r>
        <w:rPr>
          <w:rFonts w:ascii="Arial" w:cs="Arial" w:eastAsia="Arial" w:hAnsi="Arial"/>
          <w:sz w:val="17"/>
          <w:szCs w:val="17"/>
          <w:color w:val="0000FF"/>
        </w:rPr>
        <w:t>VP, General Counsel</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23.02</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01/06/2015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11,450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01/06/2025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11,450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11,450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48 successive, equal monthly installments on each monthly anniversary of January 6, 2015, subject to the Reporting Person's continued employment or service relationship with the Issuer on each such vesting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Elizabeth Grammer</w:t>
            </w:r>
          </w:p>
        </w:tc>
        <w:tc>
          <w:tcPr>
            <w:tcW w:w="7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01/08/2015</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2019-12-23T21:29:11Z</dcterms:created>
  <dcterms:modified xsi:type="dcterms:W3CDTF">2019-12-23T21:29:11Z</dcterms:modified>
</cp:coreProperties>
</file>