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07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07149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Ettenberg Felecia</w:t>
              </w:r>
            </w:hyperlink>
          </w:p>
        </w:tc>
        <w:tc>
          <w:tcPr>
            <w:tcW w:w="198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0000EE"/>
            </w:tcBorders>
            <w:vMerge w:val="continue"/>
          </w:tcPr>
          <w:p>
            <w:pPr>
              <w:spacing w:after="0"/>
              <w:rPr>
                <w:sz w:val="9"/>
                <w:szCs w:val="9"/>
                <w:color w:val="auto"/>
              </w:rPr>
            </w:pPr>
          </w:p>
        </w:tc>
        <w:tc>
          <w:tcPr>
            <w:tcW w:w="198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04/20/2026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ARDELYX, INC.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29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80" w:type="dxa"/>
            <w:vAlign w:val="bottom"/>
          </w:tcPr>
          <w:p>
            <w:pPr>
              <w:ind w:left="20"/>
              <w:spacing w:after="0"/>
              <w:rPr>
                <w:sz w:val="20"/>
                <w:szCs w:val="20"/>
                <w:color w:val="auto"/>
              </w:rPr>
            </w:pPr>
            <w:r>
              <w:rPr>
                <w:rFonts w:ascii="Arial" w:cs="Arial" w:eastAsia="Arial" w:hAnsi="Arial"/>
                <w:sz w:val="10"/>
                <w:szCs w:val="10"/>
                <w:color w:val="auto"/>
              </w:rPr>
              <w:t>(Last)</w:t>
            </w:r>
          </w:p>
        </w:tc>
        <w:tc>
          <w:tcPr>
            <w:tcW w:w="980" w:type="dxa"/>
            <w:vAlign w:val="bottom"/>
          </w:tcPr>
          <w:p>
            <w:pPr>
              <w:ind w:left="200"/>
              <w:spacing w:after="0"/>
              <w:rPr>
                <w:sz w:val="20"/>
                <w:szCs w:val="20"/>
                <w:color w:val="auto"/>
              </w:rPr>
            </w:pPr>
            <w:r>
              <w:rPr>
                <w:rFonts w:ascii="Arial" w:cs="Arial" w:eastAsia="Arial" w:hAnsi="Arial"/>
                <w:sz w:val="10"/>
                <w:szCs w:val="10"/>
                <w:color w:val="auto"/>
              </w:rPr>
              <w:t>(First)</w:t>
            </w:r>
          </w:p>
        </w:tc>
        <w:tc>
          <w:tcPr>
            <w:tcW w:w="1300" w:type="dxa"/>
            <w:vAlign w:val="bottom"/>
          </w:tcPr>
          <w:p>
            <w:pPr>
              <w:ind w:left="26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 ARDELYX, INC.</w:t>
            </w:r>
          </w:p>
        </w:tc>
        <w:tc>
          <w:tcPr>
            <w:tcW w:w="13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400 FIFTH AVE, SUITE 210</w:t>
            </w:r>
          </w:p>
        </w:tc>
        <w:tc>
          <w:tcPr>
            <w:tcW w:w="130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WALTHAM</w:t>
            </w: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13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02451</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1073"/>
        <w:spacing w:after="0"/>
        <w:rPr>
          <w:sz w:val="20"/>
          <w:szCs w:val="20"/>
          <w:color w:val="auto"/>
        </w:rPr>
      </w:pPr>
      <w:r>
        <w:rPr>
          <w:rFonts w:ascii="Times New Roman" w:cs="Times New Roman" w:eastAsia="Times New Roman" w:hAnsi="Times New Roman"/>
          <w:sz w:val="13"/>
          <w:szCs w:val="13"/>
          <w:color w:val="0000FF"/>
        </w:rPr>
        <w:t>Chief Legal Officer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237,000</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jc w:val="right"/>
              <w:ind w:right="36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160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0000FF"/>
              </w:rPr>
              <w:t>04/20/2036</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355,000</w:t>
            </w: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6.3</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w:t>
      </w:r>
    </w:p>
    <w:p>
      <w:pPr>
        <w:spacing w:after="0" w:line="40"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Twenty Five Percent (25%) of the shares subject to the option vest on April 20, 2027 and the remaining shares subject to the option vest in 36 successive, equal monthly installments thereafter, subject to the Reporting Person's continued employment or service relationship with the Issuer on each such vesting date.</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Shannon Moesaa, Attorney-in-Fact</w:t>
            </w:r>
          </w:p>
        </w:tc>
        <w:tc>
          <w:tcPr>
            <w:tcW w:w="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2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Felecia Ettenberg</w:t>
            </w: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27718"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2026-04-22T15:10:05Z</dcterms:created>
  <dcterms:modified xsi:type="dcterms:W3CDTF">2026-04-22T15:10:05Z</dcterms:modified>
</cp:coreProperties>
</file>