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ARDELYX,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16,202,700.00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16,202,700.00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16,202,700.00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16,202,700.00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16,202,700.00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16,202,700.00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ARDELYX, INC.</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34175 ARDENWOOD BLVD. Fremont, CA, 94555</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Rubric Capital Management LP ("Rubric Capital"), the investment adviser to certain investment funds and/or accounts (collectively, the "Rubric Funds") that hold the shares of Common Stock, $0.0001 par value per share (the "Common Stock") of Ardelyx, Inc., a Delaware corporation (the "Issuer") reported herein; and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247,029,387 shares Common Stock outstanding as of April 23, 2026, as reported in the Issuer's Quarterly Report on Form 10-Q for the quarterly period ended March 31, 2026 filed with the Securities and Exchange Commission on April 30, 2026.</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6.56  %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0" w:name="tm2621100d1_ex99-1.htm"/>
      <w:bookmarkStart w:id="21" w:name="kstm2621100d1_ex99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br/>
        <w:t>PURSUANT TO RULE 13d-1(k)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08/14/2026</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538"/>
        <w:gridCol w:w="2961"/>
        <w:gridCol w:w="75"/>
      </w:tblGrid>
      <w:tr>
        <w:trPr/>
        <w:tc>
          <w:tcPr>
            <w:tcW w:w="349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RUBRIC CAPITAL MANAGEMENT LP</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283"/>
              <w:jc w:val="left"/>
              <w:rPr/>
            </w:pPr>
            <w:r>
              <w:rPr/>
              <w:t>By:</w:t>
            </w:r>
          </w:p>
        </w:tc>
        <w:tc>
          <w:tcPr>
            <w:tcW w:w="2961" w:type="dxa"/>
            <w:tcBorders>
              <w:bottom w:val="single" w:sz="8" w:space="0" w:color="000000"/>
            </w:tcBorders>
            <w:tcMar>
              <w:bottom w:w="28" w:type="dxa"/>
            </w:tcMar>
            <w:vAlign w:val="center"/>
          </w:tcPr>
          <w:p>
            <w:pPr>
              <w:pStyle w:val="TableContents"/>
              <w:bidi w:val="0"/>
              <w:spacing w:before="0" w:after="283"/>
              <w:jc w:val="left"/>
              <w:rPr/>
            </w:pPr>
            <w:r>
              <w:rPr/>
              <w:t>/s/ Michael Nachmani</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pPr>
            <w:r>
              <w:rPr/>
              <w:t>Name: Michael Nachmani</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pPr>
            <w:r>
              <w:rPr/>
              <w:t>Title: Chief Operating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28" w:type="dxa"/>
          <w:right w:w="0" w:type="dxa"/>
        </w:tblCellMar>
      </w:tblPr>
      <w:tblGrid>
        <w:gridCol w:w="1355"/>
        <w:gridCol w:w="75"/>
      </w:tblGrid>
      <w:tr>
        <w:trPr/>
        <w:tc>
          <w:tcPr>
            <w:tcW w:w="13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Rosen</w:t>
            </w:r>
          </w:p>
        </w:tc>
        <w:tc>
          <w:tcPr>
            <w:tcW w:w="75" w:type="dxa"/>
            <w:tcBorders/>
            <w:tcMar>
              <w:bottom w:w="0" w:type="dxa"/>
            </w:tcMar>
            <w:vAlign w:val="center"/>
          </w:tcPr>
          <w:p>
            <w:pPr>
              <w:pStyle w:val="TableContents"/>
              <w:bidi w:val="0"/>
              <w:spacing w:before="0" w:after="283"/>
              <w:jc w:val="left"/>
              <w:rPr/>
            </w:pPr>
            <w:r>
              <w:rPr/>
              <w:t> </w:t>
            </w:r>
          </w:p>
        </w:tc>
      </w:tr>
      <w:tr>
        <w:trPr/>
        <w:tc>
          <w:tcPr>
            <w:tcW w:w="13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ROSEN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1492</Words>
  <Characters>7574</Characters>
  <CharactersWithSpaces>9043</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